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B0" w:rsidRPr="00A236B0" w:rsidRDefault="00A236B0" w:rsidP="00A236B0">
      <w:pPr>
        <w:jc w:val="center"/>
        <w:rPr>
          <w:b/>
          <w:sz w:val="28"/>
          <w:szCs w:val="28"/>
        </w:rPr>
      </w:pPr>
      <w:bookmarkStart w:id="0" w:name="_GoBack"/>
      <w:bookmarkEnd w:id="0"/>
      <w:r w:rsidRPr="00A236B0">
        <w:rPr>
          <w:b/>
          <w:sz w:val="28"/>
          <w:szCs w:val="28"/>
        </w:rPr>
        <w:t>MEETING MINUTES</w:t>
      </w:r>
    </w:p>
    <w:p w:rsidR="00681EAB" w:rsidRDefault="00390CCC">
      <w:r>
        <w:rPr>
          <w:b/>
        </w:rPr>
        <w:t>FORUM</w:t>
      </w:r>
      <w:r w:rsidR="00A74AFD" w:rsidRPr="00A74AFD">
        <w:rPr>
          <w:b/>
        </w:rPr>
        <w:t>:</w:t>
      </w:r>
      <w:r w:rsidR="00A74AFD">
        <w:t xml:space="preserve"> SG</w:t>
      </w:r>
      <w:r w:rsidR="00771BDB">
        <w:t xml:space="preserve"> NMPG</w:t>
      </w:r>
      <w:r w:rsidR="005311F3">
        <w:t xml:space="preserve"> </w:t>
      </w:r>
    </w:p>
    <w:p w:rsidR="00A74AFD" w:rsidRDefault="00A74AFD">
      <w:r w:rsidRPr="00A74AFD">
        <w:rPr>
          <w:b/>
        </w:rPr>
        <w:t>DATE</w:t>
      </w:r>
      <w:r w:rsidR="00F6162D">
        <w:rPr>
          <w:b/>
        </w:rPr>
        <w:t xml:space="preserve"> AND TIME</w:t>
      </w:r>
      <w:r w:rsidRPr="00A74AFD">
        <w:rPr>
          <w:b/>
        </w:rPr>
        <w:t>:</w:t>
      </w:r>
      <w:r>
        <w:t xml:space="preserve"> </w:t>
      </w:r>
      <w:r w:rsidR="008F46FD">
        <w:t>24 July</w:t>
      </w:r>
      <w:r>
        <w:t xml:space="preserve"> 201</w:t>
      </w:r>
      <w:r w:rsidR="008F46FD">
        <w:t>4</w:t>
      </w:r>
      <w:r w:rsidR="00F6162D">
        <w:t xml:space="preserve">, </w:t>
      </w:r>
      <w:r w:rsidR="008F46FD">
        <w:t>9</w:t>
      </w:r>
      <w:r w:rsidR="002B6838">
        <w:t>AM</w:t>
      </w:r>
    </w:p>
    <w:p w:rsidR="00A74AFD" w:rsidRDefault="00A74AFD">
      <w:r w:rsidRPr="00A74AFD">
        <w:rPr>
          <w:b/>
        </w:rPr>
        <w:t>LOCATION:</w:t>
      </w:r>
      <w:r>
        <w:t xml:space="preserve"> </w:t>
      </w:r>
      <w:r w:rsidR="008F46FD">
        <w:t xml:space="preserve"> SGX Centre, Tokyo Room</w:t>
      </w:r>
    </w:p>
    <w:p w:rsidR="00FD48A8" w:rsidRDefault="00FD48A8">
      <w:pPr>
        <w:rPr>
          <w:b/>
        </w:rPr>
      </w:pPr>
      <w:r w:rsidRPr="00FD48A8">
        <w:rPr>
          <w:b/>
        </w:rPr>
        <w:t>ATTENDEES:</w:t>
      </w:r>
    </w:p>
    <w:tbl>
      <w:tblPr>
        <w:tblW w:w="8840" w:type="dxa"/>
        <w:tblInd w:w="93" w:type="dxa"/>
        <w:tblLook w:val="04A0" w:firstRow="1" w:lastRow="0" w:firstColumn="1" w:lastColumn="0" w:noHBand="0" w:noVBand="1"/>
      </w:tblPr>
      <w:tblGrid>
        <w:gridCol w:w="3984"/>
        <w:gridCol w:w="4856"/>
      </w:tblGrid>
      <w:tr w:rsidR="00B671CA" w:rsidRPr="00D25A0D" w:rsidTr="000A50E8">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1CA" w:rsidRPr="00D25A0D" w:rsidRDefault="00B671CA" w:rsidP="00A5353D">
            <w:pPr>
              <w:spacing w:after="0" w:line="240" w:lineRule="auto"/>
              <w:rPr>
                <w:rFonts w:ascii="Calibri" w:eastAsia="Times New Roman" w:hAnsi="Calibri" w:cs="Calibri"/>
                <w:b/>
                <w:bCs/>
                <w:color w:val="000000"/>
                <w:lang w:eastAsia="zh-CN"/>
              </w:rPr>
            </w:pPr>
            <w:r w:rsidRPr="00D25A0D">
              <w:rPr>
                <w:rFonts w:ascii="Calibri" w:eastAsia="Times New Roman" w:hAnsi="Calibri" w:cs="Calibri"/>
                <w:b/>
                <w:bCs/>
                <w:color w:val="000000"/>
                <w:lang w:eastAsia="zh-CN"/>
              </w:rPr>
              <w:t>NAME</w:t>
            </w:r>
          </w:p>
        </w:tc>
        <w:tc>
          <w:tcPr>
            <w:tcW w:w="4856" w:type="dxa"/>
            <w:tcBorders>
              <w:top w:val="single" w:sz="4" w:space="0" w:color="auto"/>
              <w:left w:val="nil"/>
              <w:bottom w:val="single" w:sz="4" w:space="0" w:color="auto"/>
              <w:right w:val="single" w:sz="4" w:space="0" w:color="auto"/>
            </w:tcBorders>
            <w:shd w:val="clear" w:color="auto" w:fill="auto"/>
            <w:vAlign w:val="center"/>
            <w:hideMark/>
          </w:tcPr>
          <w:p w:rsidR="00B671CA" w:rsidRPr="00D25A0D" w:rsidRDefault="00B671CA" w:rsidP="00A5353D">
            <w:pPr>
              <w:spacing w:after="0" w:line="240" w:lineRule="auto"/>
              <w:rPr>
                <w:rFonts w:ascii="Calibri" w:eastAsia="Times New Roman" w:hAnsi="Calibri" w:cs="Calibri"/>
                <w:b/>
                <w:bCs/>
                <w:color w:val="000000"/>
                <w:lang w:eastAsia="zh-CN"/>
              </w:rPr>
            </w:pPr>
            <w:r w:rsidRPr="00D25A0D">
              <w:rPr>
                <w:rFonts w:ascii="Calibri" w:eastAsia="Times New Roman" w:hAnsi="Calibri" w:cs="Calibri"/>
                <w:b/>
                <w:bCs/>
                <w:color w:val="000000"/>
                <w:lang w:eastAsia="zh-CN"/>
              </w:rPr>
              <w:t>ORGANISATION</w:t>
            </w:r>
          </w:p>
        </w:tc>
      </w:tr>
      <w:tr w:rsidR="002806CF"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2806CF" w:rsidRDefault="008F46FD">
            <w:pPr>
              <w:rPr>
                <w:rFonts w:ascii="Calibri" w:hAnsi="Calibri" w:cs="Calibri"/>
                <w:color w:val="000000"/>
              </w:rPr>
            </w:pPr>
            <w:r>
              <w:rPr>
                <w:rFonts w:ascii="Calibri" w:hAnsi="Calibri" w:cs="Calibri"/>
                <w:color w:val="000000"/>
              </w:rPr>
              <w:t>Bruce Babcock</w:t>
            </w:r>
          </w:p>
        </w:tc>
        <w:tc>
          <w:tcPr>
            <w:tcW w:w="4856" w:type="dxa"/>
            <w:tcBorders>
              <w:top w:val="nil"/>
              <w:left w:val="nil"/>
              <w:bottom w:val="single" w:sz="4" w:space="0" w:color="auto"/>
              <w:right w:val="single" w:sz="4" w:space="0" w:color="auto"/>
            </w:tcBorders>
            <w:shd w:val="clear" w:color="auto" w:fill="auto"/>
            <w:vAlign w:val="center"/>
          </w:tcPr>
          <w:p w:rsidR="002806CF" w:rsidRDefault="008F46FD">
            <w:pPr>
              <w:rPr>
                <w:rFonts w:ascii="Calibri" w:hAnsi="Calibri" w:cs="Calibri"/>
                <w:color w:val="000000"/>
              </w:rPr>
            </w:pPr>
            <w:proofErr w:type="spellStart"/>
            <w:r>
              <w:rPr>
                <w:rFonts w:ascii="Calibri" w:hAnsi="Calibri" w:cs="Calibri"/>
                <w:color w:val="000000"/>
              </w:rPr>
              <w:t>Broadridge</w:t>
            </w:r>
            <w:proofErr w:type="spellEnd"/>
          </w:p>
        </w:tc>
      </w:tr>
      <w:tr w:rsidR="008F46FD"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8F46FD" w:rsidRDefault="008F46FD">
            <w:pPr>
              <w:rPr>
                <w:rFonts w:ascii="Calibri" w:hAnsi="Calibri" w:cs="Calibri"/>
                <w:color w:val="000000"/>
              </w:rPr>
            </w:pPr>
            <w:r>
              <w:rPr>
                <w:rFonts w:ascii="Calibri" w:hAnsi="Calibri" w:cs="Calibri"/>
                <w:color w:val="000000"/>
              </w:rPr>
              <w:t>Chris Nixon</w:t>
            </w:r>
          </w:p>
        </w:tc>
        <w:tc>
          <w:tcPr>
            <w:tcW w:w="4856" w:type="dxa"/>
            <w:tcBorders>
              <w:top w:val="nil"/>
              <w:left w:val="nil"/>
              <w:bottom w:val="single" w:sz="4" w:space="0" w:color="auto"/>
              <w:right w:val="single" w:sz="4" w:space="0" w:color="auto"/>
            </w:tcBorders>
            <w:shd w:val="clear" w:color="auto" w:fill="auto"/>
            <w:vAlign w:val="center"/>
          </w:tcPr>
          <w:p w:rsidR="008F46FD" w:rsidRDefault="007752F1">
            <w:pPr>
              <w:rPr>
                <w:rFonts w:ascii="Calibri" w:hAnsi="Calibri" w:cs="Calibri"/>
                <w:color w:val="000000"/>
              </w:rPr>
            </w:pPr>
            <w:proofErr w:type="spellStart"/>
            <w:r>
              <w:rPr>
                <w:rFonts w:ascii="Calibri" w:hAnsi="Calibri" w:cs="Calibri"/>
                <w:color w:val="000000"/>
              </w:rPr>
              <w:t>Broadridge</w:t>
            </w:r>
            <w:proofErr w:type="spellEnd"/>
          </w:p>
        </w:tc>
      </w:tr>
      <w:tr w:rsidR="007752F1"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proofErr w:type="spellStart"/>
            <w:r>
              <w:rPr>
                <w:rFonts w:ascii="Calibri" w:hAnsi="Calibri" w:cs="Calibri"/>
                <w:color w:val="000000"/>
              </w:rPr>
              <w:t>Aytac</w:t>
            </w:r>
            <w:proofErr w:type="spellEnd"/>
            <w:r>
              <w:rPr>
                <w:rFonts w:ascii="Calibri" w:hAnsi="Calibri" w:cs="Calibri"/>
                <w:color w:val="000000"/>
              </w:rPr>
              <w:t xml:space="preserve"> </w:t>
            </w:r>
            <w:proofErr w:type="spellStart"/>
            <w:r>
              <w:rPr>
                <w:rFonts w:ascii="Calibri" w:hAnsi="Calibri" w:cs="Calibri"/>
                <w:color w:val="000000"/>
              </w:rPr>
              <w:t>Kiran</w:t>
            </w:r>
            <w:proofErr w:type="spellEnd"/>
          </w:p>
        </w:tc>
        <w:tc>
          <w:tcPr>
            <w:tcW w:w="4856" w:type="dxa"/>
            <w:tcBorders>
              <w:top w:val="nil"/>
              <w:left w:val="nil"/>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r>
              <w:rPr>
                <w:rFonts w:ascii="Calibri" w:hAnsi="Calibri" w:cs="Calibri"/>
                <w:color w:val="000000"/>
              </w:rPr>
              <w:t>Citi</w:t>
            </w:r>
          </w:p>
        </w:tc>
      </w:tr>
      <w:tr w:rsidR="007752F1"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r>
              <w:rPr>
                <w:rFonts w:ascii="Calibri" w:hAnsi="Calibri" w:cs="Calibri"/>
                <w:color w:val="000000"/>
              </w:rPr>
              <w:t>Sharon Yeo</w:t>
            </w:r>
          </w:p>
        </w:tc>
        <w:tc>
          <w:tcPr>
            <w:tcW w:w="4856" w:type="dxa"/>
            <w:tcBorders>
              <w:top w:val="nil"/>
              <w:left w:val="nil"/>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r>
              <w:rPr>
                <w:rFonts w:ascii="Calibri" w:hAnsi="Calibri" w:cs="Calibri"/>
                <w:color w:val="000000"/>
              </w:rPr>
              <w:t>Citi</w:t>
            </w:r>
          </w:p>
        </w:tc>
      </w:tr>
      <w:tr w:rsidR="007752F1"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7752F1" w:rsidRDefault="007752F1" w:rsidP="00486D96">
            <w:pPr>
              <w:rPr>
                <w:rFonts w:ascii="Calibri" w:hAnsi="Calibri" w:cs="Calibri"/>
                <w:color w:val="000000"/>
              </w:rPr>
            </w:pPr>
            <w:r>
              <w:rPr>
                <w:rFonts w:ascii="Calibri" w:hAnsi="Calibri" w:cs="Calibri"/>
                <w:color w:val="000000"/>
              </w:rPr>
              <w:t>Alan Lim</w:t>
            </w:r>
          </w:p>
        </w:tc>
        <w:tc>
          <w:tcPr>
            <w:tcW w:w="4856" w:type="dxa"/>
            <w:tcBorders>
              <w:top w:val="nil"/>
              <w:left w:val="nil"/>
              <w:bottom w:val="single" w:sz="4" w:space="0" w:color="auto"/>
              <w:right w:val="single" w:sz="4" w:space="0" w:color="auto"/>
            </w:tcBorders>
            <w:shd w:val="clear" w:color="auto" w:fill="auto"/>
            <w:vAlign w:val="center"/>
          </w:tcPr>
          <w:p w:rsidR="007752F1" w:rsidRDefault="007752F1" w:rsidP="00486D96">
            <w:pPr>
              <w:rPr>
                <w:rFonts w:ascii="Calibri" w:hAnsi="Calibri" w:cs="Calibri"/>
                <w:color w:val="000000"/>
              </w:rPr>
            </w:pPr>
            <w:r>
              <w:rPr>
                <w:rFonts w:ascii="Calibri" w:hAnsi="Calibri" w:cs="Calibri"/>
                <w:color w:val="000000"/>
              </w:rPr>
              <w:t>DBS</w:t>
            </w:r>
          </w:p>
        </w:tc>
      </w:tr>
      <w:tr w:rsidR="007752F1"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7752F1" w:rsidRDefault="007752F1" w:rsidP="00486D96">
            <w:pPr>
              <w:rPr>
                <w:rFonts w:ascii="Calibri" w:hAnsi="Calibri" w:cs="Calibri"/>
                <w:color w:val="000000"/>
              </w:rPr>
            </w:pPr>
            <w:r>
              <w:rPr>
                <w:rFonts w:ascii="Calibri" w:hAnsi="Calibri" w:cs="Calibri"/>
                <w:color w:val="000000"/>
              </w:rPr>
              <w:t>Joline Koh</w:t>
            </w:r>
          </w:p>
        </w:tc>
        <w:tc>
          <w:tcPr>
            <w:tcW w:w="4856" w:type="dxa"/>
            <w:tcBorders>
              <w:top w:val="nil"/>
              <w:left w:val="nil"/>
              <w:bottom w:val="single" w:sz="4" w:space="0" w:color="auto"/>
              <w:right w:val="single" w:sz="4" w:space="0" w:color="auto"/>
            </w:tcBorders>
            <w:shd w:val="clear" w:color="auto" w:fill="auto"/>
            <w:vAlign w:val="center"/>
          </w:tcPr>
          <w:p w:rsidR="007752F1" w:rsidRDefault="007752F1" w:rsidP="00486D96">
            <w:pPr>
              <w:rPr>
                <w:rFonts w:ascii="Calibri" w:hAnsi="Calibri" w:cs="Calibri"/>
                <w:color w:val="000000"/>
              </w:rPr>
            </w:pPr>
            <w:r>
              <w:rPr>
                <w:rFonts w:ascii="Calibri" w:hAnsi="Calibri" w:cs="Calibri"/>
                <w:color w:val="000000"/>
              </w:rPr>
              <w:t>Deutsche Bank</w:t>
            </w:r>
          </w:p>
        </w:tc>
      </w:tr>
      <w:tr w:rsidR="007752F1"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proofErr w:type="spellStart"/>
            <w:r>
              <w:rPr>
                <w:rFonts w:ascii="Calibri" w:hAnsi="Calibri" w:cs="Calibri"/>
                <w:color w:val="000000"/>
              </w:rPr>
              <w:t>Girish</w:t>
            </w:r>
            <w:proofErr w:type="spellEnd"/>
            <w:r>
              <w:rPr>
                <w:rFonts w:ascii="Calibri" w:hAnsi="Calibri" w:cs="Calibri"/>
                <w:color w:val="000000"/>
              </w:rPr>
              <w:t xml:space="preserve"> </w:t>
            </w:r>
            <w:proofErr w:type="spellStart"/>
            <w:r>
              <w:rPr>
                <w:rFonts w:ascii="Calibri" w:hAnsi="Calibri" w:cs="Calibri"/>
                <w:color w:val="000000"/>
              </w:rPr>
              <w:t>Pandit</w:t>
            </w:r>
            <w:proofErr w:type="spellEnd"/>
          </w:p>
        </w:tc>
        <w:tc>
          <w:tcPr>
            <w:tcW w:w="4856" w:type="dxa"/>
            <w:tcBorders>
              <w:top w:val="nil"/>
              <w:left w:val="nil"/>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r>
              <w:rPr>
                <w:rFonts w:ascii="Calibri" w:hAnsi="Calibri" w:cs="Calibri"/>
                <w:color w:val="000000"/>
              </w:rPr>
              <w:t>Deutsche Bank</w:t>
            </w:r>
          </w:p>
        </w:tc>
      </w:tr>
      <w:tr w:rsidR="007752F1"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r>
              <w:rPr>
                <w:rFonts w:ascii="Calibri" w:hAnsi="Calibri" w:cs="Calibri"/>
                <w:color w:val="000000"/>
              </w:rPr>
              <w:t>Daisy Lam</w:t>
            </w:r>
          </w:p>
        </w:tc>
        <w:tc>
          <w:tcPr>
            <w:tcW w:w="4856" w:type="dxa"/>
            <w:tcBorders>
              <w:top w:val="nil"/>
              <w:left w:val="nil"/>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r>
              <w:rPr>
                <w:rFonts w:ascii="Calibri" w:hAnsi="Calibri" w:cs="Calibri"/>
                <w:color w:val="000000"/>
              </w:rPr>
              <w:t>HSBC</w:t>
            </w:r>
          </w:p>
        </w:tc>
      </w:tr>
      <w:tr w:rsidR="007752F1"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r>
              <w:rPr>
                <w:rFonts w:ascii="Calibri" w:hAnsi="Calibri" w:cs="Calibri"/>
                <w:color w:val="000000"/>
              </w:rPr>
              <w:t>Pang Bee Tin</w:t>
            </w:r>
          </w:p>
        </w:tc>
        <w:tc>
          <w:tcPr>
            <w:tcW w:w="4856" w:type="dxa"/>
            <w:tcBorders>
              <w:top w:val="nil"/>
              <w:left w:val="nil"/>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r>
              <w:rPr>
                <w:rFonts w:ascii="Calibri" w:hAnsi="Calibri" w:cs="Calibri"/>
                <w:color w:val="000000"/>
              </w:rPr>
              <w:t>HSBC</w:t>
            </w:r>
          </w:p>
        </w:tc>
      </w:tr>
      <w:tr w:rsidR="007752F1"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proofErr w:type="spellStart"/>
            <w:r>
              <w:rPr>
                <w:rFonts w:ascii="Calibri" w:hAnsi="Calibri" w:cs="Calibri"/>
                <w:color w:val="000000"/>
              </w:rPr>
              <w:t>Mita</w:t>
            </w:r>
            <w:proofErr w:type="spellEnd"/>
            <w:r>
              <w:rPr>
                <w:rFonts w:ascii="Calibri" w:hAnsi="Calibri" w:cs="Calibri"/>
                <w:color w:val="000000"/>
              </w:rPr>
              <w:t xml:space="preserve"> Natarajan</w:t>
            </w:r>
          </w:p>
        </w:tc>
        <w:tc>
          <w:tcPr>
            <w:tcW w:w="4856" w:type="dxa"/>
            <w:tcBorders>
              <w:top w:val="nil"/>
              <w:left w:val="nil"/>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r>
              <w:rPr>
                <w:rFonts w:ascii="Calibri" w:hAnsi="Calibri" w:cs="Calibri"/>
                <w:color w:val="000000"/>
              </w:rPr>
              <w:t>SGX</w:t>
            </w:r>
          </w:p>
        </w:tc>
      </w:tr>
      <w:tr w:rsidR="007752F1"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r>
              <w:rPr>
                <w:rFonts w:ascii="Calibri" w:hAnsi="Calibri" w:cs="Calibri"/>
                <w:color w:val="000000"/>
              </w:rPr>
              <w:t>Shirley Oh</w:t>
            </w:r>
          </w:p>
        </w:tc>
        <w:tc>
          <w:tcPr>
            <w:tcW w:w="4856" w:type="dxa"/>
            <w:tcBorders>
              <w:top w:val="nil"/>
              <w:left w:val="nil"/>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r>
              <w:rPr>
                <w:rFonts w:ascii="Calibri" w:hAnsi="Calibri" w:cs="Calibri"/>
                <w:color w:val="000000"/>
              </w:rPr>
              <w:t>SGX</w:t>
            </w:r>
          </w:p>
        </w:tc>
      </w:tr>
      <w:tr w:rsidR="007752F1"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r>
              <w:rPr>
                <w:rFonts w:ascii="Calibri" w:hAnsi="Calibri" w:cs="Calibri"/>
                <w:color w:val="000000"/>
              </w:rPr>
              <w:t>Lai Kok Leong</w:t>
            </w:r>
          </w:p>
        </w:tc>
        <w:tc>
          <w:tcPr>
            <w:tcW w:w="4856" w:type="dxa"/>
            <w:tcBorders>
              <w:top w:val="nil"/>
              <w:left w:val="nil"/>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r>
              <w:rPr>
                <w:rFonts w:ascii="Calibri" w:hAnsi="Calibri" w:cs="Calibri"/>
                <w:color w:val="000000"/>
              </w:rPr>
              <w:t>SGX</w:t>
            </w:r>
          </w:p>
        </w:tc>
      </w:tr>
      <w:tr w:rsidR="007752F1"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r>
              <w:rPr>
                <w:rFonts w:ascii="Calibri" w:hAnsi="Calibri" w:cs="Calibri"/>
                <w:color w:val="000000"/>
              </w:rPr>
              <w:t>Low Ten Yong</w:t>
            </w:r>
          </w:p>
        </w:tc>
        <w:tc>
          <w:tcPr>
            <w:tcW w:w="4856" w:type="dxa"/>
            <w:tcBorders>
              <w:top w:val="nil"/>
              <w:left w:val="nil"/>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r>
              <w:rPr>
                <w:rFonts w:ascii="Calibri" w:hAnsi="Calibri" w:cs="Calibri"/>
                <w:color w:val="000000"/>
              </w:rPr>
              <w:t>SGX</w:t>
            </w:r>
          </w:p>
        </w:tc>
      </w:tr>
      <w:tr w:rsidR="007752F1"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r>
              <w:rPr>
                <w:rFonts w:ascii="Calibri" w:hAnsi="Calibri" w:cs="Calibri"/>
                <w:color w:val="000000"/>
              </w:rPr>
              <w:t xml:space="preserve">Tay </w:t>
            </w:r>
            <w:proofErr w:type="spellStart"/>
            <w:r>
              <w:rPr>
                <w:rFonts w:ascii="Calibri" w:hAnsi="Calibri" w:cs="Calibri"/>
                <w:color w:val="000000"/>
              </w:rPr>
              <w:t>Keng</w:t>
            </w:r>
            <w:proofErr w:type="spellEnd"/>
            <w:r>
              <w:rPr>
                <w:rFonts w:ascii="Calibri" w:hAnsi="Calibri" w:cs="Calibri"/>
                <w:color w:val="000000"/>
              </w:rPr>
              <w:t xml:space="preserve"> Kian</w:t>
            </w:r>
          </w:p>
        </w:tc>
        <w:tc>
          <w:tcPr>
            <w:tcW w:w="4856" w:type="dxa"/>
            <w:tcBorders>
              <w:top w:val="nil"/>
              <w:left w:val="nil"/>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r>
              <w:rPr>
                <w:rFonts w:ascii="Calibri" w:hAnsi="Calibri" w:cs="Calibri"/>
                <w:color w:val="000000"/>
              </w:rPr>
              <w:t>SGX</w:t>
            </w:r>
          </w:p>
        </w:tc>
      </w:tr>
      <w:tr w:rsidR="007752F1"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r>
              <w:rPr>
                <w:rFonts w:ascii="Calibri" w:hAnsi="Calibri" w:cs="Calibri"/>
                <w:color w:val="000000"/>
              </w:rPr>
              <w:t>Chueh Jyi Chen</w:t>
            </w:r>
          </w:p>
        </w:tc>
        <w:tc>
          <w:tcPr>
            <w:tcW w:w="4856" w:type="dxa"/>
            <w:tcBorders>
              <w:top w:val="nil"/>
              <w:left w:val="nil"/>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r>
              <w:rPr>
                <w:rFonts w:ascii="Calibri" w:hAnsi="Calibri" w:cs="Calibri"/>
                <w:color w:val="000000"/>
              </w:rPr>
              <w:t>Standard Chartered Bank</w:t>
            </w:r>
          </w:p>
        </w:tc>
      </w:tr>
      <w:tr w:rsidR="007752F1"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r>
              <w:rPr>
                <w:rFonts w:ascii="Calibri" w:hAnsi="Calibri" w:cs="Calibri"/>
                <w:color w:val="000000"/>
              </w:rPr>
              <w:t>Hartini Rahim</w:t>
            </w:r>
          </w:p>
        </w:tc>
        <w:tc>
          <w:tcPr>
            <w:tcW w:w="4856" w:type="dxa"/>
            <w:tcBorders>
              <w:top w:val="nil"/>
              <w:left w:val="nil"/>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r>
              <w:rPr>
                <w:rFonts w:ascii="Calibri" w:hAnsi="Calibri" w:cs="Calibri"/>
                <w:color w:val="000000"/>
              </w:rPr>
              <w:t>Standard Chartered Bank</w:t>
            </w:r>
          </w:p>
        </w:tc>
      </w:tr>
      <w:tr w:rsidR="007752F1"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r>
              <w:rPr>
                <w:rFonts w:ascii="Calibri" w:hAnsi="Calibri" w:cs="Calibri"/>
                <w:color w:val="000000"/>
              </w:rPr>
              <w:t>Cindy Foo</w:t>
            </w:r>
          </w:p>
        </w:tc>
        <w:tc>
          <w:tcPr>
            <w:tcW w:w="4856" w:type="dxa"/>
            <w:tcBorders>
              <w:top w:val="nil"/>
              <w:left w:val="nil"/>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r>
              <w:rPr>
                <w:rFonts w:ascii="Calibri" w:hAnsi="Calibri" w:cs="Calibri"/>
                <w:color w:val="000000"/>
              </w:rPr>
              <w:t>SWIFT</w:t>
            </w:r>
          </w:p>
        </w:tc>
      </w:tr>
      <w:tr w:rsidR="007752F1" w:rsidRPr="00D25A0D" w:rsidTr="00B67010">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r>
              <w:rPr>
                <w:rFonts w:ascii="Calibri" w:hAnsi="Calibri" w:cs="Calibri"/>
                <w:color w:val="000000"/>
              </w:rPr>
              <w:t>Magdalene Goh</w:t>
            </w:r>
          </w:p>
        </w:tc>
        <w:tc>
          <w:tcPr>
            <w:tcW w:w="4856" w:type="dxa"/>
            <w:tcBorders>
              <w:top w:val="single" w:sz="4" w:space="0" w:color="auto"/>
              <w:left w:val="nil"/>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r>
              <w:rPr>
                <w:rFonts w:ascii="Calibri" w:hAnsi="Calibri" w:cs="Calibri"/>
                <w:color w:val="000000"/>
              </w:rPr>
              <w:t>SWIFT</w:t>
            </w:r>
          </w:p>
        </w:tc>
      </w:tr>
      <w:tr w:rsidR="007752F1" w:rsidRPr="00D25A0D" w:rsidTr="008F46FD">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r>
              <w:rPr>
                <w:rFonts w:ascii="Calibri" w:hAnsi="Calibri" w:cs="Calibri"/>
                <w:color w:val="000000"/>
              </w:rPr>
              <w:t>Jonathan Lim</w:t>
            </w:r>
          </w:p>
        </w:tc>
        <w:tc>
          <w:tcPr>
            <w:tcW w:w="4856" w:type="dxa"/>
            <w:tcBorders>
              <w:top w:val="single" w:sz="4" w:space="0" w:color="auto"/>
              <w:left w:val="nil"/>
              <w:bottom w:val="single" w:sz="4" w:space="0" w:color="auto"/>
              <w:right w:val="single" w:sz="4" w:space="0" w:color="auto"/>
            </w:tcBorders>
            <w:shd w:val="clear" w:color="auto" w:fill="auto"/>
            <w:vAlign w:val="center"/>
          </w:tcPr>
          <w:p w:rsidR="007752F1" w:rsidRDefault="007752F1">
            <w:pPr>
              <w:rPr>
                <w:rFonts w:ascii="Calibri" w:hAnsi="Calibri" w:cs="Calibri"/>
                <w:color w:val="000000"/>
              </w:rPr>
            </w:pPr>
            <w:r>
              <w:rPr>
                <w:rFonts w:ascii="Calibri" w:hAnsi="Calibri" w:cs="Calibri"/>
                <w:color w:val="000000"/>
              </w:rPr>
              <w:t>UOB</w:t>
            </w:r>
          </w:p>
        </w:tc>
      </w:tr>
    </w:tbl>
    <w:p w:rsidR="003009D4" w:rsidRDefault="003009D4">
      <w:pPr>
        <w:rPr>
          <w:b/>
        </w:rPr>
      </w:pPr>
    </w:p>
    <w:p w:rsidR="000A50E8" w:rsidRDefault="000A50E8">
      <w:pPr>
        <w:rPr>
          <w:b/>
        </w:rPr>
      </w:pPr>
    </w:p>
    <w:p w:rsidR="003C26DE" w:rsidRDefault="003C26DE">
      <w:pPr>
        <w:rPr>
          <w:b/>
        </w:rPr>
      </w:pPr>
    </w:p>
    <w:tbl>
      <w:tblPr>
        <w:tblStyle w:val="TableGrid"/>
        <w:tblpPr w:leftFromText="180" w:rightFromText="180" w:vertAnchor="text" w:horzAnchor="margin" w:tblpY="232"/>
        <w:tblW w:w="10080" w:type="dxa"/>
        <w:tblLook w:val="04A0" w:firstRow="1" w:lastRow="0" w:firstColumn="1" w:lastColumn="0" w:noHBand="0" w:noVBand="1"/>
      </w:tblPr>
      <w:tblGrid>
        <w:gridCol w:w="10080"/>
      </w:tblGrid>
      <w:tr w:rsidR="00D02CAA" w:rsidTr="00D02CAA">
        <w:tc>
          <w:tcPr>
            <w:tcW w:w="10080" w:type="dxa"/>
            <w:tcBorders>
              <w:top w:val="single" w:sz="4" w:space="0" w:color="auto"/>
              <w:left w:val="single" w:sz="4" w:space="0" w:color="auto"/>
              <w:bottom w:val="single" w:sz="4" w:space="0" w:color="auto"/>
              <w:right w:val="single" w:sz="4" w:space="0" w:color="auto"/>
            </w:tcBorders>
            <w:hideMark/>
          </w:tcPr>
          <w:p w:rsidR="00D02CAA" w:rsidRPr="00E777A4" w:rsidRDefault="00D02CAA" w:rsidP="00D02CAA">
            <w:pPr>
              <w:pStyle w:val="BodyText"/>
              <w:rPr>
                <w:rFonts w:cstheme="minorHAnsi"/>
                <w:b/>
              </w:rPr>
            </w:pPr>
            <w:r w:rsidRPr="00E777A4">
              <w:rPr>
                <w:rFonts w:cstheme="minorHAnsi"/>
                <w:b/>
              </w:rPr>
              <w:t>AGENDA</w:t>
            </w:r>
          </w:p>
        </w:tc>
      </w:tr>
      <w:tr w:rsidR="00D02CAA" w:rsidRPr="008A44FC" w:rsidTr="00D02CAA">
        <w:tc>
          <w:tcPr>
            <w:tcW w:w="10080" w:type="dxa"/>
            <w:tcBorders>
              <w:top w:val="single" w:sz="4" w:space="0" w:color="auto"/>
              <w:left w:val="single" w:sz="4" w:space="0" w:color="auto"/>
              <w:bottom w:val="single" w:sz="4" w:space="0" w:color="auto"/>
              <w:right w:val="single" w:sz="4" w:space="0" w:color="auto"/>
            </w:tcBorders>
          </w:tcPr>
          <w:p w:rsidR="00D02CAA" w:rsidRDefault="00D02CAA" w:rsidP="00D02CAA">
            <w:pPr>
              <w:pStyle w:val="ListParagraph"/>
              <w:contextualSpacing w:val="0"/>
            </w:pPr>
          </w:p>
          <w:p w:rsidR="00D02CAA" w:rsidRDefault="00D02CAA" w:rsidP="00D204B3">
            <w:pPr>
              <w:pStyle w:val="ListParagraph"/>
              <w:numPr>
                <w:ilvl w:val="0"/>
                <w:numId w:val="2"/>
              </w:numPr>
              <w:contextualSpacing w:val="0"/>
            </w:pPr>
            <w:r>
              <w:t>SGX e-proxy initiative: how to expand electronic voting in SG market</w:t>
            </w:r>
          </w:p>
          <w:p w:rsidR="00D02CAA" w:rsidRDefault="00D02CAA" w:rsidP="00D204B3">
            <w:pPr>
              <w:pStyle w:val="ListParagraph"/>
              <w:numPr>
                <w:ilvl w:val="0"/>
                <w:numId w:val="2"/>
              </w:numPr>
              <w:contextualSpacing w:val="0"/>
            </w:pPr>
            <w:r>
              <w:t>SGX PTS project phase 2: NMPG views on CA processing using ISO 20022?</w:t>
            </w:r>
          </w:p>
          <w:p w:rsidR="00D02CAA" w:rsidRDefault="00D02CAA" w:rsidP="00D204B3">
            <w:pPr>
              <w:pStyle w:val="ListParagraph"/>
              <w:numPr>
                <w:ilvl w:val="0"/>
                <w:numId w:val="2"/>
              </w:numPr>
              <w:contextualSpacing w:val="0"/>
            </w:pPr>
            <w:r>
              <w:t>SG NMPG standards for CA messages: next steps to publish formats in MyStandards</w:t>
            </w:r>
          </w:p>
          <w:p w:rsidR="00D02CAA" w:rsidRDefault="00D02CAA" w:rsidP="00D204B3">
            <w:pPr>
              <w:pStyle w:val="ListParagraph"/>
              <w:numPr>
                <w:ilvl w:val="0"/>
                <w:numId w:val="2"/>
              </w:numPr>
              <w:contextualSpacing w:val="0"/>
            </w:pPr>
            <w:r>
              <w:t>SR2015 – Maintenance Working Group: review of SR 2015 Change Requests</w:t>
            </w:r>
          </w:p>
          <w:p w:rsidR="00D02CAA" w:rsidRDefault="00D02CAA" w:rsidP="00D204B3">
            <w:pPr>
              <w:pStyle w:val="ListParagraph"/>
              <w:numPr>
                <w:ilvl w:val="0"/>
                <w:numId w:val="2"/>
              </w:numPr>
              <w:contextualSpacing w:val="0"/>
            </w:pPr>
            <w:r>
              <w:t>AOB</w:t>
            </w:r>
          </w:p>
          <w:p w:rsidR="00D02CAA" w:rsidRPr="003C26DE" w:rsidRDefault="00D02CAA" w:rsidP="00D02CAA">
            <w:pPr>
              <w:pStyle w:val="ListParagraph"/>
              <w:autoSpaceDE w:val="0"/>
              <w:autoSpaceDN w:val="0"/>
              <w:adjustRightInd w:val="0"/>
              <w:spacing w:before="280" w:after="280"/>
              <w:rPr>
                <w:rFonts w:asciiTheme="minorHAnsi" w:hAnsiTheme="minorHAnsi" w:cstheme="minorHAnsi"/>
                <w:sz w:val="22"/>
                <w:szCs w:val="22"/>
                <w:lang w:val="en-US"/>
              </w:rPr>
            </w:pPr>
          </w:p>
        </w:tc>
      </w:tr>
    </w:tbl>
    <w:p w:rsidR="003C26DE" w:rsidRDefault="003C26DE">
      <w:pPr>
        <w:rPr>
          <w:b/>
        </w:rPr>
      </w:pPr>
    </w:p>
    <w:p w:rsidR="003C26DE" w:rsidRDefault="003C26DE">
      <w:pPr>
        <w:rPr>
          <w:b/>
        </w:rPr>
      </w:pPr>
    </w:p>
    <w:tbl>
      <w:tblPr>
        <w:tblStyle w:val="TableGrid"/>
        <w:tblpPr w:leftFromText="180" w:rightFromText="180" w:vertAnchor="text" w:horzAnchor="margin" w:tblpY="39"/>
        <w:tblW w:w="10080" w:type="dxa"/>
        <w:tblLook w:val="04A0" w:firstRow="1" w:lastRow="0" w:firstColumn="1" w:lastColumn="0" w:noHBand="0" w:noVBand="1"/>
      </w:tblPr>
      <w:tblGrid>
        <w:gridCol w:w="10080"/>
      </w:tblGrid>
      <w:tr w:rsidR="00D02CAA" w:rsidRPr="004363FC" w:rsidTr="00D02CAA">
        <w:trPr>
          <w:trHeight w:val="282"/>
        </w:trPr>
        <w:tc>
          <w:tcPr>
            <w:tcW w:w="10080" w:type="dxa"/>
            <w:tcBorders>
              <w:top w:val="single" w:sz="4" w:space="0" w:color="auto"/>
              <w:left w:val="single" w:sz="4" w:space="0" w:color="auto"/>
              <w:bottom w:val="single" w:sz="4" w:space="0" w:color="auto"/>
              <w:right w:val="single" w:sz="4" w:space="0" w:color="auto"/>
            </w:tcBorders>
            <w:hideMark/>
          </w:tcPr>
          <w:p w:rsidR="00D02CAA" w:rsidRPr="004363FC" w:rsidRDefault="00D02CAA" w:rsidP="00D02CAA">
            <w:pPr>
              <w:pStyle w:val="BodyText"/>
              <w:rPr>
                <w:rFonts w:cstheme="minorHAnsi"/>
                <w:b/>
              </w:rPr>
            </w:pPr>
            <w:r w:rsidRPr="004363FC">
              <w:rPr>
                <w:rFonts w:cstheme="minorHAnsi"/>
                <w:b/>
              </w:rPr>
              <w:t>MINUTES</w:t>
            </w:r>
          </w:p>
        </w:tc>
      </w:tr>
      <w:tr w:rsidR="00D02CAA" w:rsidRPr="004363FC" w:rsidTr="00D02CAA">
        <w:tc>
          <w:tcPr>
            <w:tcW w:w="10080" w:type="dxa"/>
            <w:tcBorders>
              <w:top w:val="single" w:sz="4" w:space="0" w:color="auto"/>
              <w:left w:val="single" w:sz="4" w:space="0" w:color="auto"/>
              <w:bottom w:val="single" w:sz="4" w:space="0" w:color="auto"/>
              <w:right w:val="single" w:sz="4" w:space="0" w:color="auto"/>
            </w:tcBorders>
          </w:tcPr>
          <w:p w:rsidR="00D02CAA" w:rsidRDefault="00D02CAA" w:rsidP="00D204B3">
            <w:pPr>
              <w:pStyle w:val="ListParagraph"/>
              <w:numPr>
                <w:ilvl w:val="0"/>
                <w:numId w:val="5"/>
              </w:numPr>
              <w:contextualSpacing w:val="0"/>
              <w:rPr>
                <w:b/>
                <w:u w:val="single"/>
              </w:rPr>
            </w:pPr>
            <w:r w:rsidRPr="001048CB">
              <w:rPr>
                <w:b/>
                <w:u w:val="single"/>
              </w:rPr>
              <w:t>SGX e-proxy initiative: how to expand electronic voting in SG market</w:t>
            </w:r>
          </w:p>
          <w:p w:rsidR="00D02CAA" w:rsidRPr="001048CB" w:rsidRDefault="00D02CAA" w:rsidP="00D02CAA">
            <w:pPr>
              <w:pStyle w:val="ListParagraph"/>
              <w:contextualSpacing w:val="0"/>
              <w:rPr>
                <w:b/>
                <w:u w:val="single"/>
              </w:rPr>
            </w:pPr>
          </w:p>
          <w:p w:rsidR="00D02CAA" w:rsidRPr="00294FA4" w:rsidRDefault="00D02CAA" w:rsidP="00D02CAA">
            <w:pPr>
              <w:ind w:left="720"/>
            </w:pPr>
            <w:r w:rsidRPr="00294FA4">
              <w:t xml:space="preserve">SG NMPG CA group </w:t>
            </w:r>
            <w:r>
              <w:t xml:space="preserve"> discussed </w:t>
            </w:r>
            <w:r w:rsidRPr="00294FA4">
              <w:t>with SGX Issuers Services (</w:t>
            </w:r>
            <w:proofErr w:type="spellStart"/>
            <w:r w:rsidRPr="00294FA4">
              <w:t>Mita</w:t>
            </w:r>
            <w:proofErr w:type="spellEnd"/>
            <w:r w:rsidRPr="00294FA4">
              <w:t xml:space="preserve"> Natarajan, Shirley Oh) and </w:t>
            </w:r>
            <w:proofErr w:type="spellStart"/>
            <w:r w:rsidRPr="00294FA4">
              <w:t>Broadridge</w:t>
            </w:r>
            <w:proofErr w:type="spellEnd"/>
            <w:r w:rsidRPr="00294FA4">
              <w:t xml:space="preserve"> (Bruce Babcock, Chris Nixon) on e-voting adoption/ incentives for SG market.</w:t>
            </w:r>
          </w:p>
          <w:p w:rsidR="00D02CAA" w:rsidRPr="00294FA4" w:rsidRDefault="00D02CAA" w:rsidP="00D02CAA">
            <w:pPr>
              <w:ind w:left="720"/>
            </w:pPr>
          </w:p>
          <w:p w:rsidR="00D02CAA" w:rsidRPr="00294FA4" w:rsidRDefault="00D02CAA" w:rsidP="00D02CAA">
            <w:pPr>
              <w:ind w:left="720"/>
            </w:pPr>
            <w:r w:rsidRPr="00294FA4">
              <w:t xml:space="preserve">Through a partnership with </w:t>
            </w:r>
            <w:proofErr w:type="spellStart"/>
            <w:r w:rsidRPr="00294FA4">
              <w:t>Broadridge</w:t>
            </w:r>
            <w:proofErr w:type="spellEnd"/>
            <w:r w:rsidRPr="00294FA4">
              <w:t xml:space="preserve">, SGX currently offers issuers the option to outsource their proxy voting process, mainly about interaction with retail investors. </w:t>
            </w:r>
          </w:p>
          <w:p w:rsidR="00D02CAA" w:rsidRPr="00294FA4" w:rsidRDefault="00D02CAA" w:rsidP="00D02CAA">
            <w:pPr>
              <w:ind w:left="720"/>
            </w:pPr>
            <w:r w:rsidRPr="00294FA4">
              <w:t>However there is a low adoption rate as the service is not mandatory for issuers. In addition, there are limited benefits for DAs servicing institutional investors.</w:t>
            </w:r>
          </w:p>
          <w:p w:rsidR="00D02CAA" w:rsidRPr="00294FA4" w:rsidRDefault="00D02CAA" w:rsidP="00D02CAA">
            <w:pPr>
              <w:ind w:left="720"/>
            </w:pPr>
          </w:p>
          <w:p w:rsidR="00D02CAA" w:rsidRPr="00294FA4" w:rsidRDefault="00D02CAA" w:rsidP="00D02CAA">
            <w:pPr>
              <w:ind w:left="720"/>
            </w:pPr>
            <w:proofErr w:type="spellStart"/>
            <w:r w:rsidRPr="00294FA4">
              <w:t>Broadridge</w:t>
            </w:r>
            <w:proofErr w:type="spellEnd"/>
            <w:r w:rsidRPr="00294FA4">
              <w:t xml:space="preserve"> shared their experience in other markets (US, CA, UK, Japan, Taiwan, etc.) where different solutions are currently in place that cater for both retail and institutional investors.</w:t>
            </w:r>
          </w:p>
          <w:p w:rsidR="00D02CAA" w:rsidRPr="00294FA4" w:rsidRDefault="00D02CAA" w:rsidP="00D02CAA">
            <w:pPr>
              <w:ind w:left="720"/>
            </w:pPr>
          </w:p>
          <w:p w:rsidR="00D02CAA" w:rsidRPr="00294FA4" w:rsidRDefault="00D02CAA" w:rsidP="00D204B3">
            <w:pPr>
              <w:pStyle w:val="ListParagraph"/>
              <w:numPr>
                <w:ilvl w:val="0"/>
                <w:numId w:val="3"/>
              </w:numPr>
              <w:ind w:left="1440"/>
              <w:contextualSpacing w:val="0"/>
            </w:pPr>
            <w:r w:rsidRPr="00294FA4">
              <w:t xml:space="preserve">In US, CA, UK, </w:t>
            </w:r>
            <w:proofErr w:type="spellStart"/>
            <w:r w:rsidRPr="00294FA4">
              <w:t>Broadridge</w:t>
            </w:r>
            <w:proofErr w:type="spellEnd"/>
            <w:r w:rsidRPr="00294FA4">
              <w:t xml:space="preserve"> is appointed by issuers to communicate with retail investors (prospectus, notifications, voting collection)</w:t>
            </w:r>
          </w:p>
          <w:p w:rsidR="00D02CAA" w:rsidRPr="00294FA4" w:rsidRDefault="00D02CAA" w:rsidP="00D204B3">
            <w:pPr>
              <w:pStyle w:val="ListParagraph"/>
              <w:numPr>
                <w:ilvl w:val="0"/>
                <w:numId w:val="3"/>
              </w:numPr>
              <w:ind w:left="1440"/>
              <w:contextualSpacing w:val="0"/>
            </w:pPr>
            <w:r w:rsidRPr="00294FA4">
              <w:t xml:space="preserve">In Japan and Taiwan, </w:t>
            </w:r>
            <w:proofErr w:type="spellStart"/>
            <w:r w:rsidRPr="00294FA4">
              <w:t>Broadridge</w:t>
            </w:r>
            <w:proofErr w:type="spellEnd"/>
            <w:r w:rsidRPr="00294FA4">
              <w:t xml:space="preserve"> partners with the local depository to act as the outsourcing agent that collects and sends voting instructions to the relevant issuers/registrars</w:t>
            </w:r>
          </w:p>
          <w:p w:rsidR="00D02CAA" w:rsidRPr="00294FA4" w:rsidRDefault="00D02CAA" w:rsidP="00D02CAA">
            <w:pPr>
              <w:ind w:left="720"/>
            </w:pPr>
          </w:p>
          <w:p w:rsidR="00D02CAA" w:rsidRPr="00294FA4" w:rsidRDefault="00D02CAA" w:rsidP="00D02CAA">
            <w:pPr>
              <w:ind w:left="720"/>
            </w:pPr>
            <w:r w:rsidRPr="00294FA4">
              <w:t>SG NMPG described the current flow for institutional investors. Communications between DAs and their clients are usually automated (SWIFT, e-channel, etc.) but the flow between DA and the issuers is highly manual.</w:t>
            </w:r>
          </w:p>
          <w:p w:rsidR="00D02CAA" w:rsidRPr="00294FA4" w:rsidRDefault="00D02CAA" w:rsidP="00D02CAA">
            <w:pPr>
              <w:ind w:left="720"/>
            </w:pPr>
          </w:p>
          <w:p w:rsidR="00D02CAA" w:rsidRPr="00294FA4" w:rsidRDefault="00D02CAA" w:rsidP="00D02CAA">
            <w:pPr>
              <w:ind w:left="720"/>
            </w:pPr>
            <w:r w:rsidRPr="00294FA4">
              <w:t>SG NMPG members highlighted the need for a comprehensive approach, that would require infrastructure and operational changes but also possibly regulatory/ legal changes.</w:t>
            </w:r>
          </w:p>
          <w:p w:rsidR="00D02CAA" w:rsidRPr="00294FA4" w:rsidRDefault="00D02CAA" w:rsidP="00D02CAA">
            <w:pPr>
              <w:ind w:left="720"/>
            </w:pPr>
            <w:r w:rsidRPr="00294FA4">
              <w:t xml:space="preserve">For instance, one suggested model would be for SGX/CDP, together with </w:t>
            </w:r>
            <w:proofErr w:type="spellStart"/>
            <w:r w:rsidRPr="00294FA4">
              <w:t>Broadridge</w:t>
            </w:r>
            <w:proofErr w:type="spellEnd"/>
            <w:r w:rsidRPr="00294FA4">
              <w:t xml:space="preserve"> to act as a central utility between issuers and DAs for proxy voting processes, similarly to the JP/TW models</w:t>
            </w:r>
          </w:p>
          <w:p w:rsidR="00D02CAA" w:rsidRDefault="00D02CAA" w:rsidP="00D02CAA"/>
          <w:p w:rsidR="00D02CAA" w:rsidRPr="00294FA4" w:rsidRDefault="00D02CAA" w:rsidP="00D02CAA">
            <w:pPr>
              <w:ind w:left="720"/>
            </w:pPr>
            <w:r w:rsidRPr="00294FA4">
              <w:t>Participants also mentioned the importance to engage issuers similarly to what was done for SGX new CA feed services.</w:t>
            </w:r>
          </w:p>
          <w:p w:rsidR="00D02CAA" w:rsidRPr="00294FA4" w:rsidRDefault="00D02CAA" w:rsidP="00D02CAA">
            <w:pPr>
              <w:ind w:left="720"/>
            </w:pPr>
            <w:r w:rsidRPr="00294FA4">
              <w:t xml:space="preserve">Key priority is to raise </w:t>
            </w:r>
            <w:proofErr w:type="gramStart"/>
            <w:r w:rsidRPr="00294FA4">
              <w:t>issuers</w:t>
            </w:r>
            <w:proofErr w:type="gramEnd"/>
            <w:r w:rsidRPr="00294FA4">
              <w:t xml:space="preserve"> awareness of e-voting benefits/ incentives for them (effectiveness, cost-savings, transparency, etc.)</w:t>
            </w:r>
          </w:p>
          <w:p w:rsidR="00D02CAA" w:rsidRDefault="00D02CAA" w:rsidP="00D02CAA">
            <w:pPr>
              <w:ind w:left="720"/>
            </w:pPr>
          </w:p>
          <w:p w:rsidR="00D02CAA" w:rsidRDefault="00D02CAA" w:rsidP="00D02CAA">
            <w:pPr>
              <w:ind w:left="720"/>
            </w:pPr>
          </w:p>
          <w:p w:rsidR="00D02CAA" w:rsidRPr="00294FA4" w:rsidRDefault="00D02CAA" w:rsidP="00D02CAA">
            <w:pPr>
              <w:ind w:left="720"/>
            </w:pPr>
          </w:p>
          <w:p w:rsidR="00D02CAA" w:rsidRPr="00294FA4" w:rsidRDefault="00D02CAA" w:rsidP="00D02CAA">
            <w:pPr>
              <w:ind w:left="720"/>
              <w:rPr>
                <w:b/>
                <w:bCs/>
              </w:rPr>
            </w:pPr>
            <w:r w:rsidRPr="00294FA4">
              <w:rPr>
                <w:b/>
                <w:bCs/>
              </w:rPr>
              <w:lastRenderedPageBreak/>
              <w:t>Follow-up items for the next meeting (date to be confirmed – ideally in mid-Sep)</w:t>
            </w:r>
          </w:p>
          <w:p w:rsidR="00D02CAA" w:rsidRPr="00294FA4" w:rsidRDefault="00D02CAA" w:rsidP="00D02CAA">
            <w:pPr>
              <w:ind w:left="720"/>
            </w:pPr>
          </w:p>
          <w:p w:rsidR="00D02CAA" w:rsidRPr="00294FA4" w:rsidRDefault="00D02CAA" w:rsidP="00D204B3">
            <w:pPr>
              <w:pStyle w:val="ListParagraph"/>
              <w:numPr>
                <w:ilvl w:val="0"/>
                <w:numId w:val="4"/>
              </w:numPr>
              <w:ind w:left="1440"/>
              <w:contextualSpacing w:val="0"/>
            </w:pPr>
            <w:r w:rsidRPr="00294FA4">
              <w:t xml:space="preserve">SG NMPG to draw a flow of current voting process and highlights key </w:t>
            </w:r>
            <w:proofErr w:type="spellStart"/>
            <w:r w:rsidRPr="00294FA4">
              <w:t>painpoints</w:t>
            </w:r>
            <w:proofErr w:type="spellEnd"/>
            <w:r w:rsidRPr="00294FA4">
              <w:t xml:space="preserve"> (operational, infrastructure, regulatory/ legal) </w:t>
            </w:r>
          </w:p>
          <w:p w:rsidR="00D02CAA" w:rsidRPr="00294FA4" w:rsidRDefault="00D02CAA" w:rsidP="00D204B3">
            <w:pPr>
              <w:pStyle w:val="ListParagraph"/>
              <w:numPr>
                <w:ilvl w:val="0"/>
                <w:numId w:val="4"/>
              </w:numPr>
              <w:ind w:left="1440"/>
              <w:contextualSpacing w:val="0"/>
            </w:pPr>
            <w:proofErr w:type="spellStart"/>
            <w:r w:rsidRPr="00294FA4">
              <w:t>Broadridge</w:t>
            </w:r>
            <w:proofErr w:type="spellEnd"/>
            <w:r w:rsidRPr="00294FA4">
              <w:t xml:space="preserve"> to share current JP/TW operating models and flows</w:t>
            </w:r>
          </w:p>
          <w:p w:rsidR="00D02CAA" w:rsidRPr="00294FA4" w:rsidRDefault="00D02CAA" w:rsidP="00D204B3">
            <w:pPr>
              <w:pStyle w:val="ListParagraph"/>
              <w:numPr>
                <w:ilvl w:val="0"/>
                <w:numId w:val="4"/>
              </w:numPr>
              <w:ind w:left="1440"/>
              <w:contextualSpacing w:val="0"/>
            </w:pPr>
            <w:r w:rsidRPr="00294FA4">
              <w:t>SGX to explore possibility of acting as a central voting utility + start identifying potential incentives/ engagement plans for issuers</w:t>
            </w:r>
          </w:p>
          <w:p w:rsidR="00D02CAA" w:rsidRPr="00D02CAA" w:rsidRDefault="00D02CAA" w:rsidP="00D02CAA">
            <w:pPr>
              <w:rPr>
                <w:b/>
                <w:color w:val="1F497D"/>
                <w:u w:val="single"/>
              </w:rPr>
            </w:pPr>
          </w:p>
          <w:p w:rsidR="00D02CAA" w:rsidRPr="00294FA4" w:rsidRDefault="00D02CAA" w:rsidP="00D02CAA">
            <w:pPr>
              <w:pStyle w:val="ListParagraph"/>
              <w:ind w:left="1440"/>
              <w:contextualSpacing w:val="0"/>
              <w:rPr>
                <w:b/>
                <w:color w:val="1F497D"/>
                <w:u w:val="single"/>
              </w:rPr>
            </w:pPr>
          </w:p>
          <w:p w:rsidR="00D02CAA" w:rsidRPr="00294FA4" w:rsidRDefault="00D02CAA" w:rsidP="00D204B3">
            <w:pPr>
              <w:pStyle w:val="ListParagraph"/>
              <w:numPr>
                <w:ilvl w:val="0"/>
                <w:numId w:val="5"/>
              </w:numPr>
              <w:rPr>
                <w:b/>
                <w:u w:val="single"/>
              </w:rPr>
            </w:pPr>
            <w:r w:rsidRPr="00294FA4">
              <w:rPr>
                <w:b/>
                <w:u w:val="single"/>
              </w:rPr>
              <w:t>SGX PTS project phase 2: NMPG views on CA processing using ISO 20022?</w:t>
            </w:r>
          </w:p>
          <w:p w:rsidR="00D02CAA" w:rsidRPr="0087517E" w:rsidRDefault="00D02CAA" w:rsidP="00D02CAA">
            <w:pPr>
              <w:rPr>
                <w:b/>
                <w:bCs/>
                <w:u w:val="single"/>
              </w:rPr>
            </w:pPr>
          </w:p>
          <w:p w:rsidR="00D02CAA" w:rsidRDefault="00D02CAA" w:rsidP="00D02CAA">
            <w:pPr>
              <w:ind w:left="360"/>
              <w:rPr>
                <w:bCs/>
              </w:rPr>
            </w:pPr>
            <w:r w:rsidRPr="0087517E">
              <w:rPr>
                <w:bCs/>
              </w:rPr>
              <w:t xml:space="preserve">SGX shared their high level plans/ </w:t>
            </w:r>
            <w:proofErr w:type="gramStart"/>
            <w:r w:rsidRPr="0087517E">
              <w:rPr>
                <w:bCs/>
              </w:rPr>
              <w:t>views  of</w:t>
            </w:r>
            <w:proofErr w:type="gramEnd"/>
            <w:r w:rsidRPr="0087517E">
              <w:rPr>
                <w:bCs/>
              </w:rPr>
              <w:t xml:space="preserve"> PTS project phase 2 for CA processing</w:t>
            </w:r>
            <w:r>
              <w:rPr>
                <w:bCs/>
              </w:rPr>
              <w:t xml:space="preserve">. </w:t>
            </w:r>
          </w:p>
          <w:p w:rsidR="00D02CAA" w:rsidRDefault="00D02CAA" w:rsidP="00D02CAA">
            <w:pPr>
              <w:ind w:left="360"/>
              <w:rPr>
                <w:bCs/>
              </w:rPr>
            </w:pPr>
          </w:p>
          <w:p w:rsidR="00D02CAA" w:rsidRDefault="00D02CAA" w:rsidP="00D02CAA">
            <w:pPr>
              <w:ind w:left="360"/>
              <w:rPr>
                <w:bCs/>
              </w:rPr>
            </w:pPr>
            <w:r>
              <w:rPr>
                <w:bCs/>
              </w:rPr>
              <w:t>SGX initial thoughts are:</w:t>
            </w:r>
          </w:p>
          <w:p w:rsidR="00D02CAA" w:rsidRDefault="00D02CAA" w:rsidP="00D02CAA">
            <w:pPr>
              <w:pStyle w:val="ListParagraph"/>
              <w:contextualSpacing w:val="0"/>
              <w:rPr>
                <w:bCs/>
                <w:lang w:val="en-US"/>
              </w:rPr>
            </w:pPr>
          </w:p>
          <w:p w:rsidR="00D02CAA" w:rsidRDefault="00D02CAA" w:rsidP="00D204B3">
            <w:pPr>
              <w:pStyle w:val="ListParagraph"/>
              <w:numPr>
                <w:ilvl w:val="1"/>
                <w:numId w:val="12"/>
              </w:numPr>
              <w:contextualSpacing w:val="0"/>
              <w:rPr>
                <w:bCs/>
                <w:lang w:val="en-US"/>
              </w:rPr>
            </w:pPr>
            <w:r>
              <w:rPr>
                <w:bCs/>
                <w:lang w:val="en-US"/>
              </w:rPr>
              <w:t>SGX plans to support 2 channels for CA :</w:t>
            </w:r>
          </w:p>
          <w:p w:rsidR="00D02CAA" w:rsidRDefault="00D02CAA" w:rsidP="00D204B3">
            <w:pPr>
              <w:pStyle w:val="ListParagraph"/>
              <w:numPr>
                <w:ilvl w:val="2"/>
                <w:numId w:val="11"/>
              </w:numPr>
              <w:contextualSpacing w:val="0"/>
              <w:rPr>
                <w:bCs/>
                <w:lang w:val="en-US"/>
              </w:rPr>
            </w:pPr>
            <w:r>
              <w:rPr>
                <w:bCs/>
                <w:lang w:val="en-US"/>
              </w:rPr>
              <w:t xml:space="preserve">Channel 1: </w:t>
            </w:r>
            <w:r w:rsidRPr="00CA058B">
              <w:rPr>
                <w:bCs/>
                <w:lang w:val="en-US"/>
              </w:rPr>
              <w:t>Either support</w:t>
            </w:r>
            <w:r>
              <w:rPr>
                <w:bCs/>
                <w:lang w:val="en-US"/>
              </w:rPr>
              <w:t xml:space="preserve"> ISO 20022 (via API) or P</w:t>
            </w:r>
            <w:r w:rsidRPr="00CA058B">
              <w:rPr>
                <w:bCs/>
                <w:lang w:val="en-US"/>
              </w:rPr>
              <w:t>roprietary file upload</w:t>
            </w:r>
            <w:r>
              <w:rPr>
                <w:bCs/>
                <w:lang w:val="en-US"/>
              </w:rPr>
              <w:t xml:space="preserve"> (via SFTP) =&gt; SG community to agree on which one</w:t>
            </w:r>
          </w:p>
          <w:p w:rsidR="00D02CAA" w:rsidRDefault="00D02CAA" w:rsidP="00D204B3">
            <w:pPr>
              <w:pStyle w:val="ListParagraph"/>
              <w:numPr>
                <w:ilvl w:val="2"/>
                <w:numId w:val="11"/>
              </w:numPr>
              <w:contextualSpacing w:val="0"/>
              <w:rPr>
                <w:bCs/>
                <w:lang w:val="en-US"/>
              </w:rPr>
            </w:pPr>
            <w:r>
              <w:rPr>
                <w:bCs/>
                <w:lang w:val="en-US"/>
              </w:rPr>
              <w:t xml:space="preserve">Channel 2: Manual input through SGX Web portal (GUI front-end ); most likely for retail clients </w:t>
            </w:r>
          </w:p>
          <w:p w:rsidR="00D02CAA" w:rsidRPr="00270519" w:rsidRDefault="00D02CAA" w:rsidP="00D204B3">
            <w:pPr>
              <w:pStyle w:val="ListParagraph"/>
              <w:numPr>
                <w:ilvl w:val="2"/>
                <w:numId w:val="11"/>
              </w:numPr>
              <w:contextualSpacing w:val="0"/>
              <w:rPr>
                <w:bCs/>
                <w:lang w:val="en-US"/>
              </w:rPr>
            </w:pPr>
            <w:r w:rsidRPr="00270519">
              <w:rPr>
                <w:bCs/>
                <w:lang w:val="en-US"/>
              </w:rPr>
              <w:t>ISO15022 will not be considered</w:t>
            </w:r>
          </w:p>
          <w:p w:rsidR="00D02CAA" w:rsidRDefault="00D02CAA" w:rsidP="00D204B3">
            <w:pPr>
              <w:pStyle w:val="ListParagraph"/>
              <w:numPr>
                <w:ilvl w:val="1"/>
                <w:numId w:val="13"/>
              </w:numPr>
              <w:contextualSpacing w:val="0"/>
              <w:rPr>
                <w:bCs/>
                <w:lang w:val="en-US"/>
              </w:rPr>
            </w:pPr>
            <w:r>
              <w:rPr>
                <w:bCs/>
                <w:lang w:val="en-US"/>
              </w:rPr>
              <w:t>SGX plans to tackle CA election processing initially as part of PTS phase 2</w:t>
            </w:r>
          </w:p>
          <w:p w:rsidR="00D02CAA" w:rsidRDefault="00D02CAA" w:rsidP="00D204B3">
            <w:pPr>
              <w:pStyle w:val="ListParagraph"/>
              <w:numPr>
                <w:ilvl w:val="1"/>
                <w:numId w:val="13"/>
              </w:numPr>
              <w:contextualSpacing w:val="0"/>
              <w:rPr>
                <w:bCs/>
                <w:lang w:val="en-US"/>
              </w:rPr>
            </w:pPr>
            <w:r>
              <w:rPr>
                <w:bCs/>
                <w:lang w:val="en-US"/>
              </w:rPr>
              <w:t>Roll-out targeted for May 2016</w:t>
            </w:r>
          </w:p>
          <w:p w:rsidR="00D02CAA" w:rsidRDefault="00D02CAA" w:rsidP="00D02CAA">
            <w:pPr>
              <w:pStyle w:val="ListParagraph"/>
              <w:contextualSpacing w:val="0"/>
              <w:rPr>
                <w:bCs/>
                <w:lang w:val="en-US"/>
              </w:rPr>
            </w:pPr>
          </w:p>
          <w:p w:rsidR="00D02CAA" w:rsidRPr="0087517E" w:rsidRDefault="00D02CAA" w:rsidP="00D02CAA">
            <w:pPr>
              <w:pStyle w:val="ListParagraph"/>
              <w:ind w:left="342"/>
              <w:contextualSpacing w:val="0"/>
              <w:rPr>
                <w:bCs/>
                <w:lang w:val="en-US"/>
              </w:rPr>
            </w:pPr>
            <w:r>
              <w:rPr>
                <w:bCs/>
                <w:lang w:val="en-US"/>
              </w:rPr>
              <w:t>Participants feedback on community readiness:</w:t>
            </w:r>
            <w:r w:rsidRPr="0087517E">
              <w:rPr>
                <w:bCs/>
                <w:lang w:val="en-US"/>
              </w:rPr>
              <w:t xml:space="preserve"> </w:t>
            </w:r>
          </w:p>
          <w:p w:rsidR="00D02CAA" w:rsidRPr="00270519" w:rsidRDefault="00D02CAA" w:rsidP="00D02CAA">
            <w:pPr>
              <w:ind w:left="720"/>
              <w:rPr>
                <w:b/>
                <w:bCs/>
                <w:u w:val="single"/>
              </w:rPr>
            </w:pPr>
          </w:p>
          <w:p w:rsidR="00D02CAA" w:rsidRPr="00884C03" w:rsidRDefault="00D02CAA" w:rsidP="00D204B3">
            <w:pPr>
              <w:pStyle w:val="ListParagraph"/>
              <w:numPr>
                <w:ilvl w:val="1"/>
                <w:numId w:val="14"/>
              </w:numPr>
              <w:contextualSpacing w:val="0"/>
              <w:rPr>
                <w:b/>
                <w:bCs/>
                <w:u w:val="single"/>
                <w:lang w:val="en-US"/>
              </w:rPr>
            </w:pPr>
            <w:r>
              <w:rPr>
                <w:bCs/>
                <w:lang w:val="en-US"/>
              </w:rPr>
              <w:t xml:space="preserve">While DAs recognize that ISO20022 might make better sense for SGX, it was also noted that Das have significantly invested and achieved high level of STP using ISO15022. Switching to ISO20022 would require significant efforts, cost and time.  </w:t>
            </w:r>
          </w:p>
          <w:p w:rsidR="00D02CAA" w:rsidRPr="00884C03" w:rsidRDefault="00D02CAA" w:rsidP="00D204B3">
            <w:pPr>
              <w:pStyle w:val="ListParagraph"/>
              <w:numPr>
                <w:ilvl w:val="1"/>
                <w:numId w:val="14"/>
              </w:numPr>
              <w:contextualSpacing w:val="0"/>
              <w:rPr>
                <w:b/>
                <w:bCs/>
                <w:u w:val="single"/>
                <w:lang w:val="en-US"/>
              </w:rPr>
            </w:pPr>
            <w:r>
              <w:rPr>
                <w:lang w:val="en-US"/>
              </w:rPr>
              <w:t xml:space="preserve">General view was that system requirements need to be put in place, DA needs to be warned in advance, grace period to allow co-existence. </w:t>
            </w:r>
          </w:p>
          <w:p w:rsidR="00D02CAA" w:rsidRPr="0087517E" w:rsidRDefault="00D02CAA" w:rsidP="00D204B3">
            <w:pPr>
              <w:pStyle w:val="ListParagraph"/>
              <w:numPr>
                <w:ilvl w:val="1"/>
                <w:numId w:val="14"/>
              </w:numPr>
              <w:contextualSpacing w:val="0"/>
              <w:rPr>
                <w:b/>
                <w:bCs/>
                <w:u w:val="single"/>
                <w:lang w:val="en-US"/>
              </w:rPr>
            </w:pPr>
            <w:r>
              <w:rPr>
                <w:lang w:val="en-US"/>
              </w:rPr>
              <w:t>Also, if we were to change, then we have to do it across the entire lifecycle (announcements, eligibility/ entitlement confirmation, CA election processing and confirmation, payment, etc.</w:t>
            </w:r>
          </w:p>
          <w:p w:rsidR="00D02CAA" w:rsidRDefault="00D02CAA" w:rsidP="00D204B3">
            <w:pPr>
              <w:pStyle w:val="ListParagraph"/>
              <w:numPr>
                <w:ilvl w:val="1"/>
                <w:numId w:val="14"/>
              </w:numPr>
              <w:contextualSpacing w:val="0"/>
              <w:rPr>
                <w:b/>
                <w:bCs/>
                <w:u w:val="single"/>
                <w:lang w:val="en-US"/>
              </w:rPr>
            </w:pPr>
            <w:r>
              <w:rPr>
                <w:lang w:val="en-US"/>
              </w:rPr>
              <w:t xml:space="preserve">Phased by event types or components? Some preferred event types, some preferred components. </w:t>
            </w:r>
          </w:p>
          <w:p w:rsidR="00D02CAA" w:rsidRDefault="00D02CAA" w:rsidP="00D02CAA"/>
          <w:p w:rsidR="00D02CAA" w:rsidRPr="00D02CAA" w:rsidRDefault="00D02CAA" w:rsidP="00D02CAA">
            <w:pPr>
              <w:ind w:firstLine="342"/>
              <w:rPr>
                <w:b/>
                <w:bCs/>
                <w:u w:val="single"/>
              </w:rPr>
            </w:pPr>
            <w:r w:rsidRPr="00270519">
              <w:t>Action: SGX to share high-level scoping agreement</w:t>
            </w:r>
            <w:r>
              <w:t xml:space="preserve"> and publish questionnaire for further consultation </w:t>
            </w:r>
          </w:p>
          <w:p w:rsidR="00D02CAA" w:rsidRDefault="00D02CAA" w:rsidP="00D02CAA">
            <w:pPr>
              <w:pStyle w:val="ListParagraph"/>
            </w:pPr>
          </w:p>
          <w:p w:rsidR="00D02CAA" w:rsidRPr="00294FA4" w:rsidRDefault="00D02CAA" w:rsidP="00D204B3">
            <w:pPr>
              <w:pStyle w:val="ListParagraph"/>
              <w:numPr>
                <w:ilvl w:val="0"/>
                <w:numId w:val="5"/>
              </w:numPr>
              <w:rPr>
                <w:b/>
                <w:u w:val="single"/>
              </w:rPr>
            </w:pPr>
            <w:r w:rsidRPr="00294FA4">
              <w:rPr>
                <w:b/>
                <w:u w:val="single"/>
              </w:rPr>
              <w:t>SG NMPG standards for CA messages: next steps to publish formats in MyStandards</w:t>
            </w:r>
          </w:p>
          <w:p w:rsidR="00D02CAA" w:rsidRDefault="00D02CAA" w:rsidP="00D02CAA">
            <w:pPr>
              <w:pStyle w:val="ListParagraph"/>
            </w:pPr>
          </w:p>
          <w:p w:rsidR="00D02CAA" w:rsidRDefault="00D02CAA" w:rsidP="00D204B3">
            <w:pPr>
              <w:pStyle w:val="ListParagraph"/>
              <w:numPr>
                <w:ilvl w:val="0"/>
                <w:numId w:val="8"/>
              </w:numPr>
              <w:ind w:left="1080"/>
            </w:pPr>
            <w:r>
              <w:t xml:space="preserve">Following the publications of the SG market Settlement market practice templates in MyStandards, the group discussed on publishing similar templates for CA messages. </w:t>
            </w:r>
          </w:p>
          <w:p w:rsidR="00D02CAA" w:rsidRDefault="00D02CAA" w:rsidP="00D02CAA">
            <w:pPr>
              <w:pStyle w:val="ListParagraph"/>
              <w:ind w:left="1080"/>
            </w:pPr>
          </w:p>
          <w:p w:rsidR="00D02CAA" w:rsidRDefault="00D02CAA" w:rsidP="00D204B3">
            <w:pPr>
              <w:pStyle w:val="ListParagraph"/>
              <w:numPr>
                <w:ilvl w:val="0"/>
                <w:numId w:val="8"/>
              </w:numPr>
              <w:ind w:left="1080"/>
            </w:pPr>
            <w:r>
              <w:t xml:space="preserve">SWIFT team recommended, as a first step, for the group to review the “Global Market Practice – Part 2/ EIG+” grid and update it in the context of SG market. </w:t>
            </w:r>
          </w:p>
          <w:p w:rsidR="00D02CAA" w:rsidRDefault="00D02CAA" w:rsidP="00D02CAA"/>
          <w:p w:rsidR="00D02CAA" w:rsidRDefault="00D02CAA" w:rsidP="00D204B3">
            <w:pPr>
              <w:pStyle w:val="ListParagraph"/>
              <w:numPr>
                <w:ilvl w:val="0"/>
                <w:numId w:val="8"/>
              </w:numPr>
              <w:ind w:left="1080"/>
            </w:pPr>
            <w:r>
              <w:t>It was agreed that each institution would review and update one event type grid for the next meeting</w:t>
            </w:r>
          </w:p>
          <w:p w:rsidR="00D02CAA" w:rsidRPr="00294FA4" w:rsidRDefault="00D02CAA" w:rsidP="00D204B3">
            <w:pPr>
              <w:pStyle w:val="ListParagraph"/>
              <w:numPr>
                <w:ilvl w:val="0"/>
                <w:numId w:val="10"/>
              </w:numPr>
              <w:ind w:left="2520"/>
            </w:pPr>
            <w:r w:rsidRPr="00294FA4">
              <w:t>DVCA: UOB</w:t>
            </w:r>
          </w:p>
          <w:p w:rsidR="00D02CAA" w:rsidRPr="00294FA4" w:rsidRDefault="00D02CAA" w:rsidP="00D204B3">
            <w:pPr>
              <w:pStyle w:val="ListParagraph"/>
              <w:numPr>
                <w:ilvl w:val="0"/>
                <w:numId w:val="10"/>
              </w:numPr>
              <w:ind w:left="2520"/>
            </w:pPr>
            <w:r w:rsidRPr="00294FA4">
              <w:t>INTR: DBS</w:t>
            </w:r>
          </w:p>
          <w:p w:rsidR="00D02CAA" w:rsidRPr="00294FA4" w:rsidRDefault="00D02CAA" w:rsidP="00D204B3">
            <w:pPr>
              <w:pStyle w:val="ListParagraph"/>
              <w:numPr>
                <w:ilvl w:val="0"/>
                <w:numId w:val="10"/>
              </w:numPr>
              <w:ind w:left="2520"/>
            </w:pPr>
            <w:r w:rsidRPr="00294FA4">
              <w:t>Redemption: CITI</w:t>
            </w:r>
          </w:p>
          <w:p w:rsidR="00D02CAA" w:rsidRPr="00294FA4" w:rsidRDefault="00D02CAA" w:rsidP="00D204B3">
            <w:pPr>
              <w:pStyle w:val="ListParagraph"/>
              <w:numPr>
                <w:ilvl w:val="0"/>
                <w:numId w:val="10"/>
              </w:numPr>
              <w:ind w:left="2520"/>
            </w:pPr>
            <w:r w:rsidRPr="00294FA4">
              <w:t>Rights issue: SCB</w:t>
            </w:r>
          </w:p>
          <w:p w:rsidR="00D02CAA" w:rsidRPr="00294FA4" w:rsidRDefault="00D02CAA" w:rsidP="00D204B3">
            <w:pPr>
              <w:pStyle w:val="ListParagraph"/>
              <w:numPr>
                <w:ilvl w:val="0"/>
                <w:numId w:val="10"/>
              </w:numPr>
              <w:ind w:left="2520"/>
            </w:pPr>
            <w:r w:rsidRPr="00294FA4">
              <w:t>BONU: DB</w:t>
            </w:r>
          </w:p>
          <w:p w:rsidR="00D02CAA" w:rsidRPr="00294FA4" w:rsidRDefault="00D02CAA" w:rsidP="00D204B3">
            <w:pPr>
              <w:pStyle w:val="ListParagraph"/>
              <w:numPr>
                <w:ilvl w:val="0"/>
                <w:numId w:val="10"/>
              </w:numPr>
              <w:ind w:left="2520"/>
            </w:pPr>
            <w:r w:rsidRPr="00294FA4">
              <w:t>DVOP: HSBC</w:t>
            </w:r>
          </w:p>
          <w:p w:rsidR="00D02CAA" w:rsidRDefault="00D02CAA" w:rsidP="00D02CAA">
            <w:pPr>
              <w:pStyle w:val="ListParagraph"/>
              <w:ind w:left="360"/>
              <w:contextualSpacing w:val="0"/>
              <w:rPr>
                <w:lang w:val="en-US"/>
              </w:rPr>
            </w:pPr>
          </w:p>
          <w:p w:rsidR="00D02CAA" w:rsidRPr="00294FA4" w:rsidRDefault="00D02CAA" w:rsidP="00D204B3">
            <w:pPr>
              <w:pStyle w:val="ListParagraph"/>
              <w:numPr>
                <w:ilvl w:val="0"/>
                <w:numId w:val="9"/>
              </w:numPr>
              <w:ind w:left="1080"/>
            </w:pPr>
            <w:r w:rsidRPr="00294FA4">
              <w:t>The GMP Part 2 document (EIG+) will be sent for reference as part of the minutes</w:t>
            </w:r>
          </w:p>
          <w:p w:rsidR="00D02CAA" w:rsidRPr="001048CB" w:rsidRDefault="00D02CAA" w:rsidP="00D02CAA">
            <w:pPr>
              <w:pStyle w:val="ListParagraph"/>
              <w:rPr>
                <w:lang w:val="en-US"/>
              </w:rPr>
            </w:pPr>
          </w:p>
          <w:p w:rsidR="00D02CAA" w:rsidRDefault="00D02CAA" w:rsidP="00D02CAA">
            <w:pPr>
              <w:pStyle w:val="ListParagraph"/>
            </w:pPr>
          </w:p>
          <w:p w:rsidR="00D02CAA" w:rsidRDefault="00D02CAA" w:rsidP="00D02CAA">
            <w:pPr>
              <w:pStyle w:val="ListParagraph"/>
            </w:pPr>
          </w:p>
          <w:p w:rsidR="00D02CAA" w:rsidRPr="001048CB" w:rsidRDefault="00D02CAA" w:rsidP="00D204B3">
            <w:pPr>
              <w:pStyle w:val="ListParagraph"/>
              <w:numPr>
                <w:ilvl w:val="0"/>
                <w:numId w:val="5"/>
              </w:numPr>
              <w:rPr>
                <w:b/>
                <w:u w:val="single"/>
              </w:rPr>
            </w:pPr>
            <w:r w:rsidRPr="001048CB">
              <w:rPr>
                <w:b/>
                <w:u w:val="single"/>
              </w:rPr>
              <w:t>SR2015 – Maintenance Working Group: review of SR 2015 Change Requests</w:t>
            </w:r>
          </w:p>
          <w:p w:rsidR="00D02CAA" w:rsidRDefault="00D02CAA" w:rsidP="00D02CAA">
            <w:pPr>
              <w:pStyle w:val="ListParagraph"/>
            </w:pPr>
          </w:p>
          <w:p w:rsidR="00D02CAA" w:rsidRDefault="00D02CAA" w:rsidP="00D02CAA">
            <w:pPr>
              <w:pStyle w:val="ListParagraph"/>
            </w:pPr>
            <w:r>
              <w:t>The group reviewed the SR 2015 CR items and provided the following opinion/ feedback to be shared at the MWG meeting in August:</w:t>
            </w:r>
          </w:p>
          <w:p w:rsidR="00D02CAA" w:rsidRDefault="00D02CAA" w:rsidP="00D02CAA">
            <w:pPr>
              <w:pStyle w:val="ListParagraph"/>
            </w:pPr>
          </w:p>
          <w:p w:rsidR="00D02CAA" w:rsidRPr="00270519" w:rsidRDefault="00D02CAA" w:rsidP="00D204B3">
            <w:pPr>
              <w:pStyle w:val="ListParagraph"/>
              <w:numPr>
                <w:ilvl w:val="0"/>
                <w:numId w:val="6"/>
              </w:numPr>
              <w:contextualSpacing w:val="0"/>
              <w:rPr>
                <w:color w:val="7F7F7F" w:themeColor="text1" w:themeTint="80"/>
                <w:lang w:val="en-US"/>
              </w:rPr>
            </w:pPr>
            <w:r w:rsidRPr="00270519">
              <w:rPr>
                <w:color w:val="7F7F7F" w:themeColor="text1" w:themeTint="80"/>
                <w:lang w:val="en-US"/>
              </w:rPr>
              <w:t xml:space="preserve">2.1, CR 773: SG market to continue using TAXR. SG market prefers definition change &gt; Option 1. </w:t>
            </w:r>
          </w:p>
          <w:p w:rsidR="00D02CAA" w:rsidRPr="00270519" w:rsidRDefault="00D02CAA" w:rsidP="00D204B3">
            <w:pPr>
              <w:pStyle w:val="ListParagraph"/>
              <w:numPr>
                <w:ilvl w:val="1"/>
                <w:numId w:val="6"/>
              </w:numPr>
              <w:rPr>
                <w:color w:val="7F7F7F" w:themeColor="text1" w:themeTint="80"/>
                <w:lang w:val="en-US"/>
              </w:rPr>
            </w:pPr>
            <w:r w:rsidRPr="00270519">
              <w:rPr>
                <w:color w:val="7F7F7F" w:themeColor="text1" w:themeTint="80"/>
                <w:lang w:val="en-US"/>
              </w:rPr>
              <w:t xml:space="preserve">There was a concern of removing TAXE qualifier in option 1 – this qualifier should stay in the narrative. </w:t>
            </w:r>
          </w:p>
          <w:p w:rsidR="00D02CAA" w:rsidRPr="00270519" w:rsidRDefault="00D02CAA" w:rsidP="00D204B3">
            <w:pPr>
              <w:pStyle w:val="ListParagraph"/>
              <w:numPr>
                <w:ilvl w:val="1"/>
                <w:numId w:val="6"/>
              </w:numPr>
              <w:rPr>
                <w:color w:val="7F7F7F" w:themeColor="text1" w:themeTint="80"/>
                <w:lang w:val="en-US"/>
              </w:rPr>
            </w:pPr>
            <w:r w:rsidRPr="00270519">
              <w:rPr>
                <w:color w:val="7F7F7F" w:themeColor="text1" w:themeTint="80"/>
                <w:lang w:val="en-US"/>
              </w:rPr>
              <w:t xml:space="preserve">[Personally I think there was </w:t>
            </w:r>
            <w:proofErr w:type="gramStart"/>
            <w:r w:rsidRPr="00270519">
              <w:rPr>
                <w:color w:val="7F7F7F" w:themeColor="text1" w:themeTint="80"/>
                <w:lang w:val="en-US"/>
              </w:rPr>
              <w:t>a confusion</w:t>
            </w:r>
            <w:proofErr w:type="gramEnd"/>
            <w:r w:rsidRPr="00270519">
              <w:rPr>
                <w:color w:val="7F7F7F" w:themeColor="text1" w:themeTint="80"/>
                <w:lang w:val="en-US"/>
              </w:rPr>
              <w:t xml:space="preserve"> between this TAXE qualifier with another TAXE qualifier. The one raised by Alan is actually located in Sequence F under 70E narrative – which is different from this CR where TAXE is in sequence E.] </w:t>
            </w:r>
          </w:p>
          <w:p w:rsidR="00D02CAA" w:rsidRPr="00270519" w:rsidRDefault="00D02CAA" w:rsidP="00D204B3">
            <w:pPr>
              <w:pStyle w:val="ListParagraph"/>
              <w:numPr>
                <w:ilvl w:val="0"/>
                <w:numId w:val="6"/>
              </w:numPr>
              <w:contextualSpacing w:val="0"/>
              <w:rPr>
                <w:color w:val="7F7F7F" w:themeColor="text1" w:themeTint="80"/>
                <w:lang w:val="en-US"/>
              </w:rPr>
            </w:pPr>
            <w:r w:rsidRPr="00270519">
              <w:rPr>
                <w:color w:val="7F7F7F" w:themeColor="text1" w:themeTint="80"/>
                <w:lang w:val="en-US"/>
              </w:rPr>
              <w:t xml:space="preserve">2.2, CR 777: Not applicable in SG market. However, question </w:t>
            </w:r>
            <w:proofErr w:type="gramStart"/>
            <w:r w:rsidRPr="00270519">
              <w:rPr>
                <w:color w:val="7F7F7F" w:themeColor="text1" w:themeTint="80"/>
                <w:lang w:val="en-US"/>
              </w:rPr>
              <w:t>raised</w:t>
            </w:r>
            <w:proofErr w:type="gramEnd"/>
            <w:r w:rsidRPr="00270519">
              <w:rPr>
                <w:color w:val="7F7F7F" w:themeColor="text1" w:themeTint="80"/>
                <w:lang w:val="en-US"/>
              </w:rPr>
              <w:t xml:space="preserve"> on why are they not using early call / redemption? </w:t>
            </w:r>
          </w:p>
          <w:p w:rsidR="00D02CAA" w:rsidRPr="00270519" w:rsidRDefault="00D02CAA" w:rsidP="00D204B3">
            <w:pPr>
              <w:pStyle w:val="ListParagraph"/>
              <w:numPr>
                <w:ilvl w:val="0"/>
                <w:numId w:val="6"/>
              </w:numPr>
              <w:contextualSpacing w:val="0"/>
              <w:rPr>
                <w:color w:val="7F7F7F" w:themeColor="text1" w:themeTint="80"/>
                <w:lang w:val="en-US"/>
              </w:rPr>
            </w:pPr>
            <w:r w:rsidRPr="00270519">
              <w:rPr>
                <w:color w:val="7F7F7F" w:themeColor="text1" w:themeTint="80"/>
                <w:lang w:val="en-US"/>
              </w:rPr>
              <w:t>2.3, CR 779: Not applicable in SG market</w:t>
            </w:r>
          </w:p>
          <w:p w:rsidR="00D02CAA" w:rsidRPr="00270519" w:rsidRDefault="00D02CAA" w:rsidP="00D204B3">
            <w:pPr>
              <w:pStyle w:val="ListParagraph"/>
              <w:numPr>
                <w:ilvl w:val="0"/>
                <w:numId w:val="6"/>
              </w:numPr>
              <w:contextualSpacing w:val="0"/>
              <w:rPr>
                <w:color w:val="7F7F7F" w:themeColor="text1" w:themeTint="80"/>
                <w:lang w:val="en-US"/>
              </w:rPr>
            </w:pPr>
            <w:r w:rsidRPr="00270519">
              <w:rPr>
                <w:color w:val="7F7F7F" w:themeColor="text1" w:themeTint="80"/>
                <w:lang w:val="en-US"/>
              </w:rPr>
              <w:t>2.4, CR 780: Not applicable in SG market</w:t>
            </w:r>
          </w:p>
          <w:p w:rsidR="00D02CAA" w:rsidRPr="00270519" w:rsidRDefault="00D02CAA" w:rsidP="00D204B3">
            <w:pPr>
              <w:pStyle w:val="ListParagraph"/>
              <w:numPr>
                <w:ilvl w:val="0"/>
                <w:numId w:val="6"/>
              </w:numPr>
              <w:contextualSpacing w:val="0"/>
              <w:rPr>
                <w:color w:val="7F7F7F" w:themeColor="text1" w:themeTint="80"/>
                <w:lang w:val="en-US"/>
              </w:rPr>
            </w:pPr>
            <w:r w:rsidRPr="00270519">
              <w:rPr>
                <w:color w:val="7F7F7F" w:themeColor="text1" w:themeTint="80"/>
                <w:lang w:val="en-US"/>
              </w:rPr>
              <w:t xml:space="preserve">2.5, CR 769: Definition is too specific to UCITS. Probably worthwhile to make it broader? However, there is no demand for SG. Nice to have. </w:t>
            </w:r>
          </w:p>
          <w:p w:rsidR="00D02CAA" w:rsidRPr="00270519" w:rsidRDefault="00D02CAA" w:rsidP="00D204B3">
            <w:pPr>
              <w:pStyle w:val="ListParagraph"/>
              <w:numPr>
                <w:ilvl w:val="0"/>
                <w:numId w:val="6"/>
              </w:numPr>
              <w:contextualSpacing w:val="0"/>
              <w:rPr>
                <w:color w:val="7F7F7F" w:themeColor="text1" w:themeTint="80"/>
                <w:lang w:val="en-US"/>
              </w:rPr>
            </w:pPr>
            <w:r w:rsidRPr="00270519">
              <w:rPr>
                <w:color w:val="7F7F7F" w:themeColor="text1" w:themeTint="80"/>
                <w:lang w:val="en-US"/>
              </w:rPr>
              <w:t xml:space="preserve">2.6, CR 771: Request 1: Why is there no deadline requested? We would still have to use narrative. </w:t>
            </w:r>
          </w:p>
          <w:p w:rsidR="00D02CAA" w:rsidRPr="00270519" w:rsidRDefault="00D02CAA" w:rsidP="00D204B3">
            <w:pPr>
              <w:pStyle w:val="ListParagraph"/>
              <w:numPr>
                <w:ilvl w:val="2"/>
                <w:numId w:val="6"/>
              </w:numPr>
              <w:rPr>
                <w:color w:val="7F7F7F" w:themeColor="text1" w:themeTint="80"/>
              </w:rPr>
            </w:pPr>
            <w:r w:rsidRPr="00270519">
              <w:rPr>
                <w:color w:val="7F7F7F" w:themeColor="text1" w:themeTint="80"/>
              </w:rPr>
              <w:t>Request 2: No issue</w:t>
            </w:r>
          </w:p>
          <w:p w:rsidR="00D02CAA" w:rsidRPr="00270519" w:rsidRDefault="00D02CAA" w:rsidP="00D204B3">
            <w:pPr>
              <w:pStyle w:val="ListParagraph"/>
              <w:numPr>
                <w:ilvl w:val="0"/>
                <w:numId w:val="6"/>
              </w:numPr>
              <w:contextualSpacing w:val="0"/>
              <w:rPr>
                <w:color w:val="7F7F7F" w:themeColor="text1" w:themeTint="80"/>
                <w:lang w:val="en-US"/>
              </w:rPr>
            </w:pPr>
            <w:r w:rsidRPr="00270519">
              <w:rPr>
                <w:color w:val="7F7F7F" w:themeColor="text1" w:themeTint="80"/>
                <w:lang w:val="en-US"/>
              </w:rPr>
              <w:t>2.7, CR 778: No issue</w:t>
            </w:r>
          </w:p>
          <w:p w:rsidR="00D02CAA" w:rsidRPr="00270519" w:rsidRDefault="00D02CAA" w:rsidP="00D204B3">
            <w:pPr>
              <w:pStyle w:val="ListParagraph"/>
              <w:numPr>
                <w:ilvl w:val="0"/>
                <w:numId w:val="6"/>
              </w:numPr>
              <w:contextualSpacing w:val="0"/>
              <w:rPr>
                <w:color w:val="7F7F7F" w:themeColor="text1" w:themeTint="80"/>
                <w:lang w:val="en-US"/>
              </w:rPr>
            </w:pPr>
            <w:r w:rsidRPr="00270519">
              <w:rPr>
                <w:color w:val="7F7F7F" w:themeColor="text1" w:themeTint="80"/>
                <w:lang w:val="en-US"/>
              </w:rPr>
              <w:t>2.8, CR 775: Not applicable in SG market</w:t>
            </w:r>
          </w:p>
          <w:p w:rsidR="00D02CAA" w:rsidRPr="00270519" w:rsidRDefault="00D02CAA" w:rsidP="00D204B3">
            <w:pPr>
              <w:pStyle w:val="ListParagraph"/>
              <w:numPr>
                <w:ilvl w:val="0"/>
                <w:numId w:val="6"/>
              </w:numPr>
              <w:contextualSpacing w:val="0"/>
              <w:rPr>
                <w:color w:val="7F7F7F" w:themeColor="text1" w:themeTint="80"/>
                <w:lang w:val="en-US"/>
              </w:rPr>
            </w:pPr>
            <w:r w:rsidRPr="00270519">
              <w:rPr>
                <w:color w:val="7F7F7F" w:themeColor="text1" w:themeTint="80"/>
                <w:lang w:val="en-US"/>
              </w:rPr>
              <w:t>2.9, CR 776: No issue</w:t>
            </w:r>
          </w:p>
          <w:p w:rsidR="00D02CAA" w:rsidRPr="00270519" w:rsidRDefault="00D02CAA" w:rsidP="00D204B3">
            <w:pPr>
              <w:pStyle w:val="ListParagraph"/>
              <w:numPr>
                <w:ilvl w:val="0"/>
                <w:numId w:val="6"/>
              </w:numPr>
              <w:contextualSpacing w:val="0"/>
              <w:rPr>
                <w:color w:val="7F7F7F" w:themeColor="text1" w:themeTint="80"/>
                <w:lang w:val="en-US"/>
              </w:rPr>
            </w:pPr>
            <w:r w:rsidRPr="00270519">
              <w:rPr>
                <w:color w:val="7F7F7F" w:themeColor="text1" w:themeTint="80"/>
                <w:lang w:val="en-US"/>
              </w:rPr>
              <w:t xml:space="preserve">2.10, CR 766: No direct impact to SG. Situation like this happens in SG but rarely. </w:t>
            </w:r>
          </w:p>
          <w:p w:rsidR="00D02CAA" w:rsidRPr="00270519" w:rsidRDefault="00D02CAA" w:rsidP="00D204B3">
            <w:pPr>
              <w:pStyle w:val="ListParagraph"/>
              <w:numPr>
                <w:ilvl w:val="0"/>
                <w:numId w:val="6"/>
              </w:numPr>
              <w:contextualSpacing w:val="0"/>
              <w:rPr>
                <w:color w:val="7F7F7F" w:themeColor="text1" w:themeTint="80"/>
                <w:lang w:val="en-US"/>
              </w:rPr>
            </w:pPr>
            <w:r w:rsidRPr="00270519">
              <w:rPr>
                <w:color w:val="7F7F7F" w:themeColor="text1" w:themeTint="80"/>
                <w:lang w:val="en-US"/>
              </w:rPr>
              <w:t xml:space="preserve">2.11, CR 772: No issue but question: Why do you need TXNR in 568 since 564 </w:t>
            </w:r>
            <w:proofErr w:type="gramStart"/>
            <w:r w:rsidRPr="00270519">
              <w:rPr>
                <w:color w:val="7F7F7F" w:themeColor="text1" w:themeTint="80"/>
                <w:lang w:val="en-US"/>
              </w:rPr>
              <w:t>is</w:t>
            </w:r>
            <w:proofErr w:type="gramEnd"/>
            <w:r w:rsidRPr="00270519">
              <w:rPr>
                <w:color w:val="7F7F7F" w:themeColor="text1" w:themeTint="80"/>
                <w:lang w:val="en-US"/>
              </w:rPr>
              <w:t xml:space="preserve"> repeatable? </w:t>
            </w:r>
          </w:p>
          <w:p w:rsidR="00D02CAA" w:rsidRPr="00270519" w:rsidRDefault="00D02CAA" w:rsidP="00D204B3">
            <w:pPr>
              <w:pStyle w:val="ListParagraph"/>
              <w:numPr>
                <w:ilvl w:val="0"/>
                <w:numId w:val="6"/>
              </w:numPr>
              <w:contextualSpacing w:val="0"/>
              <w:rPr>
                <w:color w:val="7F7F7F" w:themeColor="text1" w:themeTint="80"/>
                <w:lang w:val="en-US"/>
              </w:rPr>
            </w:pPr>
            <w:r w:rsidRPr="00270519">
              <w:rPr>
                <w:color w:val="7F7F7F" w:themeColor="text1" w:themeTint="80"/>
                <w:lang w:val="en-US"/>
              </w:rPr>
              <w:t>2.12, CR 770: No issue</w:t>
            </w:r>
          </w:p>
          <w:p w:rsidR="00D02CAA" w:rsidRPr="00270519" w:rsidRDefault="00D02CAA" w:rsidP="00D204B3">
            <w:pPr>
              <w:pStyle w:val="ListParagraph"/>
              <w:numPr>
                <w:ilvl w:val="0"/>
                <w:numId w:val="6"/>
              </w:numPr>
              <w:contextualSpacing w:val="0"/>
              <w:rPr>
                <w:color w:val="7F7F7F" w:themeColor="text1" w:themeTint="80"/>
                <w:lang w:val="en-US"/>
              </w:rPr>
            </w:pPr>
            <w:r w:rsidRPr="00270519">
              <w:rPr>
                <w:color w:val="7F7F7F" w:themeColor="text1" w:themeTint="80"/>
                <w:lang w:val="en-US"/>
              </w:rPr>
              <w:t>2.13, CR 781: No issue. [For SG: park it when we review the EIG+ for exercise of warrants – do we want to consider this in future?]</w:t>
            </w:r>
          </w:p>
          <w:p w:rsidR="00D02CAA" w:rsidRPr="00270519" w:rsidRDefault="00D02CAA" w:rsidP="00D204B3">
            <w:pPr>
              <w:pStyle w:val="ListParagraph"/>
              <w:numPr>
                <w:ilvl w:val="0"/>
                <w:numId w:val="6"/>
              </w:numPr>
              <w:contextualSpacing w:val="0"/>
              <w:rPr>
                <w:color w:val="7F7F7F" w:themeColor="text1" w:themeTint="80"/>
                <w:lang w:val="en-US"/>
              </w:rPr>
            </w:pPr>
            <w:r w:rsidRPr="00270519">
              <w:rPr>
                <w:color w:val="7F7F7F" w:themeColor="text1" w:themeTint="80"/>
                <w:lang w:val="en-US"/>
              </w:rPr>
              <w:t>2.14, CR 774: Same CR as last year – not supportive</w:t>
            </w:r>
          </w:p>
          <w:p w:rsidR="00D02CAA" w:rsidRPr="00270519" w:rsidRDefault="00D02CAA" w:rsidP="00D204B3">
            <w:pPr>
              <w:pStyle w:val="ListParagraph"/>
              <w:numPr>
                <w:ilvl w:val="0"/>
                <w:numId w:val="6"/>
              </w:numPr>
              <w:contextualSpacing w:val="0"/>
              <w:rPr>
                <w:color w:val="7F7F7F" w:themeColor="text1" w:themeTint="80"/>
                <w:lang w:val="en-US"/>
              </w:rPr>
            </w:pPr>
            <w:r w:rsidRPr="00270519">
              <w:rPr>
                <w:color w:val="7F7F7F" w:themeColor="text1" w:themeTint="80"/>
                <w:lang w:val="en-US"/>
              </w:rPr>
              <w:t>Common Cat 5, CR 737: Not applicable in SG market</w:t>
            </w:r>
          </w:p>
          <w:p w:rsidR="00D02CAA" w:rsidRPr="001048CB" w:rsidRDefault="00D02CAA" w:rsidP="00D02CAA">
            <w:pPr>
              <w:pStyle w:val="ListParagraph"/>
              <w:rPr>
                <w:lang w:val="en-US"/>
              </w:rPr>
            </w:pPr>
          </w:p>
          <w:p w:rsidR="00D02CAA" w:rsidRDefault="00D02CAA" w:rsidP="00D02CAA">
            <w:pPr>
              <w:pStyle w:val="ListParagraph"/>
            </w:pPr>
          </w:p>
          <w:p w:rsidR="00D02CAA" w:rsidRDefault="00D02CAA" w:rsidP="00D02CAA">
            <w:pPr>
              <w:pStyle w:val="ListParagraph"/>
            </w:pPr>
          </w:p>
          <w:p w:rsidR="00D02CAA" w:rsidRPr="00294FA4" w:rsidRDefault="00D02CAA" w:rsidP="00D204B3">
            <w:pPr>
              <w:pStyle w:val="ListParagraph"/>
              <w:numPr>
                <w:ilvl w:val="0"/>
                <w:numId w:val="5"/>
              </w:numPr>
              <w:contextualSpacing w:val="0"/>
              <w:rPr>
                <w:b/>
                <w:u w:val="single"/>
              </w:rPr>
            </w:pPr>
            <w:r w:rsidRPr="00294FA4">
              <w:rPr>
                <w:b/>
                <w:u w:val="single"/>
              </w:rPr>
              <w:t>AOB</w:t>
            </w:r>
          </w:p>
          <w:p w:rsidR="00D02CAA" w:rsidRDefault="00D02CAA" w:rsidP="00D204B3">
            <w:pPr>
              <w:pStyle w:val="BodyText"/>
              <w:numPr>
                <w:ilvl w:val="0"/>
                <w:numId w:val="7"/>
              </w:numPr>
              <w:spacing w:line="276" w:lineRule="auto"/>
              <w:jc w:val="both"/>
              <w:rPr>
                <w:rFonts w:cstheme="minorHAnsi"/>
              </w:rPr>
            </w:pPr>
            <w:r>
              <w:rPr>
                <w:rFonts w:cstheme="minorHAnsi"/>
              </w:rPr>
              <w:t xml:space="preserve">Participants also shared their respective experience after SGX launch of ISO15022 CA feed. </w:t>
            </w:r>
          </w:p>
          <w:p w:rsidR="00D02CAA" w:rsidRDefault="00D02CAA" w:rsidP="00D204B3">
            <w:pPr>
              <w:pStyle w:val="BodyText"/>
              <w:numPr>
                <w:ilvl w:val="0"/>
                <w:numId w:val="7"/>
              </w:numPr>
              <w:spacing w:line="276" w:lineRule="auto"/>
              <w:jc w:val="both"/>
              <w:rPr>
                <w:rFonts w:cstheme="minorHAnsi"/>
              </w:rPr>
            </w:pPr>
            <w:r>
              <w:rPr>
                <w:rFonts w:cstheme="minorHAnsi"/>
              </w:rPr>
              <w:t xml:space="preserve">It was noted that during the first few weeks post launch, the level of STP was quite low for some events/ issuers. However, significant improvement has been made since then. </w:t>
            </w:r>
          </w:p>
          <w:p w:rsidR="00D02CAA" w:rsidRDefault="00D02CAA" w:rsidP="00D204B3">
            <w:pPr>
              <w:pStyle w:val="BodyText"/>
              <w:numPr>
                <w:ilvl w:val="0"/>
                <w:numId w:val="7"/>
              </w:numPr>
              <w:spacing w:line="276" w:lineRule="auto"/>
              <w:jc w:val="both"/>
              <w:rPr>
                <w:rFonts w:cstheme="minorHAnsi"/>
              </w:rPr>
            </w:pPr>
            <w:r>
              <w:rPr>
                <w:rFonts w:cstheme="minorHAnsi"/>
              </w:rPr>
              <w:t xml:space="preserve">It was also highlighted that part of the reason for STP improvement was due to SGX engagement/ education of issuers. </w:t>
            </w:r>
          </w:p>
          <w:p w:rsidR="00D02CAA" w:rsidRDefault="00D02CAA" w:rsidP="00D204B3">
            <w:pPr>
              <w:pStyle w:val="BodyText"/>
              <w:numPr>
                <w:ilvl w:val="0"/>
                <w:numId w:val="7"/>
              </w:numPr>
              <w:spacing w:line="276" w:lineRule="auto"/>
              <w:jc w:val="both"/>
              <w:rPr>
                <w:rFonts w:cstheme="minorHAnsi"/>
              </w:rPr>
            </w:pPr>
            <w:r>
              <w:rPr>
                <w:rFonts w:cstheme="minorHAnsi"/>
              </w:rPr>
              <w:t xml:space="preserve">Participants re-iterated the need for continuous engagement of all stakeholders and for the model to be re-applied for future initiatives (e-voting, CA ISO 20022, etc.). </w:t>
            </w:r>
          </w:p>
          <w:p w:rsidR="00D02CAA" w:rsidRPr="004363FC" w:rsidRDefault="00D02CAA" w:rsidP="00D204B3">
            <w:pPr>
              <w:pStyle w:val="BodyText"/>
              <w:numPr>
                <w:ilvl w:val="0"/>
                <w:numId w:val="7"/>
              </w:numPr>
              <w:spacing w:line="276" w:lineRule="auto"/>
              <w:jc w:val="both"/>
              <w:rPr>
                <w:rFonts w:cstheme="minorHAnsi"/>
              </w:rPr>
            </w:pPr>
            <w:r>
              <w:rPr>
                <w:rFonts w:cstheme="minorHAnsi"/>
              </w:rPr>
              <w:t xml:space="preserve">SGX has also conducted individual reviews with each DA. It was suggested to invite SGX at the next meeting for a collective progress review. </w:t>
            </w:r>
          </w:p>
        </w:tc>
      </w:tr>
      <w:tr w:rsidR="00D02CAA" w:rsidRPr="004363FC" w:rsidTr="00D02CAA">
        <w:tc>
          <w:tcPr>
            <w:tcW w:w="10080" w:type="dxa"/>
            <w:tcBorders>
              <w:top w:val="single" w:sz="4" w:space="0" w:color="auto"/>
              <w:left w:val="single" w:sz="4" w:space="0" w:color="auto"/>
              <w:bottom w:val="single" w:sz="4" w:space="0" w:color="auto"/>
              <w:right w:val="single" w:sz="4" w:space="0" w:color="auto"/>
            </w:tcBorders>
          </w:tcPr>
          <w:p w:rsidR="00D02CAA" w:rsidRPr="0087517E" w:rsidRDefault="00D02CAA" w:rsidP="00D02CAA">
            <w:pPr>
              <w:rPr>
                <w:b/>
                <w:u w:val="single"/>
              </w:rPr>
            </w:pPr>
          </w:p>
        </w:tc>
      </w:tr>
    </w:tbl>
    <w:p w:rsidR="003C26DE" w:rsidRDefault="003C26DE">
      <w:pPr>
        <w:rPr>
          <w:b/>
        </w:rPr>
      </w:pPr>
    </w:p>
    <w:p w:rsidR="003C26DE" w:rsidRDefault="003C26DE">
      <w:pPr>
        <w:rPr>
          <w:b/>
        </w:rPr>
      </w:pPr>
    </w:p>
    <w:p w:rsidR="003C26DE" w:rsidRDefault="003C26DE">
      <w:pPr>
        <w:rPr>
          <w:b/>
        </w:rPr>
      </w:pPr>
    </w:p>
    <w:p w:rsidR="00862D0C" w:rsidRPr="003C26DE" w:rsidRDefault="00862D0C"/>
    <w:p w:rsidR="00862D0C" w:rsidRPr="004363FC" w:rsidRDefault="00862D0C">
      <w:pPr>
        <w:rPr>
          <w:rFonts w:cstheme="minorHAnsi"/>
        </w:rPr>
      </w:pPr>
    </w:p>
    <w:tbl>
      <w:tblPr>
        <w:tblStyle w:val="TableGrid"/>
        <w:tblW w:w="10080" w:type="dxa"/>
        <w:tblInd w:w="108" w:type="dxa"/>
        <w:tblLook w:val="04A0" w:firstRow="1" w:lastRow="0" w:firstColumn="1" w:lastColumn="0" w:noHBand="0" w:noVBand="1"/>
      </w:tblPr>
      <w:tblGrid>
        <w:gridCol w:w="10080"/>
      </w:tblGrid>
      <w:tr w:rsidR="00992A7A" w:rsidRPr="004363FC" w:rsidTr="00FA48B4">
        <w:tc>
          <w:tcPr>
            <w:tcW w:w="10080" w:type="dxa"/>
            <w:tcBorders>
              <w:top w:val="single" w:sz="4" w:space="0" w:color="auto"/>
              <w:left w:val="single" w:sz="4" w:space="0" w:color="auto"/>
              <w:bottom w:val="single" w:sz="4" w:space="0" w:color="auto"/>
              <w:right w:val="single" w:sz="4" w:space="0" w:color="auto"/>
            </w:tcBorders>
            <w:hideMark/>
          </w:tcPr>
          <w:p w:rsidR="00992A7A" w:rsidRPr="004363FC" w:rsidRDefault="00992A7A" w:rsidP="00FA48B4">
            <w:pPr>
              <w:pStyle w:val="BodyText"/>
              <w:rPr>
                <w:rFonts w:cstheme="minorHAnsi"/>
                <w:b/>
              </w:rPr>
            </w:pPr>
            <w:r w:rsidRPr="004363FC">
              <w:rPr>
                <w:rFonts w:cstheme="minorHAnsi"/>
                <w:b/>
              </w:rPr>
              <w:t>ACTION ITEMS</w:t>
            </w:r>
          </w:p>
        </w:tc>
      </w:tr>
      <w:tr w:rsidR="00992A7A" w:rsidRPr="004363FC" w:rsidTr="00FA48B4">
        <w:tc>
          <w:tcPr>
            <w:tcW w:w="10080" w:type="dxa"/>
            <w:tcBorders>
              <w:top w:val="single" w:sz="4" w:space="0" w:color="auto"/>
              <w:left w:val="single" w:sz="4" w:space="0" w:color="auto"/>
              <w:bottom w:val="single" w:sz="4" w:space="0" w:color="auto"/>
              <w:right w:val="single" w:sz="4" w:space="0" w:color="auto"/>
            </w:tcBorders>
          </w:tcPr>
          <w:p w:rsidR="007D0209" w:rsidRPr="00884C03" w:rsidRDefault="00884C03" w:rsidP="00D204B3">
            <w:pPr>
              <w:pStyle w:val="BodyText"/>
              <w:numPr>
                <w:ilvl w:val="0"/>
                <w:numId w:val="1"/>
              </w:numPr>
              <w:jc w:val="both"/>
              <w:rPr>
                <w:rFonts w:eastAsia="Times New Roman" w:cstheme="minorHAnsi"/>
                <w:b/>
              </w:rPr>
            </w:pPr>
            <w:r w:rsidRPr="00884C03">
              <w:rPr>
                <w:rFonts w:eastAsia="Times New Roman" w:cstheme="minorHAnsi"/>
                <w:b/>
              </w:rPr>
              <w:t>E-voting</w:t>
            </w:r>
          </w:p>
          <w:p w:rsidR="00884C03" w:rsidRPr="00294FA4" w:rsidRDefault="00884C03" w:rsidP="00D204B3">
            <w:pPr>
              <w:pStyle w:val="ListParagraph"/>
              <w:numPr>
                <w:ilvl w:val="0"/>
                <w:numId w:val="4"/>
              </w:numPr>
              <w:ind w:left="1440"/>
              <w:contextualSpacing w:val="0"/>
            </w:pPr>
            <w:r w:rsidRPr="00294FA4">
              <w:t xml:space="preserve">SG NMPG to draw a flow of current voting process and highlights key </w:t>
            </w:r>
            <w:proofErr w:type="spellStart"/>
            <w:r w:rsidRPr="00294FA4">
              <w:t>painpoints</w:t>
            </w:r>
            <w:proofErr w:type="spellEnd"/>
            <w:r w:rsidRPr="00294FA4">
              <w:t xml:space="preserve"> (operational, infrastructure, regulatory/ legal) </w:t>
            </w:r>
          </w:p>
          <w:p w:rsidR="00884C03" w:rsidRPr="00294FA4" w:rsidRDefault="00884C03" w:rsidP="00D204B3">
            <w:pPr>
              <w:pStyle w:val="ListParagraph"/>
              <w:numPr>
                <w:ilvl w:val="0"/>
                <w:numId w:val="4"/>
              </w:numPr>
              <w:ind w:left="1440"/>
              <w:contextualSpacing w:val="0"/>
            </w:pPr>
            <w:proofErr w:type="spellStart"/>
            <w:r w:rsidRPr="00294FA4">
              <w:t>Broadridge</w:t>
            </w:r>
            <w:proofErr w:type="spellEnd"/>
            <w:r w:rsidRPr="00294FA4">
              <w:t xml:space="preserve"> to share current JP/TW operating models and flows</w:t>
            </w:r>
            <w:r w:rsidR="00D02CAA">
              <w:t xml:space="preserve"> + any other insights</w:t>
            </w:r>
          </w:p>
          <w:p w:rsidR="00884C03" w:rsidRPr="00294FA4" w:rsidRDefault="00884C03" w:rsidP="00D204B3">
            <w:pPr>
              <w:pStyle w:val="ListParagraph"/>
              <w:numPr>
                <w:ilvl w:val="0"/>
                <w:numId w:val="4"/>
              </w:numPr>
              <w:ind w:left="1440"/>
              <w:contextualSpacing w:val="0"/>
            </w:pPr>
            <w:r w:rsidRPr="00294FA4">
              <w:t>SGX to explore possibility of acting as a central voting utility + start identifying potential incentives/ engagement plans for issuers</w:t>
            </w:r>
          </w:p>
          <w:p w:rsidR="00884C03" w:rsidRDefault="00884C03" w:rsidP="00884C03">
            <w:pPr>
              <w:pStyle w:val="BodyText"/>
              <w:ind w:left="720"/>
              <w:jc w:val="both"/>
              <w:rPr>
                <w:rFonts w:eastAsia="Times New Roman" w:cstheme="minorHAnsi"/>
              </w:rPr>
            </w:pPr>
          </w:p>
          <w:p w:rsidR="00884C03" w:rsidRDefault="00884C03" w:rsidP="00D204B3">
            <w:pPr>
              <w:pStyle w:val="BodyText"/>
              <w:numPr>
                <w:ilvl w:val="0"/>
                <w:numId w:val="1"/>
              </w:numPr>
              <w:jc w:val="both"/>
              <w:rPr>
                <w:rFonts w:eastAsia="Times New Roman" w:cstheme="minorHAnsi"/>
                <w:b/>
              </w:rPr>
            </w:pPr>
            <w:r w:rsidRPr="00884C03">
              <w:rPr>
                <w:rFonts w:eastAsia="Times New Roman" w:cstheme="minorHAnsi"/>
                <w:b/>
              </w:rPr>
              <w:t xml:space="preserve">SGX PTS Phase 2: </w:t>
            </w:r>
          </w:p>
          <w:p w:rsidR="00884C03" w:rsidRPr="00884C03" w:rsidRDefault="00884C03" w:rsidP="00884C03">
            <w:pPr>
              <w:pStyle w:val="BodyText"/>
              <w:ind w:left="360"/>
              <w:jc w:val="both"/>
              <w:rPr>
                <w:rFonts w:eastAsia="Times New Roman" w:cstheme="minorHAnsi"/>
              </w:rPr>
            </w:pPr>
            <w:r w:rsidRPr="00270519">
              <w:rPr>
                <w:lang w:val="en-US"/>
              </w:rPr>
              <w:t>SGX to share high-level scoping agreement</w:t>
            </w:r>
            <w:r>
              <w:t xml:space="preserve"> and publish questionnaire for further consultation</w:t>
            </w:r>
          </w:p>
          <w:p w:rsidR="00884C03" w:rsidRPr="00884C03" w:rsidRDefault="00884C03" w:rsidP="00D204B3">
            <w:pPr>
              <w:pStyle w:val="BodyText"/>
              <w:numPr>
                <w:ilvl w:val="0"/>
                <w:numId w:val="1"/>
              </w:numPr>
              <w:jc w:val="both"/>
              <w:rPr>
                <w:rFonts w:eastAsia="Times New Roman" w:cstheme="minorHAnsi"/>
                <w:b/>
              </w:rPr>
            </w:pPr>
            <w:r>
              <w:rPr>
                <w:rFonts w:eastAsia="Times New Roman" w:cstheme="minorHAnsi"/>
                <w:b/>
              </w:rPr>
              <w:t>SG NMPG standards</w:t>
            </w:r>
          </w:p>
          <w:p w:rsidR="00884C03" w:rsidRDefault="00884C03" w:rsidP="00D204B3">
            <w:pPr>
              <w:pStyle w:val="ListParagraph"/>
              <w:numPr>
                <w:ilvl w:val="0"/>
                <w:numId w:val="8"/>
              </w:numPr>
              <w:ind w:left="1080"/>
            </w:pPr>
            <w:r>
              <w:t>each institution would review and update one event type grid for the next meeting</w:t>
            </w:r>
          </w:p>
          <w:p w:rsidR="00884C03" w:rsidRDefault="00884C03" w:rsidP="00884C03">
            <w:pPr>
              <w:pStyle w:val="ListParagraph"/>
              <w:ind w:left="360"/>
            </w:pPr>
          </w:p>
          <w:p w:rsidR="00884C03" w:rsidRPr="00294FA4" w:rsidRDefault="00884C03" w:rsidP="00D204B3">
            <w:pPr>
              <w:pStyle w:val="ListParagraph"/>
              <w:numPr>
                <w:ilvl w:val="0"/>
                <w:numId w:val="10"/>
              </w:numPr>
              <w:ind w:left="2520"/>
            </w:pPr>
            <w:r w:rsidRPr="00294FA4">
              <w:t>DVCA: UOB</w:t>
            </w:r>
          </w:p>
          <w:p w:rsidR="00884C03" w:rsidRPr="00294FA4" w:rsidRDefault="00884C03" w:rsidP="00D204B3">
            <w:pPr>
              <w:pStyle w:val="ListParagraph"/>
              <w:numPr>
                <w:ilvl w:val="0"/>
                <w:numId w:val="10"/>
              </w:numPr>
              <w:ind w:left="2520"/>
            </w:pPr>
            <w:r w:rsidRPr="00294FA4">
              <w:t>INTR: DBS</w:t>
            </w:r>
          </w:p>
          <w:p w:rsidR="00884C03" w:rsidRPr="00294FA4" w:rsidRDefault="00884C03" w:rsidP="00D204B3">
            <w:pPr>
              <w:pStyle w:val="ListParagraph"/>
              <w:numPr>
                <w:ilvl w:val="0"/>
                <w:numId w:val="10"/>
              </w:numPr>
              <w:ind w:left="2520"/>
            </w:pPr>
            <w:r w:rsidRPr="00294FA4">
              <w:t>Redemption: CITI</w:t>
            </w:r>
          </w:p>
          <w:p w:rsidR="00884C03" w:rsidRPr="00294FA4" w:rsidRDefault="00884C03" w:rsidP="00D204B3">
            <w:pPr>
              <w:pStyle w:val="ListParagraph"/>
              <w:numPr>
                <w:ilvl w:val="0"/>
                <w:numId w:val="10"/>
              </w:numPr>
              <w:ind w:left="2520"/>
            </w:pPr>
            <w:r w:rsidRPr="00294FA4">
              <w:t>Rights issue: SCB</w:t>
            </w:r>
          </w:p>
          <w:p w:rsidR="00884C03" w:rsidRPr="00294FA4" w:rsidRDefault="00884C03" w:rsidP="00D204B3">
            <w:pPr>
              <w:pStyle w:val="ListParagraph"/>
              <w:numPr>
                <w:ilvl w:val="0"/>
                <w:numId w:val="10"/>
              </w:numPr>
              <w:ind w:left="2520"/>
            </w:pPr>
            <w:r w:rsidRPr="00294FA4">
              <w:t>BONU: DB</w:t>
            </w:r>
          </w:p>
          <w:p w:rsidR="00884C03" w:rsidRPr="00294FA4" w:rsidRDefault="00884C03" w:rsidP="00D204B3">
            <w:pPr>
              <w:pStyle w:val="ListParagraph"/>
              <w:numPr>
                <w:ilvl w:val="0"/>
                <w:numId w:val="10"/>
              </w:numPr>
              <w:ind w:left="2520"/>
            </w:pPr>
            <w:r w:rsidRPr="00294FA4">
              <w:t>DVOP: HSBC</w:t>
            </w:r>
          </w:p>
          <w:p w:rsidR="00884C03" w:rsidRPr="00884C03" w:rsidRDefault="00884C03" w:rsidP="00D204B3">
            <w:pPr>
              <w:pStyle w:val="BodyText"/>
              <w:numPr>
                <w:ilvl w:val="0"/>
                <w:numId w:val="1"/>
              </w:numPr>
              <w:jc w:val="both"/>
              <w:rPr>
                <w:rFonts w:eastAsia="Times New Roman" w:cstheme="minorHAnsi"/>
              </w:rPr>
            </w:pPr>
            <w:r w:rsidRPr="00884C03">
              <w:rPr>
                <w:rFonts w:eastAsia="Times New Roman" w:cstheme="minorHAnsi"/>
                <w:b/>
              </w:rPr>
              <w:t>MWG:</w:t>
            </w:r>
            <w:r>
              <w:rPr>
                <w:rFonts w:eastAsia="Times New Roman" w:cstheme="minorHAnsi"/>
              </w:rPr>
              <w:t xml:space="preserve"> Jyi-</w:t>
            </w:r>
            <w:proofErr w:type="spellStart"/>
            <w:r>
              <w:rPr>
                <w:rFonts w:eastAsia="Times New Roman" w:cstheme="minorHAnsi"/>
              </w:rPr>
              <w:t>chen</w:t>
            </w:r>
            <w:proofErr w:type="spellEnd"/>
            <w:r>
              <w:rPr>
                <w:rFonts w:eastAsia="Times New Roman" w:cstheme="minorHAnsi"/>
              </w:rPr>
              <w:t xml:space="preserve"> and SWIFT to report back on MWG August meeting outcome</w:t>
            </w:r>
          </w:p>
          <w:p w:rsidR="00884C03" w:rsidRDefault="00884C03" w:rsidP="00D204B3">
            <w:pPr>
              <w:pStyle w:val="BodyText"/>
              <w:numPr>
                <w:ilvl w:val="0"/>
                <w:numId w:val="1"/>
              </w:numPr>
              <w:jc w:val="both"/>
              <w:rPr>
                <w:rFonts w:eastAsia="Times New Roman" w:cstheme="minorHAnsi"/>
              </w:rPr>
            </w:pPr>
            <w:r w:rsidRPr="00884C03">
              <w:rPr>
                <w:rFonts w:eastAsia="Times New Roman" w:cstheme="minorHAnsi"/>
                <w:b/>
              </w:rPr>
              <w:t>AOB:</w:t>
            </w:r>
            <w:r>
              <w:rPr>
                <w:rFonts w:eastAsia="Times New Roman" w:cstheme="minorHAnsi"/>
              </w:rPr>
              <w:t xml:space="preserve"> Jyi-</w:t>
            </w:r>
            <w:proofErr w:type="spellStart"/>
            <w:r>
              <w:rPr>
                <w:rFonts w:eastAsia="Times New Roman" w:cstheme="minorHAnsi"/>
              </w:rPr>
              <w:t>chen</w:t>
            </w:r>
            <w:proofErr w:type="spellEnd"/>
            <w:r>
              <w:rPr>
                <w:rFonts w:eastAsia="Times New Roman" w:cstheme="minorHAnsi"/>
              </w:rPr>
              <w:t xml:space="preserve"> to reach out to Peter Shen (SGX) to arrange for common reviews of outstanding CA feeds issues</w:t>
            </w:r>
          </w:p>
          <w:p w:rsidR="00C34DC5" w:rsidRPr="005A6E99" w:rsidRDefault="00C34DC5" w:rsidP="00D204B3">
            <w:pPr>
              <w:pStyle w:val="BodyText"/>
              <w:numPr>
                <w:ilvl w:val="0"/>
                <w:numId w:val="1"/>
              </w:numPr>
              <w:jc w:val="both"/>
              <w:rPr>
                <w:rFonts w:eastAsia="Times New Roman" w:cstheme="minorHAnsi"/>
              </w:rPr>
            </w:pPr>
            <w:r>
              <w:rPr>
                <w:rFonts w:eastAsia="Times New Roman" w:cstheme="minorHAnsi"/>
                <w:b/>
              </w:rPr>
              <w:t>Next meeting :</w:t>
            </w:r>
            <w:r>
              <w:rPr>
                <w:rFonts w:eastAsia="Times New Roman" w:cstheme="minorHAnsi"/>
              </w:rPr>
              <w:t xml:space="preserve"> date to be reconfirmed – set tentatively for 2</w:t>
            </w:r>
            <w:r w:rsidRPr="00C34DC5">
              <w:rPr>
                <w:rFonts w:eastAsia="Times New Roman" w:cstheme="minorHAnsi"/>
                <w:vertAlign w:val="superscript"/>
              </w:rPr>
              <w:t>nd</w:t>
            </w:r>
            <w:r>
              <w:rPr>
                <w:rFonts w:eastAsia="Times New Roman" w:cstheme="minorHAnsi"/>
              </w:rPr>
              <w:t xml:space="preserve"> half of September </w:t>
            </w:r>
          </w:p>
        </w:tc>
      </w:tr>
    </w:tbl>
    <w:p w:rsidR="00992A7A" w:rsidRDefault="00992A7A" w:rsidP="003273D8"/>
    <w:sectPr w:rsidR="00992A7A" w:rsidSect="000A50E8">
      <w:footerReference w:type="default" r:id="rId9"/>
      <w:pgSz w:w="12240" w:h="15840"/>
      <w:pgMar w:top="851"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4B3" w:rsidRDefault="00D204B3" w:rsidP="00C34DC5">
      <w:pPr>
        <w:spacing w:after="0" w:line="240" w:lineRule="auto"/>
      </w:pPr>
      <w:r>
        <w:separator/>
      </w:r>
    </w:p>
  </w:endnote>
  <w:endnote w:type="continuationSeparator" w:id="0">
    <w:p w:rsidR="00D204B3" w:rsidRDefault="00D204B3" w:rsidP="00C34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283201"/>
      <w:docPartObj>
        <w:docPartGallery w:val="Page Numbers (Bottom of Page)"/>
        <w:docPartUnique/>
      </w:docPartObj>
    </w:sdtPr>
    <w:sdtEndPr/>
    <w:sdtContent>
      <w:p w:rsidR="00C34DC5" w:rsidRDefault="00C34DC5">
        <w:pPr>
          <w:pStyle w:val="Footer"/>
          <w:jc w:val="center"/>
        </w:pPr>
        <w:r>
          <w:t>[</w:t>
        </w:r>
        <w:r w:rsidR="00E14727">
          <w:fldChar w:fldCharType="begin"/>
        </w:r>
        <w:r w:rsidR="00E14727">
          <w:instrText xml:space="preserve"> PAGE   \* MERGEFORMAT </w:instrText>
        </w:r>
        <w:r w:rsidR="00E14727">
          <w:fldChar w:fldCharType="separate"/>
        </w:r>
        <w:r w:rsidR="00E14727">
          <w:rPr>
            <w:noProof/>
          </w:rPr>
          <w:t>1</w:t>
        </w:r>
        <w:r w:rsidR="00E14727">
          <w:rPr>
            <w:noProof/>
          </w:rPr>
          <w:fldChar w:fldCharType="end"/>
        </w:r>
        <w:r>
          <w:t>]</w:t>
        </w:r>
      </w:p>
    </w:sdtContent>
  </w:sdt>
  <w:p w:rsidR="00C34DC5" w:rsidRDefault="00C34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4B3" w:rsidRDefault="00D204B3" w:rsidP="00C34DC5">
      <w:pPr>
        <w:spacing w:after="0" w:line="240" w:lineRule="auto"/>
      </w:pPr>
      <w:r>
        <w:separator/>
      </w:r>
    </w:p>
  </w:footnote>
  <w:footnote w:type="continuationSeparator" w:id="0">
    <w:p w:rsidR="00D204B3" w:rsidRDefault="00D204B3" w:rsidP="00C34D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249"/>
    <w:multiLevelType w:val="hybridMultilevel"/>
    <w:tmpl w:val="AF0010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C46DEF"/>
    <w:multiLevelType w:val="hybridMultilevel"/>
    <w:tmpl w:val="5B08A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ADF1E2A"/>
    <w:multiLevelType w:val="hybridMultilevel"/>
    <w:tmpl w:val="E196F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B5E26FD"/>
    <w:multiLevelType w:val="hybridMultilevel"/>
    <w:tmpl w:val="D8165822"/>
    <w:lvl w:ilvl="0" w:tplc="04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1D8E13FB"/>
    <w:multiLevelType w:val="hybridMultilevel"/>
    <w:tmpl w:val="6E8C68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F553C2"/>
    <w:multiLevelType w:val="hybridMultilevel"/>
    <w:tmpl w:val="E1086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79E30A6"/>
    <w:multiLevelType w:val="hybridMultilevel"/>
    <w:tmpl w:val="54C22F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63AB9"/>
    <w:multiLevelType w:val="hybridMultilevel"/>
    <w:tmpl w:val="32789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9039C0"/>
    <w:multiLevelType w:val="hybridMultilevel"/>
    <w:tmpl w:val="6A1A02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5DFB3669"/>
    <w:multiLevelType w:val="hybridMultilevel"/>
    <w:tmpl w:val="51103554"/>
    <w:lvl w:ilvl="0" w:tplc="3522DF8C">
      <w:numFmt w:val="bullet"/>
      <w:lvlText w:val="-"/>
      <w:lvlJc w:val="left"/>
      <w:pPr>
        <w:ind w:left="720" w:hanging="360"/>
      </w:pPr>
      <w:rPr>
        <w:rFonts w:ascii="Calibri" w:eastAsia="SimSun" w:hAnsi="Calibri" w:cs="Calibri"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FC83686"/>
    <w:multiLevelType w:val="hybridMultilevel"/>
    <w:tmpl w:val="E46248D0"/>
    <w:lvl w:ilvl="0" w:tplc="0809000F">
      <w:start w:val="1"/>
      <w:numFmt w:val="decimal"/>
      <w:lvlText w:val="%1."/>
      <w:lvlJc w:val="left"/>
      <w:pPr>
        <w:ind w:left="720" w:hanging="360"/>
      </w:pPr>
      <w:rPr>
        <w:rFonts w:cs="Times New Roman"/>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650956A4"/>
    <w:multiLevelType w:val="hybridMultilevel"/>
    <w:tmpl w:val="E46248D0"/>
    <w:lvl w:ilvl="0" w:tplc="0809000F">
      <w:start w:val="1"/>
      <w:numFmt w:val="decimal"/>
      <w:lvlText w:val="%1."/>
      <w:lvlJc w:val="left"/>
      <w:pPr>
        <w:ind w:left="720" w:hanging="360"/>
      </w:pPr>
      <w:rPr>
        <w:rFonts w:cs="Times New Roman"/>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6C233E0C"/>
    <w:multiLevelType w:val="hybridMultilevel"/>
    <w:tmpl w:val="38D6F8D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7E8B5C8C"/>
    <w:multiLevelType w:val="hybridMultilevel"/>
    <w:tmpl w:val="5D24BBB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1"/>
  </w:num>
  <w:num w:numId="8">
    <w:abstractNumId w:val="5"/>
  </w:num>
  <w:num w:numId="9">
    <w:abstractNumId w:val="2"/>
  </w:num>
  <w:num w:numId="10">
    <w:abstractNumId w:val="3"/>
  </w:num>
  <w:num w:numId="11">
    <w:abstractNumId w:val="7"/>
  </w:num>
  <w:num w:numId="12">
    <w:abstractNumId w:val="4"/>
  </w:num>
  <w:num w:numId="13">
    <w:abstractNumId w:val="0"/>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FD"/>
    <w:rsid w:val="00000EC5"/>
    <w:rsid w:val="000047A9"/>
    <w:rsid w:val="000141AD"/>
    <w:rsid w:val="00016A47"/>
    <w:rsid w:val="00023746"/>
    <w:rsid w:val="00035F87"/>
    <w:rsid w:val="00036700"/>
    <w:rsid w:val="0003737B"/>
    <w:rsid w:val="000475F4"/>
    <w:rsid w:val="00057EBB"/>
    <w:rsid w:val="00061CD3"/>
    <w:rsid w:val="00065275"/>
    <w:rsid w:val="000653D8"/>
    <w:rsid w:val="00066D8B"/>
    <w:rsid w:val="0007597B"/>
    <w:rsid w:val="000806BC"/>
    <w:rsid w:val="00091710"/>
    <w:rsid w:val="000942E2"/>
    <w:rsid w:val="000945EA"/>
    <w:rsid w:val="0009463F"/>
    <w:rsid w:val="00095170"/>
    <w:rsid w:val="0009563C"/>
    <w:rsid w:val="00097BDA"/>
    <w:rsid w:val="000A2003"/>
    <w:rsid w:val="000A3F5D"/>
    <w:rsid w:val="000A50E8"/>
    <w:rsid w:val="000A6C43"/>
    <w:rsid w:val="000A70B6"/>
    <w:rsid w:val="000B0678"/>
    <w:rsid w:val="000B1692"/>
    <w:rsid w:val="000B2CC4"/>
    <w:rsid w:val="000B2FA8"/>
    <w:rsid w:val="000C20CB"/>
    <w:rsid w:val="000C616B"/>
    <w:rsid w:val="000C71E0"/>
    <w:rsid w:val="000D1A5A"/>
    <w:rsid w:val="000D6FC8"/>
    <w:rsid w:val="000E0E1A"/>
    <w:rsid w:val="000E14F7"/>
    <w:rsid w:val="000E2F86"/>
    <w:rsid w:val="000E4E59"/>
    <w:rsid w:val="000E57C1"/>
    <w:rsid w:val="000F2216"/>
    <w:rsid w:val="000F2B00"/>
    <w:rsid w:val="000F6647"/>
    <w:rsid w:val="000F7693"/>
    <w:rsid w:val="000F76C9"/>
    <w:rsid w:val="00100812"/>
    <w:rsid w:val="00102040"/>
    <w:rsid w:val="001048CB"/>
    <w:rsid w:val="00105AF7"/>
    <w:rsid w:val="001061CC"/>
    <w:rsid w:val="001116C6"/>
    <w:rsid w:val="00112776"/>
    <w:rsid w:val="00116D16"/>
    <w:rsid w:val="00124FC0"/>
    <w:rsid w:val="00126379"/>
    <w:rsid w:val="00133DFE"/>
    <w:rsid w:val="00141AF4"/>
    <w:rsid w:val="00143232"/>
    <w:rsid w:val="00143D9F"/>
    <w:rsid w:val="001519ED"/>
    <w:rsid w:val="001534F4"/>
    <w:rsid w:val="00154921"/>
    <w:rsid w:val="00155EF9"/>
    <w:rsid w:val="001603EE"/>
    <w:rsid w:val="001645D1"/>
    <w:rsid w:val="00171DDA"/>
    <w:rsid w:val="00173D97"/>
    <w:rsid w:val="001757FB"/>
    <w:rsid w:val="00176FEC"/>
    <w:rsid w:val="001774B6"/>
    <w:rsid w:val="00182BDA"/>
    <w:rsid w:val="001922D5"/>
    <w:rsid w:val="00193838"/>
    <w:rsid w:val="00193E50"/>
    <w:rsid w:val="001952C5"/>
    <w:rsid w:val="001A333D"/>
    <w:rsid w:val="001A61A3"/>
    <w:rsid w:val="001A6F07"/>
    <w:rsid w:val="001B340E"/>
    <w:rsid w:val="001B4E93"/>
    <w:rsid w:val="001B5624"/>
    <w:rsid w:val="001B62A4"/>
    <w:rsid w:val="001C23BE"/>
    <w:rsid w:val="001C2499"/>
    <w:rsid w:val="001C36F1"/>
    <w:rsid w:val="001C46AA"/>
    <w:rsid w:val="001D104B"/>
    <w:rsid w:val="001D2273"/>
    <w:rsid w:val="001D2A63"/>
    <w:rsid w:val="001E28BD"/>
    <w:rsid w:val="001F3B40"/>
    <w:rsid w:val="00202441"/>
    <w:rsid w:val="00206F12"/>
    <w:rsid w:val="00213E08"/>
    <w:rsid w:val="00217156"/>
    <w:rsid w:val="002211F0"/>
    <w:rsid w:val="0022549B"/>
    <w:rsid w:val="00225972"/>
    <w:rsid w:val="0023116A"/>
    <w:rsid w:val="002410A6"/>
    <w:rsid w:val="00242E51"/>
    <w:rsid w:val="00242ECF"/>
    <w:rsid w:val="00244040"/>
    <w:rsid w:val="00251A1A"/>
    <w:rsid w:val="002614E3"/>
    <w:rsid w:val="00264F55"/>
    <w:rsid w:val="00267078"/>
    <w:rsid w:val="002672D7"/>
    <w:rsid w:val="00270519"/>
    <w:rsid w:val="00275B2D"/>
    <w:rsid w:val="00280248"/>
    <w:rsid w:val="002806CF"/>
    <w:rsid w:val="002823B4"/>
    <w:rsid w:val="00283390"/>
    <w:rsid w:val="00283576"/>
    <w:rsid w:val="00287A8F"/>
    <w:rsid w:val="00287D02"/>
    <w:rsid w:val="00291C70"/>
    <w:rsid w:val="00292DFD"/>
    <w:rsid w:val="00294FA4"/>
    <w:rsid w:val="00296057"/>
    <w:rsid w:val="002A3CCC"/>
    <w:rsid w:val="002A673B"/>
    <w:rsid w:val="002B6838"/>
    <w:rsid w:val="002C43AF"/>
    <w:rsid w:val="002C4623"/>
    <w:rsid w:val="002C6E17"/>
    <w:rsid w:val="002D3C1F"/>
    <w:rsid w:val="002D7B3A"/>
    <w:rsid w:val="002E09DC"/>
    <w:rsid w:val="002E73CA"/>
    <w:rsid w:val="002F0DFC"/>
    <w:rsid w:val="002F2353"/>
    <w:rsid w:val="0030039C"/>
    <w:rsid w:val="003009D4"/>
    <w:rsid w:val="003075B9"/>
    <w:rsid w:val="00310345"/>
    <w:rsid w:val="00311F39"/>
    <w:rsid w:val="0031357E"/>
    <w:rsid w:val="00320968"/>
    <w:rsid w:val="00321388"/>
    <w:rsid w:val="00322E06"/>
    <w:rsid w:val="003273D8"/>
    <w:rsid w:val="003314A8"/>
    <w:rsid w:val="0033413B"/>
    <w:rsid w:val="0033587B"/>
    <w:rsid w:val="00340FB3"/>
    <w:rsid w:val="003424C6"/>
    <w:rsid w:val="00343512"/>
    <w:rsid w:val="00352B7D"/>
    <w:rsid w:val="00375089"/>
    <w:rsid w:val="00375BF6"/>
    <w:rsid w:val="00376B8E"/>
    <w:rsid w:val="00380385"/>
    <w:rsid w:val="00381CF5"/>
    <w:rsid w:val="003821BC"/>
    <w:rsid w:val="003851F4"/>
    <w:rsid w:val="00390CCC"/>
    <w:rsid w:val="00393594"/>
    <w:rsid w:val="003936A7"/>
    <w:rsid w:val="003A32EF"/>
    <w:rsid w:val="003A4DAB"/>
    <w:rsid w:val="003A7E18"/>
    <w:rsid w:val="003B2C8F"/>
    <w:rsid w:val="003B46B5"/>
    <w:rsid w:val="003B5F0B"/>
    <w:rsid w:val="003B7376"/>
    <w:rsid w:val="003B7CB6"/>
    <w:rsid w:val="003C1C18"/>
    <w:rsid w:val="003C26DE"/>
    <w:rsid w:val="003C2CC0"/>
    <w:rsid w:val="003C63A7"/>
    <w:rsid w:val="003C72D9"/>
    <w:rsid w:val="003D0ACA"/>
    <w:rsid w:val="003E1205"/>
    <w:rsid w:val="003E27C1"/>
    <w:rsid w:val="003E2975"/>
    <w:rsid w:val="003E6030"/>
    <w:rsid w:val="003F4DEE"/>
    <w:rsid w:val="003F5F02"/>
    <w:rsid w:val="003F7F3C"/>
    <w:rsid w:val="004000E3"/>
    <w:rsid w:val="00401784"/>
    <w:rsid w:val="00404C0C"/>
    <w:rsid w:val="00410176"/>
    <w:rsid w:val="00411BF1"/>
    <w:rsid w:val="00414504"/>
    <w:rsid w:val="00416E76"/>
    <w:rsid w:val="0042556F"/>
    <w:rsid w:val="00425E3C"/>
    <w:rsid w:val="00427C5D"/>
    <w:rsid w:val="004335CC"/>
    <w:rsid w:val="00433675"/>
    <w:rsid w:val="00433878"/>
    <w:rsid w:val="00436169"/>
    <w:rsid w:val="004363FC"/>
    <w:rsid w:val="00436A3F"/>
    <w:rsid w:val="004377DF"/>
    <w:rsid w:val="0044143E"/>
    <w:rsid w:val="004428BD"/>
    <w:rsid w:val="00443753"/>
    <w:rsid w:val="00446204"/>
    <w:rsid w:val="0045497F"/>
    <w:rsid w:val="00465AB9"/>
    <w:rsid w:val="004664EE"/>
    <w:rsid w:val="004712A3"/>
    <w:rsid w:val="00471E0B"/>
    <w:rsid w:val="004728C1"/>
    <w:rsid w:val="00473110"/>
    <w:rsid w:val="004776B1"/>
    <w:rsid w:val="004800E4"/>
    <w:rsid w:val="004803E0"/>
    <w:rsid w:val="0048251A"/>
    <w:rsid w:val="0048327A"/>
    <w:rsid w:val="00490A70"/>
    <w:rsid w:val="00491736"/>
    <w:rsid w:val="00491A43"/>
    <w:rsid w:val="004952C4"/>
    <w:rsid w:val="004960BF"/>
    <w:rsid w:val="004A0D9B"/>
    <w:rsid w:val="004A5414"/>
    <w:rsid w:val="004B6FDE"/>
    <w:rsid w:val="004C072A"/>
    <w:rsid w:val="004C1726"/>
    <w:rsid w:val="004C31C7"/>
    <w:rsid w:val="004C3A19"/>
    <w:rsid w:val="004D5FC0"/>
    <w:rsid w:val="004D65E4"/>
    <w:rsid w:val="004E237F"/>
    <w:rsid w:val="004E2F76"/>
    <w:rsid w:val="004E6FE2"/>
    <w:rsid w:val="004F4751"/>
    <w:rsid w:val="004F55E5"/>
    <w:rsid w:val="004F5ACA"/>
    <w:rsid w:val="004F6DFF"/>
    <w:rsid w:val="004F7B8C"/>
    <w:rsid w:val="00500736"/>
    <w:rsid w:val="005020D5"/>
    <w:rsid w:val="00502A34"/>
    <w:rsid w:val="00502F47"/>
    <w:rsid w:val="00502F5C"/>
    <w:rsid w:val="00504001"/>
    <w:rsid w:val="00511C42"/>
    <w:rsid w:val="00511E19"/>
    <w:rsid w:val="005148C9"/>
    <w:rsid w:val="005174D1"/>
    <w:rsid w:val="005228F8"/>
    <w:rsid w:val="005263CF"/>
    <w:rsid w:val="00527E93"/>
    <w:rsid w:val="005311F3"/>
    <w:rsid w:val="00531732"/>
    <w:rsid w:val="00542F19"/>
    <w:rsid w:val="005527FD"/>
    <w:rsid w:val="00556D59"/>
    <w:rsid w:val="005600A0"/>
    <w:rsid w:val="00560735"/>
    <w:rsid w:val="005676DC"/>
    <w:rsid w:val="00573D6D"/>
    <w:rsid w:val="005803BB"/>
    <w:rsid w:val="005806AE"/>
    <w:rsid w:val="0058187A"/>
    <w:rsid w:val="00585DD2"/>
    <w:rsid w:val="0058623E"/>
    <w:rsid w:val="0058704B"/>
    <w:rsid w:val="00592292"/>
    <w:rsid w:val="00593DF3"/>
    <w:rsid w:val="00594E69"/>
    <w:rsid w:val="00597371"/>
    <w:rsid w:val="005A4984"/>
    <w:rsid w:val="005A6690"/>
    <w:rsid w:val="005A6C98"/>
    <w:rsid w:val="005A6E99"/>
    <w:rsid w:val="005B2351"/>
    <w:rsid w:val="005B31A3"/>
    <w:rsid w:val="005B32EF"/>
    <w:rsid w:val="005B383B"/>
    <w:rsid w:val="005C13A7"/>
    <w:rsid w:val="005C1F9E"/>
    <w:rsid w:val="005E1148"/>
    <w:rsid w:val="005E31C1"/>
    <w:rsid w:val="005F00B3"/>
    <w:rsid w:val="005F3C9A"/>
    <w:rsid w:val="005F7577"/>
    <w:rsid w:val="00600B07"/>
    <w:rsid w:val="00617272"/>
    <w:rsid w:val="006208CC"/>
    <w:rsid w:val="00620BB1"/>
    <w:rsid w:val="00620EBA"/>
    <w:rsid w:val="00625B2C"/>
    <w:rsid w:val="00641798"/>
    <w:rsid w:val="006447A2"/>
    <w:rsid w:val="00644883"/>
    <w:rsid w:val="00644FD9"/>
    <w:rsid w:val="0064501D"/>
    <w:rsid w:val="00646805"/>
    <w:rsid w:val="00652139"/>
    <w:rsid w:val="006561A1"/>
    <w:rsid w:val="0065786D"/>
    <w:rsid w:val="006623E3"/>
    <w:rsid w:val="0067444E"/>
    <w:rsid w:val="006803A7"/>
    <w:rsid w:val="00681EAB"/>
    <w:rsid w:val="00683D37"/>
    <w:rsid w:val="006900BE"/>
    <w:rsid w:val="006924BC"/>
    <w:rsid w:val="0069252E"/>
    <w:rsid w:val="00695100"/>
    <w:rsid w:val="00695269"/>
    <w:rsid w:val="006A1107"/>
    <w:rsid w:val="006A57BB"/>
    <w:rsid w:val="006A6520"/>
    <w:rsid w:val="006B4C89"/>
    <w:rsid w:val="006B5957"/>
    <w:rsid w:val="006C0FB8"/>
    <w:rsid w:val="006C2FD4"/>
    <w:rsid w:val="006C747D"/>
    <w:rsid w:val="006D0F2D"/>
    <w:rsid w:val="006D502C"/>
    <w:rsid w:val="006D73DB"/>
    <w:rsid w:val="006E3212"/>
    <w:rsid w:val="006E32C4"/>
    <w:rsid w:val="006E417B"/>
    <w:rsid w:val="006E514B"/>
    <w:rsid w:val="006E655A"/>
    <w:rsid w:val="006E754B"/>
    <w:rsid w:val="006F0F92"/>
    <w:rsid w:val="006F3173"/>
    <w:rsid w:val="006F34C1"/>
    <w:rsid w:val="006F4CD2"/>
    <w:rsid w:val="00703217"/>
    <w:rsid w:val="00703E3D"/>
    <w:rsid w:val="00706960"/>
    <w:rsid w:val="00706FAB"/>
    <w:rsid w:val="007111E2"/>
    <w:rsid w:val="00713724"/>
    <w:rsid w:val="0071749D"/>
    <w:rsid w:val="00717BF9"/>
    <w:rsid w:val="00724C08"/>
    <w:rsid w:val="00727695"/>
    <w:rsid w:val="00730991"/>
    <w:rsid w:val="00731C78"/>
    <w:rsid w:val="007341DA"/>
    <w:rsid w:val="00736F93"/>
    <w:rsid w:val="00740270"/>
    <w:rsid w:val="007425BD"/>
    <w:rsid w:val="00743E88"/>
    <w:rsid w:val="0076441E"/>
    <w:rsid w:val="007706A6"/>
    <w:rsid w:val="00771BDB"/>
    <w:rsid w:val="00772D98"/>
    <w:rsid w:val="007752F1"/>
    <w:rsid w:val="0077706D"/>
    <w:rsid w:val="00782ACB"/>
    <w:rsid w:val="00784B03"/>
    <w:rsid w:val="00784FBA"/>
    <w:rsid w:val="00785307"/>
    <w:rsid w:val="00790435"/>
    <w:rsid w:val="00793148"/>
    <w:rsid w:val="007A20C8"/>
    <w:rsid w:val="007A3707"/>
    <w:rsid w:val="007A3B78"/>
    <w:rsid w:val="007A4506"/>
    <w:rsid w:val="007B01AA"/>
    <w:rsid w:val="007B371E"/>
    <w:rsid w:val="007B412A"/>
    <w:rsid w:val="007B6AC0"/>
    <w:rsid w:val="007C3D74"/>
    <w:rsid w:val="007C4C7D"/>
    <w:rsid w:val="007C79E4"/>
    <w:rsid w:val="007D0209"/>
    <w:rsid w:val="007D1D58"/>
    <w:rsid w:val="007D2A0B"/>
    <w:rsid w:val="007D5451"/>
    <w:rsid w:val="007F58EC"/>
    <w:rsid w:val="008006FF"/>
    <w:rsid w:val="0080347A"/>
    <w:rsid w:val="008052F7"/>
    <w:rsid w:val="00812F4F"/>
    <w:rsid w:val="00815743"/>
    <w:rsid w:val="00822778"/>
    <w:rsid w:val="0082474C"/>
    <w:rsid w:val="00825B85"/>
    <w:rsid w:val="008305EC"/>
    <w:rsid w:val="008354B2"/>
    <w:rsid w:val="00835822"/>
    <w:rsid w:val="00842EC2"/>
    <w:rsid w:val="008431DB"/>
    <w:rsid w:val="0084445A"/>
    <w:rsid w:val="00845363"/>
    <w:rsid w:val="00855D83"/>
    <w:rsid w:val="00860415"/>
    <w:rsid w:val="008608C7"/>
    <w:rsid w:val="00862D0C"/>
    <w:rsid w:val="00863533"/>
    <w:rsid w:val="008722CF"/>
    <w:rsid w:val="00874501"/>
    <w:rsid w:val="0087517E"/>
    <w:rsid w:val="008764EB"/>
    <w:rsid w:val="0088408F"/>
    <w:rsid w:val="00884C03"/>
    <w:rsid w:val="00895DFF"/>
    <w:rsid w:val="00896F3E"/>
    <w:rsid w:val="00897071"/>
    <w:rsid w:val="008A44FC"/>
    <w:rsid w:val="008A678F"/>
    <w:rsid w:val="008B09D7"/>
    <w:rsid w:val="008B1287"/>
    <w:rsid w:val="008B626C"/>
    <w:rsid w:val="008C2C8B"/>
    <w:rsid w:val="008D01CE"/>
    <w:rsid w:val="008D2702"/>
    <w:rsid w:val="008D6AB0"/>
    <w:rsid w:val="008E0300"/>
    <w:rsid w:val="008E03A7"/>
    <w:rsid w:val="008E0742"/>
    <w:rsid w:val="008E2C27"/>
    <w:rsid w:val="008E372A"/>
    <w:rsid w:val="008F07E3"/>
    <w:rsid w:val="008F35D8"/>
    <w:rsid w:val="008F4291"/>
    <w:rsid w:val="008F46FD"/>
    <w:rsid w:val="009002A6"/>
    <w:rsid w:val="00901E44"/>
    <w:rsid w:val="009021CC"/>
    <w:rsid w:val="00911C67"/>
    <w:rsid w:val="009141E8"/>
    <w:rsid w:val="0091517F"/>
    <w:rsid w:val="00915A26"/>
    <w:rsid w:val="009164C5"/>
    <w:rsid w:val="0092244C"/>
    <w:rsid w:val="009300E8"/>
    <w:rsid w:val="00942D61"/>
    <w:rsid w:val="00953452"/>
    <w:rsid w:val="009602A4"/>
    <w:rsid w:val="00961CFF"/>
    <w:rsid w:val="00967C62"/>
    <w:rsid w:val="00971558"/>
    <w:rsid w:val="00973904"/>
    <w:rsid w:val="009816FF"/>
    <w:rsid w:val="009829ED"/>
    <w:rsid w:val="009904CF"/>
    <w:rsid w:val="009921F0"/>
    <w:rsid w:val="00992A7A"/>
    <w:rsid w:val="00994E0B"/>
    <w:rsid w:val="00995797"/>
    <w:rsid w:val="009976A0"/>
    <w:rsid w:val="009A05AD"/>
    <w:rsid w:val="009A56EB"/>
    <w:rsid w:val="009A5ECF"/>
    <w:rsid w:val="009A72DE"/>
    <w:rsid w:val="009B020E"/>
    <w:rsid w:val="009B4F12"/>
    <w:rsid w:val="009B76BC"/>
    <w:rsid w:val="009D0B1B"/>
    <w:rsid w:val="009D17C5"/>
    <w:rsid w:val="009D3CE6"/>
    <w:rsid w:val="009D4366"/>
    <w:rsid w:val="009D4947"/>
    <w:rsid w:val="009E1BFC"/>
    <w:rsid w:val="009E7880"/>
    <w:rsid w:val="009F36A4"/>
    <w:rsid w:val="009F6732"/>
    <w:rsid w:val="00A06DA8"/>
    <w:rsid w:val="00A10F90"/>
    <w:rsid w:val="00A13857"/>
    <w:rsid w:val="00A15F80"/>
    <w:rsid w:val="00A236B0"/>
    <w:rsid w:val="00A31C9F"/>
    <w:rsid w:val="00A326A1"/>
    <w:rsid w:val="00A4046A"/>
    <w:rsid w:val="00A44AB3"/>
    <w:rsid w:val="00A44B3E"/>
    <w:rsid w:val="00A5287F"/>
    <w:rsid w:val="00A551F8"/>
    <w:rsid w:val="00A55F33"/>
    <w:rsid w:val="00A57DB6"/>
    <w:rsid w:val="00A60608"/>
    <w:rsid w:val="00A73CF4"/>
    <w:rsid w:val="00A74AFD"/>
    <w:rsid w:val="00A75BCE"/>
    <w:rsid w:val="00A822DC"/>
    <w:rsid w:val="00A91671"/>
    <w:rsid w:val="00A92E3C"/>
    <w:rsid w:val="00A956DB"/>
    <w:rsid w:val="00AA0A03"/>
    <w:rsid w:val="00AA26DF"/>
    <w:rsid w:val="00AA3266"/>
    <w:rsid w:val="00AB3067"/>
    <w:rsid w:val="00AC439B"/>
    <w:rsid w:val="00AC4B63"/>
    <w:rsid w:val="00AD4B40"/>
    <w:rsid w:val="00AE34F4"/>
    <w:rsid w:val="00AF0765"/>
    <w:rsid w:val="00AF702B"/>
    <w:rsid w:val="00B05BB8"/>
    <w:rsid w:val="00B27CC9"/>
    <w:rsid w:val="00B302E9"/>
    <w:rsid w:val="00B31C05"/>
    <w:rsid w:val="00B4433F"/>
    <w:rsid w:val="00B46350"/>
    <w:rsid w:val="00B60431"/>
    <w:rsid w:val="00B62BDF"/>
    <w:rsid w:val="00B63876"/>
    <w:rsid w:val="00B671CA"/>
    <w:rsid w:val="00B6741A"/>
    <w:rsid w:val="00B730F8"/>
    <w:rsid w:val="00B82D94"/>
    <w:rsid w:val="00B84102"/>
    <w:rsid w:val="00B93833"/>
    <w:rsid w:val="00BA2AA3"/>
    <w:rsid w:val="00BA35ED"/>
    <w:rsid w:val="00BA5B83"/>
    <w:rsid w:val="00BA6E50"/>
    <w:rsid w:val="00BB10BC"/>
    <w:rsid w:val="00BC0BD3"/>
    <w:rsid w:val="00BC0F8C"/>
    <w:rsid w:val="00BC300A"/>
    <w:rsid w:val="00BC54BB"/>
    <w:rsid w:val="00BC74DB"/>
    <w:rsid w:val="00BD3B07"/>
    <w:rsid w:val="00BD5B79"/>
    <w:rsid w:val="00BD65D5"/>
    <w:rsid w:val="00BE7B43"/>
    <w:rsid w:val="00BF42B2"/>
    <w:rsid w:val="00C02257"/>
    <w:rsid w:val="00C0311C"/>
    <w:rsid w:val="00C0539C"/>
    <w:rsid w:val="00C117A1"/>
    <w:rsid w:val="00C1259B"/>
    <w:rsid w:val="00C16302"/>
    <w:rsid w:val="00C17B14"/>
    <w:rsid w:val="00C17FB4"/>
    <w:rsid w:val="00C17FE3"/>
    <w:rsid w:val="00C22613"/>
    <w:rsid w:val="00C22CF8"/>
    <w:rsid w:val="00C237EA"/>
    <w:rsid w:val="00C244C5"/>
    <w:rsid w:val="00C32907"/>
    <w:rsid w:val="00C32C28"/>
    <w:rsid w:val="00C34DC5"/>
    <w:rsid w:val="00C37F07"/>
    <w:rsid w:val="00C41F50"/>
    <w:rsid w:val="00C52BD5"/>
    <w:rsid w:val="00C53F6E"/>
    <w:rsid w:val="00C57BEB"/>
    <w:rsid w:val="00C61872"/>
    <w:rsid w:val="00C73C87"/>
    <w:rsid w:val="00C77021"/>
    <w:rsid w:val="00C86DFB"/>
    <w:rsid w:val="00C93954"/>
    <w:rsid w:val="00C96119"/>
    <w:rsid w:val="00CA058B"/>
    <w:rsid w:val="00CA248C"/>
    <w:rsid w:val="00CB1222"/>
    <w:rsid w:val="00CB4E60"/>
    <w:rsid w:val="00CB677B"/>
    <w:rsid w:val="00CC7179"/>
    <w:rsid w:val="00CD204B"/>
    <w:rsid w:val="00CD3712"/>
    <w:rsid w:val="00CD3774"/>
    <w:rsid w:val="00CD57B6"/>
    <w:rsid w:val="00CE095D"/>
    <w:rsid w:val="00CE4516"/>
    <w:rsid w:val="00CE5EB2"/>
    <w:rsid w:val="00CF2280"/>
    <w:rsid w:val="00CF4FFC"/>
    <w:rsid w:val="00CF65A6"/>
    <w:rsid w:val="00D02CAA"/>
    <w:rsid w:val="00D0464F"/>
    <w:rsid w:val="00D05A62"/>
    <w:rsid w:val="00D14FE7"/>
    <w:rsid w:val="00D204B3"/>
    <w:rsid w:val="00D20ACA"/>
    <w:rsid w:val="00D25A0D"/>
    <w:rsid w:val="00D2645F"/>
    <w:rsid w:val="00D26465"/>
    <w:rsid w:val="00D272A5"/>
    <w:rsid w:val="00D338EF"/>
    <w:rsid w:val="00D33B4E"/>
    <w:rsid w:val="00D34451"/>
    <w:rsid w:val="00D418D6"/>
    <w:rsid w:val="00D47097"/>
    <w:rsid w:val="00D47FC9"/>
    <w:rsid w:val="00D512A8"/>
    <w:rsid w:val="00D51EC1"/>
    <w:rsid w:val="00D557D6"/>
    <w:rsid w:val="00D615BF"/>
    <w:rsid w:val="00D64656"/>
    <w:rsid w:val="00D6543F"/>
    <w:rsid w:val="00D66A01"/>
    <w:rsid w:val="00D66E65"/>
    <w:rsid w:val="00D67F60"/>
    <w:rsid w:val="00D70E4A"/>
    <w:rsid w:val="00D71C7A"/>
    <w:rsid w:val="00D76DCC"/>
    <w:rsid w:val="00D81696"/>
    <w:rsid w:val="00D919B0"/>
    <w:rsid w:val="00D95E10"/>
    <w:rsid w:val="00D970DA"/>
    <w:rsid w:val="00D97C13"/>
    <w:rsid w:val="00DA3148"/>
    <w:rsid w:val="00DA48A2"/>
    <w:rsid w:val="00DA6FBF"/>
    <w:rsid w:val="00DA70B3"/>
    <w:rsid w:val="00DB0EDD"/>
    <w:rsid w:val="00DB37DC"/>
    <w:rsid w:val="00DB7B05"/>
    <w:rsid w:val="00DC07AA"/>
    <w:rsid w:val="00DC13B8"/>
    <w:rsid w:val="00DC2992"/>
    <w:rsid w:val="00DC53F5"/>
    <w:rsid w:val="00DC55E7"/>
    <w:rsid w:val="00DD30C6"/>
    <w:rsid w:val="00DD3E2B"/>
    <w:rsid w:val="00DD41FD"/>
    <w:rsid w:val="00DD5966"/>
    <w:rsid w:val="00DE1818"/>
    <w:rsid w:val="00DE5033"/>
    <w:rsid w:val="00DF012B"/>
    <w:rsid w:val="00DF09B7"/>
    <w:rsid w:val="00DF5537"/>
    <w:rsid w:val="00DF7A4B"/>
    <w:rsid w:val="00E00B45"/>
    <w:rsid w:val="00E06101"/>
    <w:rsid w:val="00E14727"/>
    <w:rsid w:val="00E171CC"/>
    <w:rsid w:val="00E211FA"/>
    <w:rsid w:val="00E26CEA"/>
    <w:rsid w:val="00E3311A"/>
    <w:rsid w:val="00E37329"/>
    <w:rsid w:val="00E402AF"/>
    <w:rsid w:val="00E46784"/>
    <w:rsid w:val="00E46C72"/>
    <w:rsid w:val="00E527E6"/>
    <w:rsid w:val="00E60D80"/>
    <w:rsid w:val="00E622BB"/>
    <w:rsid w:val="00E72A75"/>
    <w:rsid w:val="00E7737B"/>
    <w:rsid w:val="00E777A4"/>
    <w:rsid w:val="00E821FE"/>
    <w:rsid w:val="00E85F0A"/>
    <w:rsid w:val="00E8721C"/>
    <w:rsid w:val="00E9171E"/>
    <w:rsid w:val="00E959AB"/>
    <w:rsid w:val="00E96CF0"/>
    <w:rsid w:val="00EA10BE"/>
    <w:rsid w:val="00EA1B5B"/>
    <w:rsid w:val="00EA3CE6"/>
    <w:rsid w:val="00EA59C8"/>
    <w:rsid w:val="00EA5F2F"/>
    <w:rsid w:val="00EA70C9"/>
    <w:rsid w:val="00EA7D54"/>
    <w:rsid w:val="00EB32E9"/>
    <w:rsid w:val="00EB33C2"/>
    <w:rsid w:val="00EC7E01"/>
    <w:rsid w:val="00ED4211"/>
    <w:rsid w:val="00ED6AD9"/>
    <w:rsid w:val="00EE4FA9"/>
    <w:rsid w:val="00EF176D"/>
    <w:rsid w:val="00EF4322"/>
    <w:rsid w:val="00EF55F9"/>
    <w:rsid w:val="00EF655E"/>
    <w:rsid w:val="00F03644"/>
    <w:rsid w:val="00F115E9"/>
    <w:rsid w:val="00F119E0"/>
    <w:rsid w:val="00F11A1E"/>
    <w:rsid w:val="00F156E1"/>
    <w:rsid w:val="00F1759A"/>
    <w:rsid w:val="00F23BEF"/>
    <w:rsid w:val="00F3030E"/>
    <w:rsid w:val="00F42BE5"/>
    <w:rsid w:val="00F6162D"/>
    <w:rsid w:val="00F61B68"/>
    <w:rsid w:val="00F6598C"/>
    <w:rsid w:val="00F85DE7"/>
    <w:rsid w:val="00F877E1"/>
    <w:rsid w:val="00F91993"/>
    <w:rsid w:val="00F95975"/>
    <w:rsid w:val="00FA15E5"/>
    <w:rsid w:val="00FA33F3"/>
    <w:rsid w:val="00FA39AA"/>
    <w:rsid w:val="00FB0B9E"/>
    <w:rsid w:val="00FB17F4"/>
    <w:rsid w:val="00FB354A"/>
    <w:rsid w:val="00FB387D"/>
    <w:rsid w:val="00FB68E7"/>
    <w:rsid w:val="00FD3A69"/>
    <w:rsid w:val="00FD48A8"/>
    <w:rsid w:val="00FD4B25"/>
    <w:rsid w:val="00FD4EE5"/>
    <w:rsid w:val="00FE082A"/>
    <w:rsid w:val="00FE6624"/>
    <w:rsid w:val="00FE69D0"/>
    <w:rsid w:val="00FE7094"/>
    <w:rsid w:val="00FF08C5"/>
    <w:rsid w:val="00FF39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862D0C"/>
    <w:pPr>
      <w:spacing w:after="0" w:line="240" w:lineRule="auto"/>
      <w:ind w:left="360" w:hanging="360"/>
    </w:pPr>
    <w:rPr>
      <w:lang w:val="en-GB"/>
    </w:rPr>
  </w:style>
  <w:style w:type="paragraph" w:styleId="BodyText">
    <w:name w:val="Body Text"/>
    <w:basedOn w:val="Normal"/>
    <w:link w:val="BodyTextChar"/>
    <w:uiPriority w:val="99"/>
    <w:unhideWhenUsed/>
    <w:rsid w:val="00862D0C"/>
    <w:pPr>
      <w:spacing w:after="120" w:line="240" w:lineRule="auto"/>
    </w:pPr>
    <w:rPr>
      <w:lang w:val="en-GB"/>
    </w:rPr>
  </w:style>
  <w:style w:type="character" w:customStyle="1" w:styleId="BodyTextChar">
    <w:name w:val="Body Text Char"/>
    <w:basedOn w:val="DefaultParagraphFont"/>
    <w:link w:val="BodyText"/>
    <w:uiPriority w:val="99"/>
    <w:rsid w:val="00862D0C"/>
    <w:rPr>
      <w:lang w:val="en-GB"/>
    </w:rPr>
  </w:style>
  <w:style w:type="paragraph" w:styleId="ListParagraph">
    <w:name w:val="List Paragraph"/>
    <w:basedOn w:val="Normal"/>
    <w:uiPriority w:val="34"/>
    <w:qFormat/>
    <w:rsid w:val="00862D0C"/>
    <w:pPr>
      <w:spacing w:line="240" w:lineRule="auto"/>
      <w:ind w:left="720"/>
      <w:contextualSpacing/>
    </w:pPr>
    <w:rPr>
      <w:rFonts w:ascii="Arial" w:hAnsi="Arial" w:cs="Arial"/>
      <w:sz w:val="20"/>
      <w:szCs w:val="20"/>
      <w:lang w:val="en-GB"/>
    </w:rPr>
  </w:style>
  <w:style w:type="character" w:styleId="Hyperlink">
    <w:name w:val="Hyperlink"/>
    <w:basedOn w:val="DefaultParagraphFont"/>
    <w:uiPriority w:val="99"/>
    <w:unhideWhenUsed/>
    <w:rsid w:val="00A13857"/>
    <w:rPr>
      <w:color w:val="0000FF" w:themeColor="hyperlink"/>
      <w:u w:val="single"/>
    </w:rPr>
  </w:style>
  <w:style w:type="paragraph" w:styleId="Header">
    <w:name w:val="header"/>
    <w:basedOn w:val="Normal"/>
    <w:link w:val="HeaderChar"/>
    <w:uiPriority w:val="99"/>
    <w:semiHidden/>
    <w:unhideWhenUsed/>
    <w:rsid w:val="00C34D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4DC5"/>
  </w:style>
  <w:style w:type="paragraph" w:styleId="Footer">
    <w:name w:val="footer"/>
    <w:basedOn w:val="Normal"/>
    <w:link w:val="FooterChar"/>
    <w:uiPriority w:val="99"/>
    <w:unhideWhenUsed/>
    <w:rsid w:val="00C34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D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862D0C"/>
    <w:pPr>
      <w:spacing w:after="0" w:line="240" w:lineRule="auto"/>
      <w:ind w:left="360" w:hanging="360"/>
    </w:pPr>
    <w:rPr>
      <w:lang w:val="en-GB"/>
    </w:rPr>
  </w:style>
  <w:style w:type="paragraph" w:styleId="BodyText">
    <w:name w:val="Body Text"/>
    <w:basedOn w:val="Normal"/>
    <w:link w:val="BodyTextChar"/>
    <w:uiPriority w:val="99"/>
    <w:unhideWhenUsed/>
    <w:rsid w:val="00862D0C"/>
    <w:pPr>
      <w:spacing w:after="120" w:line="240" w:lineRule="auto"/>
    </w:pPr>
    <w:rPr>
      <w:lang w:val="en-GB"/>
    </w:rPr>
  </w:style>
  <w:style w:type="character" w:customStyle="1" w:styleId="BodyTextChar">
    <w:name w:val="Body Text Char"/>
    <w:basedOn w:val="DefaultParagraphFont"/>
    <w:link w:val="BodyText"/>
    <w:uiPriority w:val="99"/>
    <w:rsid w:val="00862D0C"/>
    <w:rPr>
      <w:lang w:val="en-GB"/>
    </w:rPr>
  </w:style>
  <w:style w:type="paragraph" w:styleId="ListParagraph">
    <w:name w:val="List Paragraph"/>
    <w:basedOn w:val="Normal"/>
    <w:uiPriority w:val="34"/>
    <w:qFormat/>
    <w:rsid w:val="00862D0C"/>
    <w:pPr>
      <w:spacing w:line="240" w:lineRule="auto"/>
      <w:ind w:left="720"/>
      <w:contextualSpacing/>
    </w:pPr>
    <w:rPr>
      <w:rFonts w:ascii="Arial" w:hAnsi="Arial" w:cs="Arial"/>
      <w:sz w:val="20"/>
      <w:szCs w:val="20"/>
      <w:lang w:val="en-GB"/>
    </w:rPr>
  </w:style>
  <w:style w:type="character" w:styleId="Hyperlink">
    <w:name w:val="Hyperlink"/>
    <w:basedOn w:val="DefaultParagraphFont"/>
    <w:uiPriority w:val="99"/>
    <w:unhideWhenUsed/>
    <w:rsid w:val="00A13857"/>
    <w:rPr>
      <w:color w:val="0000FF" w:themeColor="hyperlink"/>
      <w:u w:val="single"/>
    </w:rPr>
  </w:style>
  <w:style w:type="paragraph" w:styleId="Header">
    <w:name w:val="header"/>
    <w:basedOn w:val="Normal"/>
    <w:link w:val="HeaderChar"/>
    <w:uiPriority w:val="99"/>
    <w:semiHidden/>
    <w:unhideWhenUsed/>
    <w:rsid w:val="00C34D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4DC5"/>
  </w:style>
  <w:style w:type="paragraph" w:styleId="Footer">
    <w:name w:val="footer"/>
    <w:basedOn w:val="Normal"/>
    <w:link w:val="FooterChar"/>
    <w:uiPriority w:val="99"/>
    <w:unhideWhenUsed/>
    <w:rsid w:val="00C34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9799">
      <w:bodyDiv w:val="1"/>
      <w:marLeft w:val="0"/>
      <w:marRight w:val="0"/>
      <w:marTop w:val="0"/>
      <w:marBottom w:val="0"/>
      <w:divBdr>
        <w:top w:val="none" w:sz="0" w:space="0" w:color="auto"/>
        <w:left w:val="none" w:sz="0" w:space="0" w:color="auto"/>
        <w:bottom w:val="none" w:sz="0" w:space="0" w:color="auto"/>
        <w:right w:val="none" w:sz="0" w:space="0" w:color="auto"/>
      </w:divBdr>
    </w:div>
    <w:div w:id="395739064">
      <w:bodyDiv w:val="1"/>
      <w:marLeft w:val="0"/>
      <w:marRight w:val="0"/>
      <w:marTop w:val="0"/>
      <w:marBottom w:val="0"/>
      <w:divBdr>
        <w:top w:val="none" w:sz="0" w:space="0" w:color="auto"/>
        <w:left w:val="none" w:sz="0" w:space="0" w:color="auto"/>
        <w:bottom w:val="none" w:sz="0" w:space="0" w:color="auto"/>
        <w:right w:val="none" w:sz="0" w:space="0" w:color="auto"/>
      </w:divBdr>
    </w:div>
    <w:div w:id="453910676">
      <w:bodyDiv w:val="1"/>
      <w:marLeft w:val="0"/>
      <w:marRight w:val="0"/>
      <w:marTop w:val="0"/>
      <w:marBottom w:val="0"/>
      <w:divBdr>
        <w:top w:val="none" w:sz="0" w:space="0" w:color="auto"/>
        <w:left w:val="none" w:sz="0" w:space="0" w:color="auto"/>
        <w:bottom w:val="none" w:sz="0" w:space="0" w:color="auto"/>
        <w:right w:val="none" w:sz="0" w:space="0" w:color="auto"/>
      </w:divBdr>
    </w:div>
    <w:div w:id="619799456">
      <w:bodyDiv w:val="1"/>
      <w:marLeft w:val="0"/>
      <w:marRight w:val="0"/>
      <w:marTop w:val="0"/>
      <w:marBottom w:val="0"/>
      <w:divBdr>
        <w:top w:val="none" w:sz="0" w:space="0" w:color="auto"/>
        <w:left w:val="none" w:sz="0" w:space="0" w:color="auto"/>
        <w:bottom w:val="none" w:sz="0" w:space="0" w:color="auto"/>
        <w:right w:val="none" w:sz="0" w:space="0" w:color="auto"/>
      </w:divBdr>
    </w:div>
    <w:div w:id="865561882">
      <w:bodyDiv w:val="1"/>
      <w:marLeft w:val="0"/>
      <w:marRight w:val="0"/>
      <w:marTop w:val="0"/>
      <w:marBottom w:val="0"/>
      <w:divBdr>
        <w:top w:val="none" w:sz="0" w:space="0" w:color="auto"/>
        <w:left w:val="none" w:sz="0" w:space="0" w:color="auto"/>
        <w:bottom w:val="none" w:sz="0" w:space="0" w:color="auto"/>
        <w:right w:val="none" w:sz="0" w:space="0" w:color="auto"/>
      </w:divBdr>
    </w:div>
    <w:div w:id="1074203772">
      <w:bodyDiv w:val="1"/>
      <w:marLeft w:val="0"/>
      <w:marRight w:val="0"/>
      <w:marTop w:val="0"/>
      <w:marBottom w:val="0"/>
      <w:divBdr>
        <w:top w:val="none" w:sz="0" w:space="0" w:color="auto"/>
        <w:left w:val="none" w:sz="0" w:space="0" w:color="auto"/>
        <w:bottom w:val="none" w:sz="0" w:space="0" w:color="auto"/>
        <w:right w:val="none" w:sz="0" w:space="0" w:color="auto"/>
      </w:divBdr>
    </w:div>
    <w:div w:id="1195071788">
      <w:bodyDiv w:val="1"/>
      <w:marLeft w:val="0"/>
      <w:marRight w:val="0"/>
      <w:marTop w:val="0"/>
      <w:marBottom w:val="0"/>
      <w:divBdr>
        <w:top w:val="none" w:sz="0" w:space="0" w:color="auto"/>
        <w:left w:val="none" w:sz="0" w:space="0" w:color="auto"/>
        <w:bottom w:val="none" w:sz="0" w:space="0" w:color="auto"/>
        <w:right w:val="none" w:sz="0" w:space="0" w:color="auto"/>
      </w:divBdr>
    </w:div>
    <w:div w:id="1292055148">
      <w:bodyDiv w:val="1"/>
      <w:marLeft w:val="0"/>
      <w:marRight w:val="0"/>
      <w:marTop w:val="0"/>
      <w:marBottom w:val="0"/>
      <w:divBdr>
        <w:top w:val="none" w:sz="0" w:space="0" w:color="auto"/>
        <w:left w:val="none" w:sz="0" w:space="0" w:color="auto"/>
        <w:bottom w:val="none" w:sz="0" w:space="0" w:color="auto"/>
        <w:right w:val="none" w:sz="0" w:space="0" w:color="auto"/>
      </w:divBdr>
      <w:divsChild>
        <w:div w:id="905065227">
          <w:marLeft w:val="547"/>
          <w:marRight w:val="0"/>
          <w:marTop w:val="0"/>
          <w:marBottom w:val="0"/>
          <w:divBdr>
            <w:top w:val="none" w:sz="0" w:space="0" w:color="auto"/>
            <w:left w:val="none" w:sz="0" w:space="0" w:color="auto"/>
            <w:bottom w:val="none" w:sz="0" w:space="0" w:color="auto"/>
            <w:right w:val="none" w:sz="0" w:space="0" w:color="auto"/>
          </w:divBdr>
        </w:div>
      </w:divsChild>
    </w:div>
    <w:div w:id="1374769171">
      <w:bodyDiv w:val="1"/>
      <w:marLeft w:val="0"/>
      <w:marRight w:val="0"/>
      <w:marTop w:val="0"/>
      <w:marBottom w:val="0"/>
      <w:divBdr>
        <w:top w:val="none" w:sz="0" w:space="0" w:color="auto"/>
        <w:left w:val="none" w:sz="0" w:space="0" w:color="auto"/>
        <w:bottom w:val="none" w:sz="0" w:space="0" w:color="auto"/>
        <w:right w:val="none" w:sz="0" w:space="0" w:color="auto"/>
      </w:divBdr>
    </w:div>
    <w:div w:id="1378965330">
      <w:bodyDiv w:val="1"/>
      <w:marLeft w:val="0"/>
      <w:marRight w:val="0"/>
      <w:marTop w:val="0"/>
      <w:marBottom w:val="0"/>
      <w:divBdr>
        <w:top w:val="none" w:sz="0" w:space="0" w:color="auto"/>
        <w:left w:val="none" w:sz="0" w:space="0" w:color="auto"/>
        <w:bottom w:val="none" w:sz="0" w:space="0" w:color="auto"/>
        <w:right w:val="none" w:sz="0" w:space="0" w:color="auto"/>
      </w:divBdr>
    </w:div>
    <w:div w:id="1439719357">
      <w:bodyDiv w:val="1"/>
      <w:marLeft w:val="0"/>
      <w:marRight w:val="0"/>
      <w:marTop w:val="0"/>
      <w:marBottom w:val="0"/>
      <w:divBdr>
        <w:top w:val="none" w:sz="0" w:space="0" w:color="auto"/>
        <w:left w:val="none" w:sz="0" w:space="0" w:color="auto"/>
        <w:bottom w:val="none" w:sz="0" w:space="0" w:color="auto"/>
        <w:right w:val="none" w:sz="0" w:space="0" w:color="auto"/>
      </w:divBdr>
    </w:div>
    <w:div w:id="1492329683">
      <w:bodyDiv w:val="1"/>
      <w:marLeft w:val="0"/>
      <w:marRight w:val="0"/>
      <w:marTop w:val="0"/>
      <w:marBottom w:val="0"/>
      <w:divBdr>
        <w:top w:val="none" w:sz="0" w:space="0" w:color="auto"/>
        <w:left w:val="none" w:sz="0" w:space="0" w:color="auto"/>
        <w:bottom w:val="none" w:sz="0" w:space="0" w:color="auto"/>
        <w:right w:val="none" w:sz="0" w:space="0" w:color="auto"/>
      </w:divBdr>
      <w:divsChild>
        <w:div w:id="1151095977">
          <w:marLeft w:val="1267"/>
          <w:marRight w:val="0"/>
          <w:marTop w:val="0"/>
          <w:marBottom w:val="0"/>
          <w:divBdr>
            <w:top w:val="none" w:sz="0" w:space="0" w:color="auto"/>
            <w:left w:val="none" w:sz="0" w:space="0" w:color="auto"/>
            <w:bottom w:val="none" w:sz="0" w:space="0" w:color="auto"/>
            <w:right w:val="none" w:sz="0" w:space="0" w:color="auto"/>
          </w:divBdr>
        </w:div>
        <w:div w:id="1886408470">
          <w:marLeft w:val="1267"/>
          <w:marRight w:val="0"/>
          <w:marTop w:val="0"/>
          <w:marBottom w:val="0"/>
          <w:divBdr>
            <w:top w:val="none" w:sz="0" w:space="0" w:color="auto"/>
            <w:left w:val="none" w:sz="0" w:space="0" w:color="auto"/>
            <w:bottom w:val="none" w:sz="0" w:space="0" w:color="auto"/>
            <w:right w:val="none" w:sz="0" w:space="0" w:color="auto"/>
          </w:divBdr>
        </w:div>
        <w:div w:id="967663216">
          <w:marLeft w:val="1267"/>
          <w:marRight w:val="0"/>
          <w:marTop w:val="0"/>
          <w:marBottom w:val="0"/>
          <w:divBdr>
            <w:top w:val="none" w:sz="0" w:space="0" w:color="auto"/>
            <w:left w:val="none" w:sz="0" w:space="0" w:color="auto"/>
            <w:bottom w:val="none" w:sz="0" w:space="0" w:color="auto"/>
            <w:right w:val="none" w:sz="0" w:space="0" w:color="auto"/>
          </w:divBdr>
        </w:div>
        <w:div w:id="972632787">
          <w:marLeft w:val="1267"/>
          <w:marRight w:val="0"/>
          <w:marTop w:val="0"/>
          <w:marBottom w:val="0"/>
          <w:divBdr>
            <w:top w:val="none" w:sz="0" w:space="0" w:color="auto"/>
            <w:left w:val="none" w:sz="0" w:space="0" w:color="auto"/>
            <w:bottom w:val="none" w:sz="0" w:space="0" w:color="auto"/>
            <w:right w:val="none" w:sz="0" w:space="0" w:color="auto"/>
          </w:divBdr>
        </w:div>
      </w:divsChild>
    </w:div>
    <w:div w:id="1640190601">
      <w:bodyDiv w:val="1"/>
      <w:marLeft w:val="0"/>
      <w:marRight w:val="0"/>
      <w:marTop w:val="0"/>
      <w:marBottom w:val="0"/>
      <w:divBdr>
        <w:top w:val="none" w:sz="0" w:space="0" w:color="auto"/>
        <w:left w:val="none" w:sz="0" w:space="0" w:color="auto"/>
        <w:bottom w:val="none" w:sz="0" w:space="0" w:color="auto"/>
        <w:right w:val="none" w:sz="0" w:space="0" w:color="auto"/>
      </w:divBdr>
    </w:div>
    <w:div w:id="1708680329">
      <w:bodyDiv w:val="1"/>
      <w:marLeft w:val="0"/>
      <w:marRight w:val="0"/>
      <w:marTop w:val="0"/>
      <w:marBottom w:val="0"/>
      <w:divBdr>
        <w:top w:val="none" w:sz="0" w:space="0" w:color="auto"/>
        <w:left w:val="none" w:sz="0" w:space="0" w:color="auto"/>
        <w:bottom w:val="none" w:sz="0" w:space="0" w:color="auto"/>
        <w:right w:val="none" w:sz="0" w:space="0" w:color="auto"/>
      </w:divBdr>
    </w:div>
    <w:div w:id="1744721719">
      <w:bodyDiv w:val="1"/>
      <w:marLeft w:val="0"/>
      <w:marRight w:val="0"/>
      <w:marTop w:val="0"/>
      <w:marBottom w:val="0"/>
      <w:divBdr>
        <w:top w:val="none" w:sz="0" w:space="0" w:color="auto"/>
        <w:left w:val="none" w:sz="0" w:space="0" w:color="auto"/>
        <w:bottom w:val="none" w:sz="0" w:space="0" w:color="auto"/>
        <w:right w:val="none" w:sz="0" w:space="0" w:color="auto"/>
      </w:divBdr>
    </w:div>
    <w:div w:id="1788892248">
      <w:bodyDiv w:val="1"/>
      <w:marLeft w:val="0"/>
      <w:marRight w:val="0"/>
      <w:marTop w:val="0"/>
      <w:marBottom w:val="0"/>
      <w:divBdr>
        <w:top w:val="none" w:sz="0" w:space="0" w:color="auto"/>
        <w:left w:val="none" w:sz="0" w:space="0" w:color="auto"/>
        <w:bottom w:val="none" w:sz="0" w:space="0" w:color="auto"/>
        <w:right w:val="none" w:sz="0" w:space="0" w:color="auto"/>
      </w:divBdr>
    </w:div>
    <w:div w:id="1793280499">
      <w:bodyDiv w:val="1"/>
      <w:marLeft w:val="0"/>
      <w:marRight w:val="0"/>
      <w:marTop w:val="0"/>
      <w:marBottom w:val="0"/>
      <w:divBdr>
        <w:top w:val="none" w:sz="0" w:space="0" w:color="auto"/>
        <w:left w:val="none" w:sz="0" w:space="0" w:color="auto"/>
        <w:bottom w:val="none" w:sz="0" w:space="0" w:color="auto"/>
        <w:right w:val="none" w:sz="0" w:space="0" w:color="auto"/>
      </w:divBdr>
      <w:divsChild>
        <w:div w:id="969436604">
          <w:marLeft w:val="547"/>
          <w:marRight w:val="0"/>
          <w:marTop w:val="0"/>
          <w:marBottom w:val="0"/>
          <w:divBdr>
            <w:top w:val="none" w:sz="0" w:space="0" w:color="auto"/>
            <w:left w:val="none" w:sz="0" w:space="0" w:color="auto"/>
            <w:bottom w:val="none" w:sz="0" w:space="0" w:color="auto"/>
            <w:right w:val="none" w:sz="0" w:space="0" w:color="auto"/>
          </w:divBdr>
        </w:div>
      </w:divsChild>
    </w:div>
    <w:div w:id="1819759485">
      <w:bodyDiv w:val="1"/>
      <w:marLeft w:val="0"/>
      <w:marRight w:val="0"/>
      <w:marTop w:val="0"/>
      <w:marBottom w:val="0"/>
      <w:divBdr>
        <w:top w:val="none" w:sz="0" w:space="0" w:color="auto"/>
        <w:left w:val="none" w:sz="0" w:space="0" w:color="auto"/>
        <w:bottom w:val="none" w:sz="0" w:space="0" w:color="auto"/>
        <w:right w:val="none" w:sz="0" w:space="0" w:color="auto"/>
      </w:divBdr>
    </w:div>
    <w:div w:id="1889565089">
      <w:bodyDiv w:val="1"/>
      <w:marLeft w:val="0"/>
      <w:marRight w:val="0"/>
      <w:marTop w:val="0"/>
      <w:marBottom w:val="0"/>
      <w:divBdr>
        <w:top w:val="none" w:sz="0" w:space="0" w:color="auto"/>
        <w:left w:val="none" w:sz="0" w:space="0" w:color="auto"/>
        <w:bottom w:val="none" w:sz="0" w:space="0" w:color="auto"/>
        <w:right w:val="none" w:sz="0" w:space="0" w:color="auto"/>
      </w:divBdr>
    </w:div>
    <w:div w:id="1926571577">
      <w:bodyDiv w:val="1"/>
      <w:marLeft w:val="0"/>
      <w:marRight w:val="0"/>
      <w:marTop w:val="0"/>
      <w:marBottom w:val="0"/>
      <w:divBdr>
        <w:top w:val="none" w:sz="0" w:space="0" w:color="auto"/>
        <w:left w:val="none" w:sz="0" w:space="0" w:color="auto"/>
        <w:bottom w:val="none" w:sz="0" w:space="0" w:color="auto"/>
        <w:right w:val="none" w:sz="0" w:space="0" w:color="auto"/>
      </w:divBdr>
    </w:div>
    <w:div w:id="1958098802">
      <w:bodyDiv w:val="1"/>
      <w:marLeft w:val="0"/>
      <w:marRight w:val="0"/>
      <w:marTop w:val="0"/>
      <w:marBottom w:val="0"/>
      <w:divBdr>
        <w:top w:val="none" w:sz="0" w:space="0" w:color="auto"/>
        <w:left w:val="none" w:sz="0" w:space="0" w:color="auto"/>
        <w:bottom w:val="none" w:sz="0" w:space="0" w:color="auto"/>
        <w:right w:val="none" w:sz="0" w:space="0" w:color="auto"/>
      </w:divBdr>
    </w:div>
    <w:div w:id="1969436036">
      <w:bodyDiv w:val="1"/>
      <w:marLeft w:val="0"/>
      <w:marRight w:val="0"/>
      <w:marTop w:val="0"/>
      <w:marBottom w:val="0"/>
      <w:divBdr>
        <w:top w:val="none" w:sz="0" w:space="0" w:color="auto"/>
        <w:left w:val="none" w:sz="0" w:space="0" w:color="auto"/>
        <w:bottom w:val="none" w:sz="0" w:space="0" w:color="auto"/>
        <w:right w:val="none" w:sz="0" w:space="0" w:color="auto"/>
      </w:divBdr>
    </w:div>
    <w:div w:id="1997950557">
      <w:bodyDiv w:val="1"/>
      <w:marLeft w:val="0"/>
      <w:marRight w:val="0"/>
      <w:marTop w:val="0"/>
      <w:marBottom w:val="0"/>
      <w:divBdr>
        <w:top w:val="none" w:sz="0" w:space="0" w:color="auto"/>
        <w:left w:val="none" w:sz="0" w:space="0" w:color="auto"/>
        <w:bottom w:val="none" w:sz="0" w:space="0" w:color="auto"/>
        <w:right w:val="none" w:sz="0" w:space="0" w:color="auto"/>
      </w:divBdr>
    </w:div>
    <w:div w:id="2040813086">
      <w:bodyDiv w:val="1"/>
      <w:marLeft w:val="0"/>
      <w:marRight w:val="0"/>
      <w:marTop w:val="0"/>
      <w:marBottom w:val="0"/>
      <w:divBdr>
        <w:top w:val="none" w:sz="0" w:space="0" w:color="auto"/>
        <w:left w:val="none" w:sz="0" w:space="0" w:color="auto"/>
        <w:bottom w:val="none" w:sz="0" w:space="0" w:color="auto"/>
        <w:right w:val="none" w:sz="0" w:space="0" w:color="auto"/>
      </w:divBdr>
    </w:div>
    <w:div w:id="214526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040A-F0A1-4AAF-AD6A-70E83D9D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1270</Words>
  <Characters>7245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 Cindy</dc:creator>
  <cp:lastModifiedBy>FOO Cindy</cp:lastModifiedBy>
  <cp:revision>2</cp:revision>
  <dcterms:created xsi:type="dcterms:W3CDTF">2014-08-11T06:41:00Z</dcterms:created>
  <dcterms:modified xsi:type="dcterms:W3CDTF">2014-08-11T06:41:00Z</dcterms:modified>
</cp:coreProperties>
</file>