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B0" w:rsidRPr="00A236B0" w:rsidRDefault="00A236B0" w:rsidP="00A236B0">
      <w:pPr>
        <w:jc w:val="center"/>
        <w:rPr>
          <w:b/>
          <w:sz w:val="28"/>
          <w:szCs w:val="28"/>
        </w:rPr>
      </w:pPr>
      <w:r w:rsidRPr="00A236B0">
        <w:rPr>
          <w:b/>
          <w:sz w:val="28"/>
          <w:szCs w:val="28"/>
        </w:rPr>
        <w:t>MEETING MINUTES</w:t>
      </w:r>
    </w:p>
    <w:p w:rsidR="00681EAB" w:rsidRDefault="00390CCC">
      <w:r>
        <w:rPr>
          <w:b/>
        </w:rPr>
        <w:t>FORUM</w:t>
      </w:r>
      <w:r w:rsidR="00A74AFD" w:rsidRPr="00A74AFD">
        <w:rPr>
          <w:b/>
        </w:rPr>
        <w:t>:</w:t>
      </w:r>
      <w:r w:rsidR="00A74AFD">
        <w:t xml:space="preserve"> SG</w:t>
      </w:r>
      <w:r w:rsidR="00771BDB">
        <w:t xml:space="preserve"> NMPG</w:t>
      </w:r>
    </w:p>
    <w:p w:rsidR="00A74AFD" w:rsidRDefault="00A74AFD">
      <w:r w:rsidRPr="00A74AFD">
        <w:rPr>
          <w:b/>
        </w:rPr>
        <w:t>DATE</w:t>
      </w:r>
      <w:r w:rsidR="00F6162D">
        <w:rPr>
          <w:b/>
        </w:rPr>
        <w:t xml:space="preserve"> AND TIME</w:t>
      </w:r>
      <w:r w:rsidRPr="00A74AFD">
        <w:rPr>
          <w:b/>
        </w:rPr>
        <w:t>:</w:t>
      </w:r>
      <w:r>
        <w:t xml:space="preserve"> </w:t>
      </w:r>
      <w:r w:rsidR="00771BDB">
        <w:t>08</w:t>
      </w:r>
      <w:r>
        <w:t xml:space="preserve"> </w:t>
      </w:r>
      <w:r w:rsidR="00771BDB">
        <w:t>MAY</w:t>
      </w:r>
      <w:r>
        <w:t xml:space="preserve"> 201</w:t>
      </w:r>
      <w:r w:rsidR="00771BDB">
        <w:t>3</w:t>
      </w:r>
      <w:r w:rsidR="00F6162D">
        <w:t>, 4PM</w:t>
      </w:r>
    </w:p>
    <w:p w:rsidR="00A74AFD" w:rsidRDefault="00A74AFD">
      <w:r w:rsidRPr="00A74AFD">
        <w:rPr>
          <w:b/>
        </w:rPr>
        <w:t>LOCATION:</w:t>
      </w:r>
      <w:r>
        <w:t xml:space="preserve"> </w:t>
      </w:r>
      <w:r w:rsidR="00771BDB">
        <w:t xml:space="preserve">SWIFT OFFICE, 8 MARINA </w:t>
      </w:r>
      <w:proofErr w:type="gramStart"/>
      <w:r w:rsidR="00771BDB">
        <w:t>VIEW</w:t>
      </w:r>
      <w:proofErr w:type="gramEnd"/>
      <w:r w:rsidR="00771BDB">
        <w:t>, ASIA SQUARE TOWER 1, #28-04, RAFFLES ROOM</w:t>
      </w:r>
    </w:p>
    <w:p w:rsidR="00FD48A8" w:rsidRDefault="00FD48A8">
      <w:pPr>
        <w:rPr>
          <w:b/>
        </w:rPr>
      </w:pPr>
      <w:r w:rsidRPr="00FD48A8">
        <w:rPr>
          <w:b/>
        </w:rPr>
        <w:t>ATTENDEES:</w:t>
      </w:r>
    </w:p>
    <w:tbl>
      <w:tblPr>
        <w:tblStyle w:val="TableGrid"/>
        <w:tblW w:w="0" w:type="auto"/>
        <w:tblLook w:val="04A0" w:firstRow="1" w:lastRow="0" w:firstColumn="1" w:lastColumn="0" w:noHBand="0" w:noVBand="1"/>
      </w:tblPr>
      <w:tblGrid>
        <w:gridCol w:w="4788"/>
        <w:gridCol w:w="4788"/>
      </w:tblGrid>
      <w:tr w:rsidR="003009D4" w:rsidTr="00FD0456">
        <w:tc>
          <w:tcPr>
            <w:tcW w:w="4788" w:type="dxa"/>
          </w:tcPr>
          <w:p w:rsidR="003009D4" w:rsidRPr="00FD48A8" w:rsidRDefault="003009D4" w:rsidP="00FD0456">
            <w:pPr>
              <w:rPr>
                <w:b/>
              </w:rPr>
            </w:pPr>
            <w:r w:rsidRPr="00FD48A8">
              <w:rPr>
                <w:b/>
              </w:rPr>
              <w:t>NAME</w:t>
            </w:r>
          </w:p>
        </w:tc>
        <w:tc>
          <w:tcPr>
            <w:tcW w:w="4788" w:type="dxa"/>
          </w:tcPr>
          <w:p w:rsidR="003009D4" w:rsidRPr="00FD48A8" w:rsidRDefault="003009D4" w:rsidP="00FD0456">
            <w:pPr>
              <w:rPr>
                <w:b/>
              </w:rPr>
            </w:pPr>
            <w:r w:rsidRPr="00FD48A8">
              <w:rPr>
                <w:b/>
              </w:rPr>
              <w:t>ORGANISATION</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Jamie Allen</w:t>
            </w:r>
          </w:p>
        </w:tc>
        <w:tc>
          <w:tcPr>
            <w:tcW w:w="4788" w:type="dxa"/>
            <w:vAlign w:val="center"/>
          </w:tcPr>
          <w:p w:rsidR="003E27C1" w:rsidRDefault="003E27C1">
            <w:pPr>
              <w:rPr>
                <w:rFonts w:ascii="Calibri" w:hAnsi="Calibri" w:cs="Calibri"/>
                <w:color w:val="000000"/>
              </w:rPr>
            </w:pPr>
            <w:r>
              <w:rPr>
                <w:rFonts w:ascii="Calibri" w:hAnsi="Calibri" w:cs="Calibri"/>
                <w:color w:val="000000"/>
              </w:rPr>
              <w:t>ACGA</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theme="minorHAnsi"/>
                <w:color w:val="000000"/>
              </w:rPr>
              <w:t xml:space="preserve">Rebecca F </w:t>
            </w:r>
            <w:proofErr w:type="spellStart"/>
            <w:r>
              <w:rPr>
                <w:rFonts w:ascii="Calibri" w:hAnsi="Calibri" w:cstheme="minorHAnsi"/>
                <w:color w:val="000000"/>
              </w:rPr>
              <w:t>Terner</w:t>
            </w:r>
            <w:proofErr w:type="spellEnd"/>
          </w:p>
        </w:tc>
        <w:tc>
          <w:tcPr>
            <w:tcW w:w="4788" w:type="dxa"/>
            <w:vAlign w:val="center"/>
          </w:tcPr>
          <w:p w:rsidR="003E27C1" w:rsidRDefault="003E27C1">
            <w:pPr>
              <w:rPr>
                <w:rFonts w:ascii="Calibri" w:hAnsi="Calibri" w:cs="Calibri"/>
                <w:color w:val="000000"/>
              </w:rPr>
            </w:pPr>
            <w:r>
              <w:rPr>
                <w:rFonts w:ascii="Calibri" w:hAnsi="Calibri" w:cstheme="minorHAnsi"/>
                <w:color w:val="000000"/>
              </w:rPr>
              <w:t>ASIFMA</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Jackie</w:t>
            </w:r>
          </w:p>
        </w:tc>
        <w:tc>
          <w:tcPr>
            <w:tcW w:w="4788" w:type="dxa"/>
            <w:vAlign w:val="center"/>
          </w:tcPr>
          <w:p w:rsidR="003E27C1" w:rsidRDefault="003E27C1">
            <w:pPr>
              <w:rPr>
                <w:rFonts w:ascii="Calibri" w:hAnsi="Calibri" w:cs="Calibri"/>
                <w:color w:val="000000"/>
              </w:rPr>
            </w:pPr>
            <w:r>
              <w:rPr>
                <w:rFonts w:ascii="Calibri" w:hAnsi="Calibri" w:cstheme="minorHAnsi"/>
                <w:color w:val="000000"/>
              </w:rPr>
              <w:t>ASIFMA</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Elizabeth Chia</w:t>
            </w:r>
          </w:p>
        </w:tc>
        <w:tc>
          <w:tcPr>
            <w:tcW w:w="4788" w:type="dxa"/>
            <w:vAlign w:val="center"/>
          </w:tcPr>
          <w:p w:rsidR="003E27C1" w:rsidRDefault="003E27C1">
            <w:pPr>
              <w:rPr>
                <w:rFonts w:ascii="Calibri" w:hAnsi="Calibri" w:cs="Calibri"/>
                <w:color w:val="000000"/>
              </w:rPr>
            </w:pPr>
            <w:r>
              <w:rPr>
                <w:rFonts w:ascii="Calibri" w:hAnsi="Calibri" w:cs="Calibri"/>
                <w:color w:val="000000"/>
              </w:rPr>
              <w:t>BNP Securities Services</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 xml:space="preserve">Mabel </w:t>
            </w:r>
            <w:proofErr w:type="spellStart"/>
            <w:r>
              <w:rPr>
                <w:rFonts w:ascii="Calibri" w:hAnsi="Calibri" w:cs="Calibri"/>
                <w:color w:val="000000"/>
              </w:rPr>
              <w:t>Goh</w:t>
            </w:r>
            <w:proofErr w:type="spellEnd"/>
          </w:p>
        </w:tc>
        <w:tc>
          <w:tcPr>
            <w:tcW w:w="4788" w:type="dxa"/>
            <w:vAlign w:val="center"/>
          </w:tcPr>
          <w:p w:rsidR="003E27C1" w:rsidRDefault="003E27C1">
            <w:pPr>
              <w:rPr>
                <w:rFonts w:ascii="Calibri" w:hAnsi="Calibri" w:cs="Calibri"/>
                <w:color w:val="000000"/>
              </w:rPr>
            </w:pPr>
            <w:r>
              <w:rPr>
                <w:rFonts w:ascii="Calibri" w:hAnsi="Calibri" w:cs="Calibri"/>
                <w:color w:val="000000"/>
              </w:rPr>
              <w:t>Citibank</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Gan Lai Chun</w:t>
            </w:r>
          </w:p>
        </w:tc>
        <w:tc>
          <w:tcPr>
            <w:tcW w:w="4788" w:type="dxa"/>
            <w:vAlign w:val="center"/>
          </w:tcPr>
          <w:p w:rsidR="003E27C1" w:rsidRDefault="003E27C1">
            <w:pPr>
              <w:rPr>
                <w:rFonts w:ascii="Calibri" w:hAnsi="Calibri" w:cs="Calibri"/>
                <w:color w:val="000000"/>
              </w:rPr>
            </w:pPr>
            <w:r>
              <w:rPr>
                <w:rFonts w:ascii="Calibri" w:hAnsi="Calibri" w:cs="Calibri"/>
                <w:color w:val="000000"/>
              </w:rPr>
              <w:t>Citibank</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Herman Wan</w:t>
            </w:r>
          </w:p>
        </w:tc>
        <w:tc>
          <w:tcPr>
            <w:tcW w:w="4788" w:type="dxa"/>
            <w:vAlign w:val="center"/>
          </w:tcPr>
          <w:p w:rsidR="003E27C1" w:rsidRDefault="003E27C1">
            <w:pPr>
              <w:rPr>
                <w:rFonts w:ascii="Calibri" w:hAnsi="Calibri" w:cs="Calibri"/>
                <w:color w:val="000000"/>
              </w:rPr>
            </w:pPr>
            <w:r>
              <w:rPr>
                <w:rFonts w:ascii="Calibri" w:hAnsi="Calibri" w:cs="Calibri"/>
                <w:color w:val="000000"/>
              </w:rPr>
              <w:t>DBS</w:t>
            </w:r>
          </w:p>
        </w:tc>
      </w:tr>
      <w:tr w:rsidR="003E27C1" w:rsidTr="00DA562C">
        <w:tc>
          <w:tcPr>
            <w:tcW w:w="4788" w:type="dxa"/>
            <w:vAlign w:val="center"/>
          </w:tcPr>
          <w:p w:rsidR="003E27C1" w:rsidRDefault="003E27C1">
            <w:pPr>
              <w:rPr>
                <w:rFonts w:ascii="Calibri" w:hAnsi="Calibri" w:cs="Calibri"/>
                <w:color w:val="000000"/>
              </w:rPr>
            </w:pPr>
            <w:proofErr w:type="spellStart"/>
            <w:r>
              <w:rPr>
                <w:rFonts w:ascii="Calibri" w:hAnsi="Calibri" w:cs="Calibri"/>
                <w:color w:val="000000"/>
              </w:rPr>
              <w:t>Eu</w:t>
            </w:r>
            <w:proofErr w:type="spellEnd"/>
            <w:r>
              <w:rPr>
                <w:rFonts w:ascii="Calibri" w:hAnsi="Calibri" w:cs="Calibri"/>
                <w:color w:val="000000"/>
              </w:rPr>
              <w:t xml:space="preserve"> </w:t>
            </w:r>
            <w:proofErr w:type="spellStart"/>
            <w:r>
              <w:rPr>
                <w:rFonts w:ascii="Calibri" w:hAnsi="Calibri" w:cs="Calibri"/>
                <w:color w:val="000000"/>
              </w:rPr>
              <w:t>Wai</w:t>
            </w:r>
            <w:proofErr w:type="spellEnd"/>
            <w:r>
              <w:rPr>
                <w:rFonts w:ascii="Calibri" w:hAnsi="Calibri" w:cs="Calibri"/>
                <w:color w:val="000000"/>
              </w:rPr>
              <w:t>-Ling</w:t>
            </w:r>
          </w:p>
        </w:tc>
        <w:tc>
          <w:tcPr>
            <w:tcW w:w="4788" w:type="dxa"/>
            <w:vAlign w:val="center"/>
          </w:tcPr>
          <w:p w:rsidR="003E27C1" w:rsidRDefault="003E27C1">
            <w:pPr>
              <w:rPr>
                <w:rFonts w:ascii="Calibri" w:hAnsi="Calibri" w:cs="Calibri"/>
                <w:color w:val="000000"/>
              </w:rPr>
            </w:pPr>
            <w:r>
              <w:rPr>
                <w:rFonts w:ascii="Calibri" w:hAnsi="Calibri" w:cs="Calibri"/>
                <w:color w:val="000000"/>
              </w:rPr>
              <w:t>Deutsche Bank</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 xml:space="preserve">Christina </w:t>
            </w:r>
            <w:proofErr w:type="spellStart"/>
            <w:r>
              <w:rPr>
                <w:rFonts w:ascii="Calibri" w:hAnsi="Calibri" w:cs="Calibri"/>
                <w:color w:val="000000"/>
              </w:rPr>
              <w:t>Ang</w:t>
            </w:r>
            <w:proofErr w:type="spellEnd"/>
          </w:p>
        </w:tc>
        <w:tc>
          <w:tcPr>
            <w:tcW w:w="4788" w:type="dxa"/>
            <w:vAlign w:val="center"/>
          </w:tcPr>
          <w:p w:rsidR="003E27C1" w:rsidRDefault="003E27C1">
            <w:pPr>
              <w:rPr>
                <w:rFonts w:ascii="Calibri" w:hAnsi="Calibri" w:cs="Calibri"/>
                <w:color w:val="000000"/>
              </w:rPr>
            </w:pPr>
            <w:r>
              <w:rPr>
                <w:rFonts w:ascii="Calibri" w:hAnsi="Calibri" w:cs="Calibri"/>
                <w:color w:val="000000"/>
              </w:rPr>
              <w:t>Deutsche Bank</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 xml:space="preserve">Bridget </w:t>
            </w:r>
            <w:proofErr w:type="spellStart"/>
            <w:r>
              <w:rPr>
                <w:rFonts w:ascii="Calibri" w:hAnsi="Calibri" w:cs="Calibri"/>
                <w:color w:val="000000"/>
              </w:rPr>
              <w:t>Tien</w:t>
            </w:r>
            <w:proofErr w:type="spellEnd"/>
          </w:p>
        </w:tc>
        <w:tc>
          <w:tcPr>
            <w:tcW w:w="4788" w:type="dxa"/>
            <w:vAlign w:val="center"/>
          </w:tcPr>
          <w:p w:rsidR="003E27C1" w:rsidRDefault="003E27C1">
            <w:pPr>
              <w:rPr>
                <w:rFonts w:ascii="Calibri" w:hAnsi="Calibri" w:cs="Calibri"/>
                <w:color w:val="000000"/>
              </w:rPr>
            </w:pPr>
            <w:r>
              <w:rPr>
                <w:rFonts w:ascii="Calibri" w:hAnsi="Calibri" w:cs="Calibri"/>
                <w:color w:val="000000"/>
              </w:rPr>
              <w:t>Deutsche Bank</w:t>
            </w:r>
          </w:p>
        </w:tc>
      </w:tr>
      <w:tr w:rsidR="003E27C1" w:rsidTr="00DA562C">
        <w:tc>
          <w:tcPr>
            <w:tcW w:w="4788" w:type="dxa"/>
            <w:vAlign w:val="center"/>
          </w:tcPr>
          <w:p w:rsidR="003E27C1" w:rsidRDefault="003E27C1">
            <w:pPr>
              <w:rPr>
                <w:rFonts w:ascii="Calibri" w:hAnsi="Calibri" w:cs="Calibri"/>
                <w:color w:val="000000"/>
              </w:rPr>
            </w:pPr>
            <w:proofErr w:type="spellStart"/>
            <w:r>
              <w:rPr>
                <w:rFonts w:ascii="Calibri" w:hAnsi="Calibri" w:cs="Calibri"/>
                <w:color w:val="000000"/>
              </w:rPr>
              <w:t>Gopu</w:t>
            </w:r>
            <w:proofErr w:type="spellEnd"/>
            <w:r>
              <w:rPr>
                <w:rFonts w:ascii="Calibri" w:hAnsi="Calibri" w:cs="Calibri"/>
                <w:color w:val="000000"/>
              </w:rPr>
              <w:t xml:space="preserve"> </w:t>
            </w:r>
            <w:proofErr w:type="spellStart"/>
            <w:r>
              <w:rPr>
                <w:rFonts w:ascii="Calibri" w:hAnsi="Calibri" w:cs="Calibri"/>
                <w:color w:val="000000"/>
              </w:rPr>
              <w:t>Maniam</w:t>
            </w:r>
            <w:proofErr w:type="spellEnd"/>
          </w:p>
        </w:tc>
        <w:tc>
          <w:tcPr>
            <w:tcW w:w="4788" w:type="dxa"/>
            <w:vAlign w:val="center"/>
          </w:tcPr>
          <w:p w:rsidR="003E27C1" w:rsidRDefault="003E27C1">
            <w:pPr>
              <w:rPr>
                <w:rFonts w:ascii="Calibri" w:hAnsi="Calibri" w:cs="Calibri"/>
                <w:color w:val="000000"/>
              </w:rPr>
            </w:pPr>
            <w:r>
              <w:rPr>
                <w:rFonts w:ascii="Calibri" w:hAnsi="Calibri" w:cs="Calibri"/>
                <w:color w:val="000000"/>
              </w:rPr>
              <w:t>HSBC</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 xml:space="preserve">Ganesh M </w:t>
            </w:r>
            <w:proofErr w:type="spellStart"/>
            <w:r>
              <w:rPr>
                <w:rFonts w:ascii="Calibri" w:hAnsi="Calibri" w:cs="Calibri"/>
                <w:color w:val="000000"/>
              </w:rPr>
              <w:t>Iyer</w:t>
            </w:r>
            <w:proofErr w:type="spellEnd"/>
          </w:p>
        </w:tc>
        <w:tc>
          <w:tcPr>
            <w:tcW w:w="4788" w:type="dxa"/>
            <w:vAlign w:val="center"/>
          </w:tcPr>
          <w:p w:rsidR="003E27C1" w:rsidRDefault="003E27C1">
            <w:pPr>
              <w:rPr>
                <w:rFonts w:ascii="Calibri" w:hAnsi="Calibri" w:cs="Calibri"/>
                <w:color w:val="000000"/>
              </w:rPr>
            </w:pPr>
            <w:r>
              <w:rPr>
                <w:rFonts w:ascii="Calibri" w:hAnsi="Calibri" w:cs="Calibri"/>
                <w:color w:val="000000"/>
              </w:rPr>
              <w:t>HSBC</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Daisy Lam</w:t>
            </w:r>
          </w:p>
        </w:tc>
        <w:tc>
          <w:tcPr>
            <w:tcW w:w="4788" w:type="dxa"/>
            <w:vAlign w:val="center"/>
          </w:tcPr>
          <w:p w:rsidR="003E27C1" w:rsidRDefault="003E27C1">
            <w:pPr>
              <w:rPr>
                <w:rFonts w:ascii="Calibri" w:hAnsi="Calibri" w:cs="Calibri"/>
                <w:color w:val="000000"/>
              </w:rPr>
            </w:pPr>
            <w:r>
              <w:rPr>
                <w:rFonts w:ascii="Calibri" w:hAnsi="Calibri" w:cs="Calibri"/>
                <w:color w:val="000000"/>
              </w:rPr>
              <w:t>HSBC</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Tony W Lewis</w:t>
            </w:r>
          </w:p>
        </w:tc>
        <w:tc>
          <w:tcPr>
            <w:tcW w:w="4788" w:type="dxa"/>
            <w:vAlign w:val="center"/>
          </w:tcPr>
          <w:p w:rsidR="003E27C1" w:rsidRDefault="003E27C1">
            <w:pPr>
              <w:rPr>
                <w:rFonts w:ascii="Calibri" w:hAnsi="Calibri" w:cs="Calibri"/>
                <w:color w:val="000000"/>
              </w:rPr>
            </w:pPr>
            <w:r>
              <w:rPr>
                <w:rFonts w:ascii="Calibri" w:hAnsi="Calibri" w:cs="Calibri"/>
                <w:color w:val="000000"/>
              </w:rPr>
              <w:t>HSBC</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 xml:space="preserve">Janice </w:t>
            </w:r>
            <w:proofErr w:type="spellStart"/>
            <w:r>
              <w:rPr>
                <w:rFonts w:ascii="Calibri" w:hAnsi="Calibri" w:cs="Calibri"/>
                <w:color w:val="000000"/>
              </w:rPr>
              <w:t>Ow</w:t>
            </w:r>
            <w:proofErr w:type="spellEnd"/>
          </w:p>
        </w:tc>
        <w:tc>
          <w:tcPr>
            <w:tcW w:w="4788" w:type="dxa"/>
            <w:vAlign w:val="center"/>
          </w:tcPr>
          <w:p w:rsidR="003E27C1" w:rsidRDefault="003E27C1">
            <w:pPr>
              <w:rPr>
                <w:rFonts w:ascii="Calibri" w:hAnsi="Calibri" w:cs="Calibri"/>
                <w:color w:val="000000"/>
              </w:rPr>
            </w:pPr>
            <w:r>
              <w:rPr>
                <w:rFonts w:ascii="Calibri" w:hAnsi="Calibri" w:cs="Calibri"/>
                <w:color w:val="000000"/>
              </w:rPr>
              <w:t>OCBC Bank</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 xml:space="preserve">Anthony </w:t>
            </w:r>
            <w:proofErr w:type="spellStart"/>
            <w:r>
              <w:rPr>
                <w:rFonts w:ascii="Calibri" w:hAnsi="Calibri" w:cs="Calibri"/>
                <w:color w:val="000000"/>
              </w:rPr>
              <w:t>Sim</w:t>
            </w:r>
            <w:proofErr w:type="spellEnd"/>
          </w:p>
        </w:tc>
        <w:tc>
          <w:tcPr>
            <w:tcW w:w="4788" w:type="dxa"/>
            <w:vAlign w:val="center"/>
          </w:tcPr>
          <w:p w:rsidR="003E27C1" w:rsidRDefault="003E27C1">
            <w:pPr>
              <w:rPr>
                <w:rFonts w:ascii="Calibri" w:hAnsi="Calibri" w:cs="Calibri"/>
                <w:color w:val="000000"/>
              </w:rPr>
            </w:pPr>
            <w:r>
              <w:rPr>
                <w:rFonts w:ascii="Calibri" w:hAnsi="Calibri" w:cs="Calibri"/>
                <w:color w:val="000000"/>
              </w:rPr>
              <w:t>Standard Chartered Bank</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 xml:space="preserve">Lim </w:t>
            </w:r>
            <w:proofErr w:type="spellStart"/>
            <w:r>
              <w:rPr>
                <w:rFonts w:ascii="Calibri" w:hAnsi="Calibri" w:cs="Calibri"/>
                <w:color w:val="000000"/>
              </w:rPr>
              <w:t>Ek</w:t>
            </w:r>
            <w:proofErr w:type="spellEnd"/>
            <w:r>
              <w:rPr>
                <w:rFonts w:ascii="Calibri" w:hAnsi="Calibri" w:cs="Calibri"/>
                <w:color w:val="000000"/>
              </w:rPr>
              <w:t xml:space="preserve"> Young</w:t>
            </w:r>
          </w:p>
        </w:tc>
        <w:tc>
          <w:tcPr>
            <w:tcW w:w="4788" w:type="dxa"/>
            <w:vAlign w:val="center"/>
          </w:tcPr>
          <w:p w:rsidR="003E27C1" w:rsidRDefault="003E27C1">
            <w:pPr>
              <w:rPr>
                <w:rFonts w:ascii="Calibri" w:hAnsi="Calibri" w:cs="Calibri"/>
                <w:color w:val="000000"/>
              </w:rPr>
            </w:pPr>
            <w:r>
              <w:rPr>
                <w:rFonts w:ascii="Calibri" w:hAnsi="Calibri" w:cs="Calibri"/>
                <w:color w:val="000000"/>
              </w:rPr>
              <w:t>Standard Chartered Bank</w:t>
            </w:r>
          </w:p>
        </w:tc>
      </w:tr>
      <w:tr w:rsidR="003E27C1" w:rsidTr="00DA562C">
        <w:tc>
          <w:tcPr>
            <w:tcW w:w="4788" w:type="dxa"/>
            <w:vAlign w:val="center"/>
          </w:tcPr>
          <w:p w:rsidR="003E27C1" w:rsidRDefault="003E27C1">
            <w:pPr>
              <w:rPr>
                <w:rFonts w:ascii="Calibri" w:hAnsi="Calibri" w:cs="Calibri"/>
                <w:color w:val="000000"/>
              </w:rPr>
            </w:pPr>
            <w:r>
              <w:rPr>
                <w:rFonts w:ascii="Calibri" w:hAnsi="Calibri" w:cs="Calibri"/>
                <w:color w:val="000000"/>
              </w:rPr>
              <w:t>Cindy Foo</w:t>
            </w:r>
          </w:p>
        </w:tc>
        <w:tc>
          <w:tcPr>
            <w:tcW w:w="4788" w:type="dxa"/>
            <w:vAlign w:val="center"/>
          </w:tcPr>
          <w:p w:rsidR="003E27C1" w:rsidRDefault="003E27C1">
            <w:pPr>
              <w:rPr>
                <w:rFonts w:ascii="Calibri" w:hAnsi="Calibri" w:cs="Calibri"/>
                <w:color w:val="000000"/>
              </w:rPr>
            </w:pPr>
            <w:r>
              <w:rPr>
                <w:rFonts w:ascii="Calibri" w:hAnsi="Calibri" w:cs="Calibri"/>
                <w:color w:val="000000"/>
              </w:rPr>
              <w:t>SWIFT</w:t>
            </w:r>
          </w:p>
        </w:tc>
      </w:tr>
    </w:tbl>
    <w:p w:rsidR="003009D4" w:rsidRPr="00FD48A8" w:rsidRDefault="003009D4">
      <w:pPr>
        <w:rPr>
          <w:b/>
        </w:rPr>
      </w:pPr>
    </w:p>
    <w:p w:rsidR="00FD48A8" w:rsidRDefault="00FD48A8"/>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p w:rsidR="00862D0C" w:rsidRDefault="00862D0C" w:rsidP="00862D0C">
      <w:pPr>
        <w:pStyle w:val="BodyText"/>
      </w:pPr>
    </w:p>
    <w:tbl>
      <w:tblPr>
        <w:tblStyle w:val="TableGrid"/>
        <w:tblW w:w="10080" w:type="dxa"/>
        <w:tblInd w:w="108" w:type="dxa"/>
        <w:tblLook w:val="04A0" w:firstRow="1" w:lastRow="0" w:firstColumn="1" w:lastColumn="0" w:noHBand="0" w:noVBand="1"/>
      </w:tblPr>
      <w:tblGrid>
        <w:gridCol w:w="10080"/>
      </w:tblGrid>
      <w:tr w:rsidR="00862D0C" w:rsidTr="00862D0C">
        <w:tc>
          <w:tcPr>
            <w:tcW w:w="10080" w:type="dxa"/>
            <w:tcBorders>
              <w:top w:val="single" w:sz="4" w:space="0" w:color="auto"/>
              <w:left w:val="single" w:sz="4" w:space="0" w:color="auto"/>
              <w:bottom w:val="single" w:sz="4" w:space="0" w:color="auto"/>
              <w:right w:val="single" w:sz="4" w:space="0" w:color="auto"/>
            </w:tcBorders>
            <w:hideMark/>
          </w:tcPr>
          <w:p w:rsidR="00862D0C" w:rsidRDefault="00862D0C">
            <w:pPr>
              <w:pStyle w:val="BodyText"/>
              <w:rPr>
                <w:b/>
              </w:rPr>
            </w:pPr>
            <w:r>
              <w:rPr>
                <w:b/>
              </w:rPr>
              <w:t>AGENDA</w:t>
            </w:r>
          </w:p>
        </w:tc>
      </w:tr>
      <w:tr w:rsidR="00862D0C" w:rsidRPr="001A61A3" w:rsidTr="00862D0C">
        <w:tc>
          <w:tcPr>
            <w:tcW w:w="10080" w:type="dxa"/>
            <w:tcBorders>
              <w:top w:val="single" w:sz="4" w:space="0" w:color="auto"/>
              <w:left w:val="single" w:sz="4" w:space="0" w:color="auto"/>
              <w:bottom w:val="single" w:sz="4" w:space="0" w:color="auto"/>
              <w:right w:val="single" w:sz="4" w:space="0" w:color="auto"/>
            </w:tcBorders>
          </w:tcPr>
          <w:p w:rsidR="00E06101" w:rsidRPr="00CE4516" w:rsidRDefault="00E06101" w:rsidP="00E06101">
            <w:pPr>
              <w:pStyle w:val="ListParagraph"/>
              <w:numPr>
                <w:ilvl w:val="0"/>
                <w:numId w:val="16"/>
              </w:numPr>
              <w:autoSpaceDE w:val="0"/>
              <w:autoSpaceDN w:val="0"/>
              <w:adjustRightInd w:val="0"/>
              <w:spacing w:before="280" w:after="280"/>
              <w:rPr>
                <w:rFonts w:ascii="Times New Roman" w:hAnsi="Times New Roman" w:cs="Times New Roman"/>
                <w:sz w:val="22"/>
                <w:szCs w:val="22"/>
              </w:rPr>
            </w:pPr>
            <w:r w:rsidRPr="00CE4516">
              <w:rPr>
                <w:rFonts w:ascii="Calibri" w:hAnsi="Calibri" w:cs="Calibri"/>
                <w:sz w:val="22"/>
                <w:szCs w:val="22"/>
              </w:rPr>
              <w:t xml:space="preserve">Updates from the three sub-committees (including updates from combined meeting of SMPG Transactional Sub-Committee &amp; </w:t>
            </w:r>
            <w:r w:rsidR="009002A6">
              <w:rPr>
                <w:rFonts w:ascii="Calibri" w:hAnsi="Calibri" w:cs="Calibri"/>
                <w:sz w:val="22"/>
                <w:szCs w:val="22"/>
              </w:rPr>
              <w:t>APAC</w:t>
            </w:r>
            <w:r w:rsidRPr="00CE4516">
              <w:rPr>
                <w:rFonts w:ascii="Calibri" w:hAnsi="Calibri" w:cs="Calibri"/>
                <w:sz w:val="22"/>
                <w:szCs w:val="22"/>
              </w:rPr>
              <w:t xml:space="preserve"> CA WG)</w:t>
            </w:r>
          </w:p>
          <w:p w:rsidR="00E06101" w:rsidRPr="00CE4516" w:rsidRDefault="00E06101" w:rsidP="00E06101">
            <w:pPr>
              <w:pStyle w:val="ListParagraph"/>
              <w:numPr>
                <w:ilvl w:val="0"/>
                <w:numId w:val="16"/>
              </w:numPr>
              <w:autoSpaceDE w:val="0"/>
              <w:autoSpaceDN w:val="0"/>
              <w:adjustRightInd w:val="0"/>
              <w:spacing w:before="280" w:after="280"/>
              <w:rPr>
                <w:rFonts w:ascii="Times New Roman" w:hAnsi="Times New Roman" w:cs="Times New Roman"/>
                <w:sz w:val="22"/>
                <w:szCs w:val="22"/>
              </w:rPr>
            </w:pPr>
            <w:r w:rsidRPr="00CE4516">
              <w:rPr>
                <w:rFonts w:ascii="Calibri" w:hAnsi="Calibri" w:cs="Calibri"/>
                <w:sz w:val="22"/>
                <w:szCs w:val="22"/>
              </w:rPr>
              <w:t>Priorities for SG NMPG/APAC NMPG to focus on for 2013</w:t>
            </w:r>
          </w:p>
          <w:p w:rsidR="00E06101" w:rsidRPr="00CE4516" w:rsidRDefault="00E06101" w:rsidP="00E06101">
            <w:pPr>
              <w:pStyle w:val="ListParagraph"/>
              <w:numPr>
                <w:ilvl w:val="0"/>
                <w:numId w:val="16"/>
              </w:numPr>
              <w:autoSpaceDE w:val="0"/>
              <w:autoSpaceDN w:val="0"/>
              <w:adjustRightInd w:val="0"/>
              <w:spacing w:before="280" w:after="280"/>
              <w:rPr>
                <w:rFonts w:ascii="Times New Roman" w:hAnsi="Times New Roman" w:cs="Times New Roman"/>
                <w:sz w:val="22"/>
                <w:szCs w:val="22"/>
              </w:rPr>
            </w:pPr>
            <w:r w:rsidRPr="00CE4516">
              <w:rPr>
                <w:rFonts w:ascii="Calibri" w:hAnsi="Calibri" w:cs="Calibri"/>
                <w:sz w:val="22"/>
                <w:szCs w:val="22"/>
              </w:rPr>
              <w:t>Nomination of names for formation of a group within the NMPG forum to look at market practices</w:t>
            </w:r>
          </w:p>
          <w:p w:rsidR="00E06101" w:rsidRPr="00CE4516" w:rsidRDefault="00E06101" w:rsidP="00E06101">
            <w:pPr>
              <w:pStyle w:val="ListParagraph"/>
              <w:numPr>
                <w:ilvl w:val="0"/>
                <w:numId w:val="16"/>
              </w:numPr>
              <w:autoSpaceDE w:val="0"/>
              <w:autoSpaceDN w:val="0"/>
              <w:adjustRightInd w:val="0"/>
              <w:spacing w:before="280" w:after="280"/>
              <w:rPr>
                <w:rFonts w:ascii="Times New Roman" w:hAnsi="Times New Roman" w:cs="Times New Roman"/>
                <w:sz w:val="22"/>
                <w:szCs w:val="22"/>
              </w:rPr>
            </w:pPr>
            <w:r w:rsidRPr="00CE4516">
              <w:rPr>
                <w:rFonts w:ascii="Calibri" w:hAnsi="Calibri" w:cs="Calibri"/>
                <w:sz w:val="22"/>
                <w:szCs w:val="22"/>
              </w:rPr>
              <w:t>Updates on Global SMPG</w:t>
            </w:r>
          </w:p>
          <w:p w:rsidR="00E06101" w:rsidRPr="00CE4516" w:rsidRDefault="00E06101" w:rsidP="00E06101">
            <w:pPr>
              <w:pStyle w:val="ListParagraph"/>
              <w:numPr>
                <w:ilvl w:val="0"/>
                <w:numId w:val="16"/>
              </w:numPr>
              <w:autoSpaceDE w:val="0"/>
              <w:autoSpaceDN w:val="0"/>
              <w:adjustRightInd w:val="0"/>
              <w:spacing w:before="280" w:after="280"/>
              <w:rPr>
                <w:rFonts w:ascii="Times New Roman" w:hAnsi="Times New Roman" w:cs="Times New Roman"/>
                <w:sz w:val="22"/>
                <w:szCs w:val="22"/>
              </w:rPr>
            </w:pPr>
            <w:r w:rsidRPr="00CE4516">
              <w:rPr>
                <w:rFonts w:ascii="Calibri" w:hAnsi="Calibri" w:cs="Calibri"/>
                <w:sz w:val="22"/>
                <w:szCs w:val="22"/>
              </w:rPr>
              <w:t>Review of sample past SGX broadcasts where communication can be improved/ SGX to share more information on exchange BCP plans where permissible</w:t>
            </w:r>
          </w:p>
          <w:p w:rsidR="00E06101" w:rsidRPr="00CE4516" w:rsidRDefault="00E06101" w:rsidP="00E06101">
            <w:pPr>
              <w:pStyle w:val="ListParagraph"/>
              <w:numPr>
                <w:ilvl w:val="0"/>
                <w:numId w:val="16"/>
              </w:numPr>
              <w:autoSpaceDE w:val="0"/>
              <w:autoSpaceDN w:val="0"/>
              <w:adjustRightInd w:val="0"/>
              <w:spacing w:before="280" w:after="280"/>
              <w:rPr>
                <w:rFonts w:ascii="Times New Roman" w:hAnsi="Times New Roman" w:cs="Times New Roman"/>
                <w:sz w:val="22"/>
                <w:szCs w:val="22"/>
              </w:rPr>
            </w:pPr>
            <w:r w:rsidRPr="00CE4516">
              <w:rPr>
                <w:rFonts w:ascii="Calibri" w:hAnsi="Calibri" w:cs="Calibri"/>
                <w:sz w:val="22"/>
                <w:szCs w:val="22"/>
              </w:rPr>
              <w:t>Feedback and finalize SG NMPG Terms of Reference</w:t>
            </w:r>
          </w:p>
          <w:p w:rsidR="00E06101" w:rsidRPr="00CE4516" w:rsidRDefault="00E06101" w:rsidP="00E06101">
            <w:pPr>
              <w:pStyle w:val="ListParagraph"/>
              <w:numPr>
                <w:ilvl w:val="0"/>
                <w:numId w:val="16"/>
              </w:numPr>
              <w:autoSpaceDE w:val="0"/>
              <w:autoSpaceDN w:val="0"/>
              <w:adjustRightInd w:val="0"/>
              <w:spacing w:before="280" w:after="280"/>
              <w:rPr>
                <w:rFonts w:ascii="Times New Roman" w:hAnsi="Times New Roman" w:cs="Times New Roman"/>
                <w:sz w:val="22"/>
                <w:szCs w:val="22"/>
              </w:rPr>
            </w:pPr>
            <w:r w:rsidRPr="00CE4516">
              <w:rPr>
                <w:rFonts w:ascii="Calibri" w:hAnsi="Calibri" w:cs="Calibri"/>
                <w:sz w:val="22"/>
                <w:szCs w:val="22"/>
              </w:rPr>
              <w:t>Nomination for SG NMPG Vice Chair role</w:t>
            </w:r>
          </w:p>
          <w:p w:rsidR="00E06101" w:rsidRPr="00CE4516" w:rsidRDefault="00E06101" w:rsidP="00E06101">
            <w:pPr>
              <w:pStyle w:val="ListParagraph"/>
              <w:numPr>
                <w:ilvl w:val="0"/>
                <w:numId w:val="16"/>
              </w:numPr>
              <w:autoSpaceDE w:val="0"/>
              <w:autoSpaceDN w:val="0"/>
              <w:adjustRightInd w:val="0"/>
              <w:spacing w:before="280" w:after="280"/>
              <w:rPr>
                <w:rFonts w:ascii="Times New Roman" w:hAnsi="Times New Roman" w:cs="Times New Roman"/>
                <w:sz w:val="22"/>
                <w:szCs w:val="22"/>
                <w:lang w:val="de-DE"/>
              </w:rPr>
            </w:pPr>
            <w:r w:rsidRPr="00CE4516">
              <w:rPr>
                <w:rFonts w:ascii="Calibri" w:hAnsi="Calibri" w:cs="Calibri"/>
                <w:sz w:val="22"/>
                <w:szCs w:val="22"/>
                <w:lang w:val="de-DE"/>
              </w:rPr>
              <w:t>Updates from Jamie Allen (ACGA)</w:t>
            </w:r>
          </w:p>
          <w:p w:rsidR="00862D0C" w:rsidRPr="00E06101" w:rsidRDefault="00862D0C" w:rsidP="00E06101">
            <w:pPr>
              <w:pStyle w:val="ListParagraph"/>
              <w:rPr>
                <w:lang w:val="de-DE"/>
              </w:rPr>
            </w:pPr>
          </w:p>
        </w:tc>
      </w:tr>
    </w:tbl>
    <w:p w:rsidR="00862D0C" w:rsidRPr="00E06101" w:rsidRDefault="00862D0C">
      <w:pPr>
        <w:rPr>
          <w:lang w:val="de-DE"/>
        </w:rPr>
      </w:pPr>
    </w:p>
    <w:tbl>
      <w:tblPr>
        <w:tblStyle w:val="TableGrid"/>
        <w:tblW w:w="10080" w:type="dxa"/>
        <w:tblInd w:w="108" w:type="dxa"/>
        <w:tblLook w:val="04A0" w:firstRow="1" w:lastRow="0" w:firstColumn="1" w:lastColumn="0" w:noHBand="0" w:noVBand="1"/>
      </w:tblPr>
      <w:tblGrid>
        <w:gridCol w:w="10080"/>
      </w:tblGrid>
      <w:tr w:rsidR="00862D0C" w:rsidTr="00862D0C">
        <w:tc>
          <w:tcPr>
            <w:tcW w:w="10080" w:type="dxa"/>
            <w:tcBorders>
              <w:top w:val="single" w:sz="4" w:space="0" w:color="auto"/>
              <w:left w:val="single" w:sz="4" w:space="0" w:color="auto"/>
              <w:bottom w:val="single" w:sz="4" w:space="0" w:color="auto"/>
              <w:right w:val="single" w:sz="4" w:space="0" w:color="auto"/>
            </w:tcBorders>
            <w:hideMark/>
          </w:tcPr>
          <w:p w:rsidR="00862D0C" w:rsidRDefault="0030039C" w:rsidP="00862D0C">
            <w:pPr>
              <w:pStyle w:val="BodyText"/>
              <w:rPr>
                <w:b/>
              </w:rPr>
            </w:pPr>
            <w:r>
              <w:rPr>
                <w:b/>
              </w:rPr>
              <w:t>MINUTES</w:t>
            </w:r>
          </w:p>
        </w:tc>
      </w:tr>
      <w:tr w:rsidR="00862D0C" w:rsidTr="00862D0C">
        <w:tc>
          <w:tcPr>
            <w:tcW w:w="10080" w:type="dxa"/>
            <w:tcBorders>
              <w:top w:val="single" w:sz="4" w:space="0" w:color="auto"/>
              <w:left w:val="single" w:sz="4" w:space="0" w:color="auto"/>
              <w:bottom w:val="single" w:sz="4" w:space="0" w:color="auto"/>
              <w:right w:val="single" w:sz="4" w:space="0" w:color="auto"/>
            </w:tcBorders>
          </w:tcPr>
          <w:p w:rsidR="00BA6E50" w:rsidRPr="00CE4516" w:rsidRDefault="00BA6E50" w:rsidP="00BA6E50">
            <w:pPr>
              <w:pStyle w:val="BodyText"/>
              <w:rPr>
                <w:rFonts w:ascii="Calibri" w:hAnsi="Calibri" w:cs="Calibri"/>
                <w:u w:val="single"/>
              </w:rPr>
            </w:pPr>
            <w:r w:rsidRPr="00CE4516">
              <w:rPr>
                <w:rFonts w:ascii="Calibri" w:hAnsi="Calibri" w:cs="Calibri"/>
                <w:u w:val="single"/>
              </w:rPr>
              <w:t>Introduction</w:t>
            </w:r>
          </w:p>
          <w:p w:rsidR="00BA6E50" w:rsidRPr="00CE4516" w:rsidRDefault="00BA6E50" w:rsidP="00BA6E50">
            <w:pPr>
              <w:pStyle w:val="BodyText"/>
              <w:jc w:val="both"/>
              <w:rPr>
                <w:u w:val="single"/>
              </w:rPr>
            </w:pPr>
            <w:r w:rsidRPr="00CE4516">
              <w:rPr>
                <w:rFonts w:ascii="Calibri" w:hAnsi="Calibri" w:cs="Calibri"/>
              </w:rPr>
              <w:t xml:space="preserve">Rebecca and Jackie from ASIFMA </w:t>
            </w:r>
            <w:r w:rsidR="00C52BD5">
              <w:rPr>
                <w:rFonts w:ascii="Calibri" w:hAnsi="Calibri" w:cs="Calibri"/>
              </w:rPr>
              <w:t xml:space="preserve">joined </w:t>
            </w:r>
            <w:r w:rsidRPr="00CE4516">
              <w:rPr>
                <w:rFonts w:ascii="Calibri" w:hAnsi="Calibri" w:cs="Calibri"/>
              </w:rPr>
              <w:t xml:space="preserve">in the meeting via conference call. ASIFMA is working on an initiative on clearing and settlement fees and would like to explore if there are any opportunities where ASIFMA can work together with the Singapore community on common objectives and to achieve common goals. Rebecca added that SG NMPG (the “Group”) can approach ASIFMA if the Group requires more information or industry support. </w:t>
            </w:r>
          </w:p>
          <w:p w:rsidR="00BA6E50" w:rsidRDefault="00BA6E50" w:rsidP="00825B85">
            <w:pPr>
              <w:pStyle w:val="BodyText"/>
              <w:rPr>
                <w:u w:val="single"/>
              </w:rPr>
            </w:pPr>
          </w:p>
          <w:p w:rsidR="00E06101" w:rsidRDefault="00825B85" w:rsidP="00825B85">
            <w:pPr>
              <w:pStyle w:val="BodyText"/>
              <w:rPr>
                <w:rFonts w:ascii="Calibri" w:hAnsi="Calibri" w:cs="Calibri"/>
                <w:sz w:val="24"/>
                <w:szCs w:val="24"/>
                <w:u w:val="single"/>
              </w:rPr>
            </w:pPr>
            <w:r>
              <w:rPr>
                <w:u w:val="single"/>
              </w:rPr>
              <w:t>1) Update</w:t>
            </w:r>
            <w:r w:rsidR="00E06101">
              <w:rPr>
                <w:u w:val="single"/>
              </w:rPr>
              <w:t xml:space="preserve">s from the three </w:t>
            </w:r>
            <w:r w:rsidRPr="00825B85">
              <w:rPr>
                <w:rFonts w:ascii="Calibri" w:hAnsi="Calibri" w:cs="Calibri"/>
                <w:sz w:val="24"/>
                <w:szCs w:val="24"/>
                <w:u w:val="single"/>
              </w:rPr>
              <w:t>sub</w:t>
            </w:r>
            <w:r w:rsidR="00E06101">
              <w:rPr>
                <w:rFonts w:ascii="Calibri" w:hAnsi="Calibri" w:cs="Calibri"/>
                <w:sz w:val="24"/>
                <w:szCs w:val="24"/>
                <w:u w:val="single"/>
              </w:rPr>
              <w:t>-</w:t>
            </w:r>
            <w:r w:rsidRPr="00825B85">
              <w:rPr>
                <w:rFonts w:ascii="Calibri" w:hAnsi="Calibri" w:cs="Calibri"/>
                <w:sz w:val="24"/>
                <w:szCs w:val="24"/>
                <w:u w:val="single"/>
              </w:rPr>
              <w:t>committees</w:t>
            </w:r>
          </w:p>
          <w:p w:rsidR="00BA6E50" w:rsidRDefault="00E06101" w:rsidP="00825B85">
            <w:pPr>
              <w:pStyle w:val="BodyText"/>
              <w:rPr>
                <w:u w:val="single"/>
              </w:rPr>
            </w:pPr>
            <w:r>
              <w:rPr>
                <w:u w:val="single"/>
              </w:rPr>
              <w:t>Transactional Sub-Committee</w:t>
            </w:r>
          </w:p>
          <w:p w:rsidR="00BA6E50" w:rsidRDefault="00BA6E50" w:rsidP="00C17FB4">
            <w:pPr>
              <w:pStyle w:val="BodyText"/>
              <w:jc w:val="both"/>
            </w:pPr>
            <w:r>
              <w:t xml:space="preserve">The focus of the Transactional Sub-Committee for the month of March and April had been on the CA WG. </w:t>
            </w:r>
            <w:r w:rsidR="00BA2AA3">
              <w:t>The SG CA WG met twice on 19 March and 3 May and ha</w:t>
            </w:r>
            <w:r w:rsidR="005F00B3">
              <w:t>d</w:t>
            </w:r>
            <w:r w:rsidR="00BA2AA3">
              <w:t xml:space="preserve"> completed the </w:t>
            </w:r>
            <w:r w:rsidR="005F00B3">
              <w:t>survey form from the APAC CA WG. In addition, the WG decided on the priority items specific to the SG market for discussions.</w:t>
            </w:r>
          </w:p>
          <w:p w:rsidR="00BA2AA3" w:rsidRDefault="00BA2AA3" w:rsidP="00C17FB4">
            <w:pPr>
              <w:pStyle w:val="BodyText"/>
              <w:jc w:val="both"/>
            </w:pPr>
            <w:r>
              <w:t>Priorities for the SG market are as follow:</w:t>
            </w:r>
          </w:p>
          <w:p w:rsidR="00BA2AA3" w:rsidRDefault="005F00B3" w:rsidP="00C17FB4">
            <w:pPr>
              <w:pStyle w:val="BodyText"/>
              <w:numPr>
                <w:ilvl w:val="0"/>
                <w:numId w:val="18"/>
              </w:numPr>
              <w:jc w:val="both"/>
            </w:pPr>
            <w:r>
              <w:t>Standardization of the automated announcement process</w:t>
            </w:r>
          </w:p>
          <w:p w:rsidR="005F00B3" w:rsidRDefault="005F00B3" w:rsidP="00C17FB4">
            <w:pPr>
              <w:pStyle w:val="BodyText"/>
              <w:numPr>
                <w:ilvl w:val="0"/>
                <w:numId w:val="18"/>
              </w:numPr>
              <w:jc w:val="both"/>
            </w:pPr>
            <w:r>
              <w:t xml:space="preserve">Increase compliance with CA </w:t>
            </w:r>
            <w:r w:rsidR="00EF176D">
              <w:t>market practice (</w:t>
            </w:r>
            <w:r>
              <w:t>MP</w:t>
            </w:r>
            <w:r w:rsidR="00EF176D">
              <w:t>)</w:t>
            </w:r>
            <w:r>
              <w:t xml:space="preserve"> and work with infrastructure to move from proprietary to ISO standards</w:t>
            </w:r>
          </w:p>
          <w:p w:rsidR="00CB4E60" w:rsidRDefault="0071749D" w:rsidP="00C17FB4">
            <w:pPr>
              <w:pStyle w:val="BodyText"/>
              <w:jc w:val="both"/>
            </w:pPr>
            <w:bookmarkStart w:id="0" w:name="_GoBack"/>
            <w:bookmarkEnd w:id="0"/>
            <w:r>
              <w:t>On the MP front, the SG CA WG met with four representatives from SGX where misunderstandings by SGX on several topics were being cleared up. These topics included Share Purchase</w:t>
            </w:r>
            <w:r w:rsidR="001116C6">
              <w:t xml:space="preserve"> and</w:t>
            </w:r>
            <w:r>
              <w:t xml:space="preserve"> Intraday Batching</w:t>
            </w:r>
            <w:r w:rsidR="001116C6">
              <w:t>. Tender Offer was also discussed where the WG explained to SGX that with regards to the T+3 deadline, the buyer of the offer may not be able to participate. In addition, the WG clarified that the PMSM constraint was a result of a system problem. SGX will look into these issues and revert. The WG will continue the engagement with SGX and follow up on the discussions.</w:t>
            </w:r>
          </w:p>
          <w:p w:rsidR="00E3311A" w:rsidRDefault="00CB4E60" w:rsidP="00C17FB4">
            <w:pPr>
              <w:pStyle w:val="BodyText"/>
              <w:jc w:val="both"/>
            </w:pPr>
            <w:r>
              <w:t xml:space="preserve">Anthony highlighted an issue pertaining to CA transformation where currently, the information issued by </w:t>
            </w:r>
            <w:r>
              <w:lastRenderedPageBreak/>
              <w:t>companies on their prospectus may not be the same as what is available electronically. This leads to wastage of time and a lack of STP. A suggestion was put forth by Anthony for the Group to check internally</w:t>
            </w:r>
            <w:r w:rsidR="00E3311A">
              <w:t xml:space="preserve"> within their organisations </w:t>
            </w:r>
            <w:r w:rsidR="00E3311A" w:rsidRPr="0048251A">
              <w:t xml:space="preserve">to find out which of them are prepared to work with SGX on the formatting of the information. </w:t>
            </w:r>
            <w:r w:rsidR="00703E3D" w:rsidRPr="0048251A">
              <w:t xml:space="preserve">Ideally, there should be 2 – 3 organisations as representatives. </w:t>
            </w:r>
            <w:r w:rsidR="00E3311A" w:rsidRPr="0048251A">
              <w:t>These parties will not be representing their individual organisations but as an industry group instead. All the participants will go back to check with their organisatio</w:t>
            </w:r>
            <w:r w:rsidR="00287A8F" w:rsidRPr="0048251A">
              <w:t>ns and revert on their interest.</w:t>
            </w:r>
            <w:r w:rsidR="00E3311A">
              <w:t xml:space="preserve"> </w:t>
            </w:r>
          </w:p>
          <w:p w:rsidR="009F36A4" w:rsidRDefault="009F36A4" w:rsidP="00C17FB4">
            <w:pPr>
              <w:pStyle w:val="BodyText"/>
              <w:jc w:val="both"/>
            </w:pPr>
            <w:r>
              <w:t>Daisy shared another topic which was discussed with SGX – the electronic submission of tax declaration at the issuer level. SGX will check with their operations staff and advise the CA WG.</w:t>
            </w:r>
            <w:r w:rsidR="00C57BEB">
              <w:t xml:space="preserve"> Similarly, SGX will engage the CA WG on the development of the subscribing service. </w:t>
            </w:r>
            <w:r>
              <w:t xml:space="preserve">  </w:t>
            </w:r>
          </w:p>
          <w:p w:rsidR="00973904" w:rsidRDefault="00973904" w:rsidP="005E1148">
            <w:pPr>
              <w:pStyle w:val="BodyText"/>
            </w:pPr>
          </w:p>
          <w:p w:rsidR="00973904" w:rsidRDefault="00973904" w:rsidP="00973904">
            <w:pPr>
              <w:pStyle w:val="BodyText"/>
              <w:rPr>
                <w:u w:val="single"/>
              </w:rPr>
            </w:pPr>
            <w:r>
              <w:rPr>
                <w:u w:val="single"/>
              </w:rPr>
              <w:t>Communication Sub-Committee</w:t>
            </w:r>
          </w:p>
          <w:p w:rsidR="00973904" w:rsidRDefault="00244040" w:rsidP="00C17FB4">
            <w:pPr>
              <w:pStyle w:val="BodyText"/>
              <w:jc w:val="both"/>
            </w:pPr>
            <w:r>
              <w:t>There was no update as the Communication Sub-Committee members did not have the time to meet up yet.</w:t>
            </w:r>
          </w:p>
          <w:p w:rsidR="00244040" w:rsidRPr="0048251A" w:rsidRDefault="00244040" w:rsidP="00C17FB4">
            <w:pPr>
              <w:pStyle w:val="BodyText"/>
              <w:jc w:val="both"/>
            </w:pPr>
            <w:r>
              <w:t xml:space="preserve">Anthony shared that SGX </w:t>
            </w:r>
            <w:r w:rsidR="00DB7B05">
              <w:t xml:space="preserve">is to provide the distribution list of all the DAs as a communication tool for the Group when broadcasting information. </w:t>
            </w:r>
            <w:r w:rsidR="00DB7B05" w:rsidRPr="0048251A">
              <w:t>There is also a need for the Group to obtai</w:t>
            </w:r>
            <w:r w:rsidR="000653D8" w:rsidRPr="0048251A">
              <w:t xml:space="preserve">n the registrars list. </w:t>
            </w:r>
          </w:p>
          <w:p w:rsidR="00EC7E01" w:rsidRDefault="00EC7E01" w:rsidP="00C17FB4">
            <w:pPr>
              <w:pStyle w:val="BodyText"/>
              <w:jc w:val="both"/>
            </w:pPr>
            <w:r w:rsidRPr="0048251A">
              <w:t xml:space="preserve">This sub-committee will provide their updates to the Group by writing before the next </w:t>
            </w:r>
            <w:r w:rsidR="003B7CB6" w:rsidRPr="0048251A">
              <w:t>SG NMPG</w:t>
            </w:r>
            <w:r w:rsidR="00C17FB4" w:rsidRPr="0048251A">
              <w:t xml:space="preserve"> </w:t>
            </w:r>
            <w:r w:rsidRPr="0048251A">
              <w:t>meeting.</w:t>
            </w:r>
          </w:p>
          <w:p w:rsidR="000653D8" w:rsidRDefault="000653D8" w:rsidP="005E1148">
            <w:pPr>
              <w:pStyle w:val="BodyText"/>
            </w:pPr>
          </w:p>
          <w:p w:rsidR="000653D8" w:rsidRDefault="000653D8" w:rsidP="000653D8">
            <w:pPr>
              <w:pStyle w:val="BodyText"/>
              <w:rPr>
                <w:u w:val="single"/>
              </w:rPr>
            </w:pPr>
            <w:r>
              <w:rPr>
                <w:u w:val="single"/>
              </w:rPr>
              <w:t>Advocacy Sub-Committee</w:t>
            </w:r>
          </w:p>
          <w:p w:rsidR="000A2003" w:rsidRDefault="000A2003" w:rsidP="000475F4">
            <w:pPr>
              <w:pStyle w:val="BodyText"/>
              <w:jc w:val="both"/>
            </w:pPr>
            <w:r>
              <w:t xml:space="preserve">As Conrad has moved to Australia, Mabel will take over the role as the Co-Chair for this sub-committee. </w:t>
            </w:r>
          </w:p>
          <w:p w:rsidR="000A2003" w:rsidRDefault="00D97C13" w:rsidP="000475F4">
            <w:pPr>
              <w:pStyle w:val="BodyText"/>
              <w:jc w:val="both"/>
            </w:pPr>
            <w:r w:rsidRPr="00491736">
              <w:t xml:space="preserve">This sub-committee has been involved in the discussion on CSD fees for various markets </w:t>
            </w:r>
            <w:r w:rsidR="009829ED" w:rsidRPr="00491736">
              <w:t>(</w:t>
            </w:r>
            <w:proofErr w:type="spellStart"/>
            <w:r w:rsidR="009829ED" w:rsidRPr="00491736">
              <w:t>eg</w:t>
            </w:r>
            <w:proofErr w:type="spellEnd"/>
            <w:r w:rsidR="009829ED" w:rsidRPr="00491736">
              <w:t xml:space="preserve">. Malaysia and Vietnam) </w:t>
            </w:r>
            <w:r w:rsidRPr="00491736">
              <w:t>and will be sharing information with SGX as a next step.</w:t>
            </w:r>
            <w:r w:rsidR="009829ED" w:rsidRPr="00491736">
              <w:t xml:space="preserve"> ASIFMA is </w:t>
            </w:r>
            <w:r w:rsidR="00171DDA" w:rsidRPr="00491736">
              <w:t xml:space="preserve">also involved in an initiative looking at fees which include CSD fees as well as clearing fees. Therefore, ASIFMA and this sub-committee can work jointly on this effort before making a representation to SGX. Anthony </w:t>
            </w:r>
            <w:r w:rsidR="00C244C5" w:rsidRPr="00491736">
              <w:t>commented on</w:t>
            </w:r>
            <w:r w:rsidR="00171DDA" w:rsidRPr="00491736">
              <w:t xml:space="preserve"> the need to meet with senior</w:t>
            </w:r>
            <w:r w:rsidR="006A57BB">
              <w:t xml:space="preserve"> management</w:t>
            </w:r>
            <w:r w:rsidR="00171DDA" w:rsidRPr="00491736">
              <w:t xml:space="preserve"> from SGX in the next meeting.</w:t>
            </w:r>
            <w:r w:rsidR="00C244C5" w:rsidRPr="00491736">
              <w:t xml:space="preserve"> He added that the sub-committee should fix a date for the next meeting with SGX.</w:t>
            </w:r>
          </w:p>
          <w:p w:rsidR="00404C0C" w:rsidRDefault="00404C0C" w:rsidP="000475F4">
            <w:pPr>
              <w:pStyle w:val="BodyText"/>
              <w:jc w:val="both"/>
            </w:pPr>
            <w:r>
              <w:t>The other item which this committee has been working on is Proxy Voting. There is a need to determine the issues in the region and assess if Singapore is on par with the other markets in the region.</w:t>
            </w:r>
          </w:p>
          <w:p w:rsidR="008052F7" w:rsidRDefault="008052F7" w:rsidP="000475F4">
            <w:pPr>
              <w:pStyle w:val="BodyText"/>
              <w:jc w:val="both"/>
            </w:pPr>
            <w:r>
              <w:t xml:space="preserve">Tony questioned if there is currently any best practice on Proxy Voting in Singapore. Anthony proposed engaging with the 2 companies specialising in Proxy Voting – ISS and </w:t>
            </w:r>
            <w:proofErr w:type="spellStart"/>
            <w:r>
              <w:t>Broadridge</w:t>
            </w:r>
            <w:proofErr w:type="spellEnd"/>
            <w:r>
              <w:t xml:space="preserve"> to determine how to form the best practice for Singapore which can thereafter be shared with the local community.</w:t>
            </w:r>
          </w:p>
          <w:p w:rsidR="000A2003" w:rsidRDefault="000A2003" w:rsidP="000475F4">
            <w:pPr>
              <w:pStyle w:val="BodyText"/>
              <w:jc w:val="both"/>
            </w:pPr>
          </w:p>
          <w:p w:rsidR="000A2003" w:rsidRDefault="000A2003" w:rsidP="000A2003">
            <w:pPr>
              <w:pStyle w:val="BodyText"/>
              <w:rPr>
                <w:rFonts w:ascii="Calibri" w:hAnsi="Calibri" w:cs="Calibri"/>
                <w:sz w:val="24"/>
                <w:szCs w:val="24"/>
                <w:u w:val="single"/>
              </w:rPr>
            </w:pPr>
            <w:r>
              <w:rPr>
                <w:u w:val="single"/>
              </w:rPr>
              <w:t xml:space="preserve">2) Priorities </w:t>
            </w:r>
            <w:r w:rsidRPr="00A91671">
              <w:rPr>
                <w:rFonts w:ascii="Calibri" w:hAnsi="Calibri" w:cs="Calibri"/>
                <w:u w:val="single"/>
              </w:rPr>
              <w:t>for SG NMPG/APAC NMPG to focus on for 2013</w:t>
            </w:r>
          </w:p>
          <w:p w:rsidR="000A2003" w:rsidRDefault="00471E0B" w:rsidP="000475F4">
            <w:pPr>
              <w:pStyle w:val="BodyText"/>
              <w:jc w:val="both"/>
            </w:pPr>
            <w:r>
              <w:t>Anthony informed on the 2 priorities to focus on for this year. The first is to determine how to increase the participation of the SG NMPG/APAC NMPG at the Global SMPG level. Secondly, there is a need to formalise the SG NMPG in order to ensure continuity and consistency as the group progresses.</w:t>
            </w:r>
          </w:p>
          <w:p w:rsidR="00471E0B" w:rsidRDefault="00471E0B" w:rsidP="000653D8">
            <w:pPr>
              <w:pStyle w:val="BodyText"/>
            </w:pPr>
          </w:p>
          <w:p w:rsidR="00471E0B" w:rsidRDefault="00471E0B" w:rsidP="00471E0B">
            <w:pPr>
              <w:pStyle w:val="BodyText"/>
              <w:rPr>
                <w:rFonts w:ascii="Calibri" w:hAnsi="Calibri" w:cs="Calibri"/>
                <w:u w:val="single"/>
              </w:rPr>
            </w:pPr>
            <w:r>
              <w:rPr>
                <w:u w:val="single"/>
              </w:rPr>
              <w:t xml:space="preserve">3) Nomination </w:t>
            </w:r>
            <w:r w:rsidRPr="00471E0B">
              <w:rPr>
                <w:rFonts w:ascii="Calibri" w:hAnsi="Calibri" w:cs="Calibri"/>
                <w:u w:val="single"/>
              </w:rPr>
              <w:t>of names for formation of a group within the NMPG forum to look at market practices</w:t>
            </w:r>
          </w:p>
          <w:p w:rsidR="00471E0B" w:rsidRDefault="00E46784" w:rsidP="000475F4">
            <w:pPr>
              <w:pStyle w:val="BodyText"/>
              <w:jc w:val="both"/>
              <w:rPr>
                <w:rFonts w:ascii="Calibri" w:hAnsi="Calibri" w:cs="Calibri"/>
              </w:rPr>
            </w:pPr>
            <w:r>
              <w:rPr>
                <w:rFonts w:ascii="Calibri" w:hAnsi="Calibri" w:cs="Calibri"/>
              </w:rPr>
              <w:t>There is a need to nominate names for the formation of a MP WG within the SG NMPG. The SG CA WG resides within the Transaction sub-committee and has committed to publishing the SG CA MP this year.</w:t>
            </w:r>
          </w:p>
          <w:p w:rsidR="005C13A7" w:rsidRDefault="005C13A7" w:rsidP="000475F4">
            <w:pPr>
              <w:pStyle w:val="BodyText"/>
              <w:jc w:val="both"/>
              <w:rPr>
                <w:rFonts w:ascii="Calibri" w:hAnsi="Calibri" w:cs="Calibri"/>
              </w:rPr>
            </w:pPr>
            <w:r>
              <w:rPr>
                <w:rFonts w:ascii="Calibri" w:hAnsi="Calibri" w:cs="Calibri"/>
              </w:rPr>
              <w:t xml:space="preserve">Anthony explained that the Global SMPG is split into 3 WGs – S &amp; R, CA and Funds. Currently, there is no </w:t>
            </w:r>
            <w:r>
              <w:rPr>
                <w:rFonts w:ascii="Calibri" w:hAnsi="Calibri" w:cs="Calibri"/>
              </w:rPr>
              <w:lastRenderedPageBreak/>
              <w:t>representation from SG NMPG in all these 3 WGs except Anthony himself. It is alright if there is no participation in the Funds WG for the time being but there should representation at the S &amp; R WG. For the CA WG, there should be no issue in identifying the representatives from SG NMPG.</w:t>
            </w:r>
            <w:r w:rsidR="00EB33C2">
              <w:rPr>
                <w:rFonts w:ascii="Calibri" w:hAnsi="Calibri" w:cs="Calibri"/>
              </w:rPr>
              <w:t xml:space="preserve"> </w:t>
            </w:r>
            <w:r w:rsidR="00EB33C2" w:rsidRPr="00491736">
              <w:rPr>
                <w:rFonts w:ascii="Calibri" w:hAnsi="Calibri" w:cs="Calibri"/>
              </w:rPr>
              <w:t>The names of the representatives from the SG NMPG should be firmed up by the next SG NMPG meeting.</w:t>
            </w:r>
          </w:p>
          <w:p w:rsidR="0071749D" w:rsidRDefault="0071749D" w:rsidP="000475F4">
            <w:pPr>
              <w:pStyle w:val="BodyText"/>
              <w:jc w:val="both"/>
            </w:pPr>
          </w:p>
          <w:p w:rsidR="00124FC0" w:rsidRDefault="00124FC0" w:rsidP="000475F4">
            <w:pPr>
              <w:pStyle w:val="BodyText"/>
              <w:jc w:val="both"/>
              <w:rPr>
                <w:rFonts w:ascii="Calibri" w:hAnsi="Calibri" w:cs="Calibri"/>
                <w:u w:val="single"/>
              </w:rPr>
            </w:pPr>
            <w:r>
              <w:rPr>
                <w:u w:val="single"/>
              </w:rPr>
              <w:t xml:space="preserve">4) Updates </w:t>
            </w:r>
            <w:r w:rsidRPr="00124FC0">
              <w:rPr>
                <w:rFonts w:ascii="Calibri" w:hAnsi="Calibri" w:cs="Calibri"/>
                <w:u w:val="single"/>
              </w:rPr>
              <w:t>on Global SMPG</w:t>
            </w:r>
          </w:p>
          <w:p w:rsidR="00057EBB" w:rsidRDefault="006924BC" w:rsidP="000475F4">
            <w:pPr>
              <w:pStyle w:val="BodyText"/>
              <w:jc w:val="both"/>
              <w:rPr>
                <w:rFonts w:ascii="Calibri" w:hAnsi="Calibri" w:cs="Calibri"/>
              </w:rPr>
            </w:pPr>
            <w:r w:rsidRPr="006924BC">
              <w:rPr>
                <w:rFonts w:ascii="Calibri" w:hAnsi="Calibri" w:cs="Calibri"/>
              </w:rPr>
              <w:t xml:space="preserve">Cindy </w:t>
            </w:r>
            <w:r>
              <w:rPr>
                <w:rFonts w:ascii="Calibri" w:hAnsi="Calibri" w:cs="Calibri"/>
              </w:rPr>
              <w:t>updated the Group on the topics discussed at the Global SMPG meeting</w:t>
            </w:r>
            <w:r w:rsidR="00E8721C">
              <w:rPr>
                <w:rFonts w:ascii="Calibri" w:hAnsi="Calibri" w:cs="Calibri"/>
              </w:rPr>
              <w:t xml:space="preserve"> held</w:t>
            </w:r>
            <w:r>
              <w:rPr>
                <w:rFonts w:ascii="Calibri" w:hAnsi="Calibri" w:cs="Calibri"/>
              </w:rPr>
              <w:t xml:space="preserve"> in Frankfurt on 23 – 25 April 2013</w:t>
            </w:r>
            <w:r w:rsidR="00FB17F4">
              <w:rPr>
                <w:rFonts w:ascii="Calibri" w:hAnsi="Calibri" w:cs="Calibri"/>
              </w:rPr>
              <w:t xml:space="preserve"> for the S &amp; R WG</w:t>
            </w:r>
            <w:r>
              <w:rPr>
                <w:rFonts w:ascii="Calibri" w:hAnsi="Calibri" w:cs="Calibri"/>
              </w:rPr>
              <w:t>.</w:t>
            </w:r>
            <w:r w:rsidR="00E8721C">
              <w:rPr>
                <w:rFonts w:ascii="Calibri" w:hAnsi="Calibri" w:cs="Calibri"/>
              </w:rPr>
              <w:t xml:space="preserve"> </w:t>
            </w:r>
            <w:r w:rsidR="00CF65A6">
              <w:rPr>
                <w:rFonts w:ascii="Calibri" w:hAnsi="Calibri" w:cs="Calibri"/>
              </w:rPr>
              <w:t>One topic relevant to the SG NMPG is IPO. During the Global SMPG meeting, it was agreed that all the NMPGs will add the IPO MP for their respective market to the MP document in an effort to identify the commonalities between the various markets</w:t>
            </w:r>
            <w:r>
              <w:rPr>
                <w:rFonts w:ascii="Calibri" w:hAnsi="Calibri" w:cs="Calibri"/>
              </w:rPr>
              <w:t xml:space="preserve"> </w:t>
            </w:r>
            <w:r w:rsidR="00CF65A6">
              <w:rPr>
                <w:rFonts w:ascii="Calibri" w:hAnsi="Calibri" w:cs="Calibri"/>
              </w:rPr>
              <w:t>in order to build a truly global MP document.</w:t>
            </w:r>
            <w:r w:rsidR="00275B2D">
              <w:rPr>
                <w:rFonts w:ascii="Calibri" w:hAnsi="Calibri" w:cs="Calibri"/>
              </w:rPr>
              <w:t xml:space="preserve"> </w:t>
            </w:r>
            <w:r w:rsidR="00057EBB">
              <w:rPr>
                <w:rFonts w:ascii="Calibri" w:hAnsi="Calibri" w:cs="Calibri"/>
              </w:rPr>
              <w:t xml:space="preserve">Hence, </w:t>
            </w:r>
            <w:r w:rsidR="00057EBB" w:rsidRPr="00491736">
              <w:rPr>
                <w:rFonts w:ascii="Calibri" w:hAnsi="Calibri" w:cs="Calibri"/>
              </w:rPr>
              <w:t>one of the action items for the Group is to draft a Singapore specific IPO MP</w:t>
            </w:r>
            <w:r w:rsidR="00057EBB">
              <w:rPr>
                <w:rFonts w:ascii="Calibri" w:hAnsi="Calibri" w:cs="Calibri"/>
              </w:rPr>
              <w:t xml:space="preserve"> to contribute to this global initiative.</w:t>
            </w:r>
            <w:r w:rsidR="00B27CC9">
              <w:rPr>
                <w:rFonts w:ascii="Calibri" w:hAnsi="Calibri" w:cs="Calibri"/>
              </w:rPr>
              <w:t xml:space="preserve"> The IPO Global MP document had been circulated to the Group members previously. The members are to review and revert on the specificities of the IPO MP in SG which differ from the global MP.</w:t>
            </w:r>
          </w:p>
          <w:p w:rsidR="00275B2D" w:rsidRDefault="00035F87" w:rsidP="000475F4">
            <w:pPr>
              <w:pStyle w:val="BodyText"/>
              <w:jc w:val="both"/>
              <w:rPr>
                <w:rFonts w:ascii="Calibri" w:hAnsi="Calibri" w:cs="Calibri"/>
              </w:rPr>
            </w:pPr>
            <w:r>
              <w:rPr>
                <w:rFonts w:ascii="Calibri" w:hAnsi="Calibri" w:cs="Calibri"/>
              </w:rPr>
              <w:t xml:space="preserve">During the Global SMPG meeting, the S &amp; R </w:t>
            </w:r>
            <w:r w:rsidR="00FB17F4">
              <w:rPr>
                <w:rFonts w:ascii="Calibri" w:hAnsi="Calibri" w:cs="Calibri"/>
              </w:rPr>
              <w:t>WG</w:t>
            </w:r>
            <w:r>
              <w:rPr>
                <w:rFonts w:ascii="Calibri" w:hAnsi="Calibri" w:cs="Calibri"/>
              </w:rPr>
              <w:t xml:space="preserve"> </w:t>
            </w:r>
            <w:r w:rsidR="006E417B">
              <w:rPr>
                <w:rFonts w:ascii="Calibri" w:hAnsi="Calibri" w:cs="Calibri"/>
              </w:rPr>
              <w:t xml:space="preserve">also </w:t>
            </w:r>
            <w:r>
              <w:rPr>
                <w:rFonts w:ascii="Calibri" w:hAnsi="Calibri" w:cs="Calibri"/>
              </w:rPr>
              <w:t>went through an exercise to update the 95a DEAG/REAG field in the Settlement MP Summary file.</w:t>
            </w:r>
            <w:r w:rsidR="00B27CC9">
              <w:rPr>
                <w:rFonts w:ascii="Calibri" w:hAnsi="Calibri" w:cs="Calibri"/>
              </w:rPr>
              <w:t xml:space="preserve"> This file also documents the common settlement elements of the various m</w:t>
            </w:r>
            <w:r w:rsidR="00842EC2">
              <w:rPr>
                <w:rFonts w:ascii="Calibri" w:hAnsi="Calibri" w:cs="Calibri"/>
              </w:rPr>
              <w:t xml:space="preserve">arkets. Singapore’s requirements are currently not documented in the file. </w:t>
            </w:r>
            <w:r w:rsidR="00842EC2" w:rsidRPr="00491736">
              <w:rPr>
                <w:rFonts w:ascii="Calibri" w:hAnsi="Calibri" w:cs="Calibri"/>
              </w:rPr>
              <w:t>Cindy proposed adding the Singapore’s requirements onto the file as another action item for the Group.</w:t>
            </w:r>
          </w:p>
          <w:p w:rsidR="006E417B" w:rsidRDefault="00FB17F4" w:rsidP="000475F4">
            <w:pPr>
              <w:pStyle w:val="BodyText"/>
              <w:jc w:val="both"/>
              <w:rPr>
                <w:rFonts w:ascii="Calibri" w:hAnsi="Calibri" w:cs="Calibri"/>
              </w:rPr>
            </w:pPr>
            <w:r>
              <w:rPr>
                <w:rFonts w:ascii="Calibri" w:hAnsi="Calibri" w:cs="Calibri"/>
              </w:rPr>
              <w:t xml:space="preserve">Other topics covered by the S &amp; R WG included the mapping of charge amounts to codes, the use of “N” sign in the representation of a credit or debit, Financial Transaction Tax, field 97a Option A and E and an MT535 business case. </w:t>
            </w:r>
            <w:r w:rsidR="006E417B">
              <w:rPr>
                <w:rFonts w:ascii="Calibri" w:hAnsi="Calibri" w:cs="Calibri"/>
              </w:rPr>
              <w:t xml:space="preserve">The </w:t>
            </w:r>
            <w:r>
              <w:rPr>
                <w:rFonts w:ascii="Calibri" w:hAnsi="Calibri" w:cs="Calibri"/>
              </w:rPr>
              <w:t xml:space="preserve">complete </w:t>
            </w:r>
            <w:r w:rsidR="006E417B">
              <w:rPr>
                <w:rFonts w:ascii="Calibri" w:hAnsi="Calibri" w:cs="Calibri"/>
              </w:rPr>
              <w:t xml:space="preserve">meeting minutes of the Global SMPG meeting for all 3 WGs </w:t>
            </w:r>
            <w:r>
              <w:rPr>
                <w:rFonts w:ascii="Calibri" w:hAnsi="Calibri" w:cs="Calibri"/>
              </w:rPr>
              <w:t xml:space="preserve">(S &amp; R, CA and Funds) </w:t>
            </w:r>
            <w:r w:rsidR="006E417B">
              <w:rPr>
                <w:rFonts w:ascii="Calibri" w:hAnsi="Calibri" w:cs="Calibri"/>
              </w:rPr>
              <w:t xml:space="preserve">will be posted on the SMPG website once </w:t>
            </w:r>
            <w:r>
              <w:rPr>
                <w:rFonts w:ascii="Calibri" w:hAnsi="Calibri" w:cs="Calibri"/>
              </w:rPr>
              <w:t xml:space="preserve">they are </w:t>
            </w:r>
            <w:r w:rsidR="006E417B">
              <w:rPr>
                <w:rFonts w:ascii="Calibri" w:hAnsi="Calibri" w:cs="Calibri"/>
              </w:rPr>
              <w:t>finalised.</w:t>
            </w:r>
          </w:p>
          <w:p w:rsidR="003314A8" w:rsidRDefault="003314A8" w:rsidP="00124FC0">
            <w:pPr>
              <w:pStyle w:val="BodyText"/>
              <w:rPr>
                <w:rFonts w:ascii="Calibri" w:hAnsi="Calibri" w:cs="Calibri"/>
              </w:rPr>
            </w:pPr>
          </w:p>
          <w:p w:rsidR="003314A8" w:rsidRDefault="003314A8" w:rsidP="003314A8">
            <w:pPr>
              <w:pStyle w:val="BodyText"/>
              <w:rPr>
                <w:rFonts w:ascii="Calibri" w:hAnsi="Calibri" w:cs="Calibri"/>
                <w:u w:val="single"/>
              </w:rPr>
            </w:pPr>
            <w:r>
              <w:rPr>
                <w:u w:val="single"/>
              </w:rPr>
              <w:t xml:space="preserve">5) Review </w:t>
            </w:r>
            <w:r w:rsidRPr="003314A8">
              <w:rPr>
                <w:rFonts w:ascii="Calibri" w:hAnsi="Calibri" w:cs="Calibri"/>
                <w:u w:val="single"/>
              </w:rPr>
              <w:t>of sample past SGX broadcasts where communication can be improved/ SGX to share more information on exchange BCP plans where permissible</w:t>
            </w:r>
          </w:p>
          <w:p w:rsidR="00DD3E2B" w:rsidRDefault="0007597B" w:rsidP="000475F4">
            <w:pPr>
              <w:pStyle w:val="BodyText"/>
              <w:jc w:val="both"/>
              <w:rPr>
                <w:rFonts w:ascii="Calibri" w:hAnsi="Calibri" w:cs="Calibri"/>
              </w:rPr>
            </w:pPr>
            <w:r w:rsidRPr="00D64656">
              <w:rPr>
                <w:rFonts w:ascii="Calibri" w:hAnsi="Calibri" w:cs="Calibri"/>
              </w:rPr>
              <w:t>There was no update on the BCP plans as there was no representatives from SGX present at the SG NMPG meeting.</w:t>
            </w:r>
            <w:r w:rsidR="000942E2" w:rsidRPr="00D64656">
              <w:rPr>
                <w:rFonts w:ascii="Calibri" w:hAnsi="Calibri" w:cs="Calibri"/>
              </w:rPr>
              <w:t xml:space="preserve"> Anthony will try to obtain some updates from SGX in writing.</w:t>
            </w:r>
          </w:p>
          <w:p w:rsidR="00782ACB" w:rsidRDefault="00D47FC9" w:rsidP="000475F4">
            <w:pPr>
              <w:pStyle w:val="BodyText"/>
              <w:jc w:val="both"/>
              <w:rPr>
                <w:rFonts w:ascii="Calibri" w:hAnsi="Calibri" w:cs="Calibri"/>
              </w:rPr>
            </w:pPr>
            <w:r>
              <w:rPr>
                <w:rFonts w:ascii="Calibri" w:hAnsi="Calibri" w:cs="Calibri"/>
              </w:rPr>
              <w:t xml:space="preserve">Anthony shared that </w:t>
            </w:r>
            <w:r w:rsidR="00782ACB">
              <w:rPr>
                <w:rFonts w:ascii="Calibri" w:hAnsi="Calibri" w:cs="Calibri"/>
              </w:rPr>
              <w:t>SGX had previously expressed that the infrastructure for BCP is ready. However, it depends on the readiness of the community before SGX can activate the BCP plans.</w:t>
            </w:r>
          </w:p>
          <w:p w:rsidR="00D47FC9" w:rsidRDefault="00D47FC9" w:rsidP="000475F4">
            <w:pPr>
              <w:pStyle w:val="BodyText"/>
              <w:jc w:val="both"/>
              <w:rPr>
                <w:rFonts w:ascii="Calibri" w:hAnsi="Calibri" w:cs="Calibri"/>
              </w:rPr>
            </w:pPr>
            <w:r w:rsidRPr="00D64656">
              <w:rPr>
                <w:rFonts w:ascii="Calibri" w:hAnsi="Calibri" w:cs="Calibri"/>
              </w:rPr>
              <w:t xml:space="preserve">Looking at the amount of </w:t>
            </w:r>
            <w:r w:rsidR="00F85DE7" w:rsidRPr="00D64656">
              <w:rPr>
                <w:rFonts w:ascii="Calibri" w:hAnsi="Calibri" w:cs="Calibri"/>
              </w:rPr>
              <w:t xml:space="preserve">updates and information that the Group can now share with SGX, Anthony suggested </w:t>
            </w:r>
            <w:r w:rsidR="000047A9" w:rsidRPr="00D64656">
              <w:rPr>
                <w:rFonts w:ascii="Calibri" w:hAnsi="Calibri" w:cs="Calibri"/>
              </w:rPr>
              <w:t>organising</w:t>
            </w:r>
            <w:r w:rsidR="00F85DE7" w:rsidRPr="00D64656">
              <w:rPr>
                <w:rFonts w:ascii="Calibri" w:hAnsi="Calibri" w:cs="Calibri"/>
              </w:rPr>
              <w:t xml:space="preserve"> a m</w:t>
            </w:r>
            <w:r w:rsidR="000047A9" w:rsidRPr="00D64656">
              <w:rPr>
                <w:rFonts w:ascii="Calibri" w:hAnsi="Calibri" w:cs="Calibri"/>
              </w:rPr>
              <w:t xml:space="preserve">eeting with </w:t>
            </w:r>
            <w:proofErr w:type="spellStart"/>
            <w:r w:rsidR="006A57BB">
              <w:rPr>
                <w:rFonts w:ascii="Calibri" w:hAnsi="Calibri" w:cs="Calibri"/>
              </w:rPr>
              <w:t>Ramu</w:t>
            </w:r>
            <w:proofErr w:type="spellEnd"/>
            <w:r w:rsidR="000047A9" w:rsidRPr="00D64656">
              <w:rPr>
                <w:rFonts w:ascii="Calibri" w:hAnsi="Calibri" w:cs="Calibri"/>
              </w:rPr>
              <w:t xml:space="preserve"> from SGX next and will make the necessary arrangements.</w:t>
            </w:r>
          </w:p>
          <w:p w:rsidR="00782ACB" w:rsidRPr="0007597B" w:rsidRDefault="00782ACB" w:rsidP="003314A8">
            <w:pPr>
              <w:pStyle w:val="BodyText"/>
              <w:rPr>
                <w:rFonts w:ascii="Calibri" w:hAnsi="Calibri" w:cs="Calibri"/>
              </w:rPr>
            </w:pPr>
          </w:p>
          <w:p w:rsidR="00782ACB" w:rsidRDefault="00782ACB" w:rsidP="00782ACB">
            <w:pPr>
              <w:pStyle w:val="BodyText"/>
              <w:rPr>
                <w:rFonts w:ascii="Calibri" w:hAnsi="Calibri" w:cs="Calibri"/>
                <w:u w:val="single"/>
              </w:rPr>
            </w:pPr>
            <w:r>
              <w:rPr>
                <w:u w:val="single"/>
              </w:rPr>
              <w:t xml:space="preserve">6) Feedback and </w:t>
            </w:r>
            <w:proofErr w:type="spellStart"/>
            <w:r w:rsidRPr="00782ACB">
              <w:rPr>
                <w:rFonts w:ascii="Calibri" w:hAnsi="Calibri" w:cs="Calibri"/>
                <w:u w:val="single"/>
              </w:rPr>
              <w:t>and</w:t>
            </w:r>
            <w:proofErr w:type="spellEnd"/>
            <w:r w:rsidRPr="00782ACB">
              <w:rPr>
                <w:rFonts w:ascii="Calibri" w:hAnsi="Calibri" w:cs="Calibri"/>
                <w:u w:val="single"/>
              </w:rPr>
              <w:t xml:space="preserve"> finalize SG NMPG Terms of Reference</w:t>
            </w:r>
          </w:p>
          <w:p w:rsidR="00DD3E2B" w:rsidRPr="002672D7" w:rsidRDefault="002672D7" w:rsidP="003314A8">
            <w:pPr>
              <w:pStyle w:val="BodyText"/>
              <w:rPr>
                <w:rFonts w:ascii="Calibri" w:hAnsi="Calibri" w:cs="Calibri"/>
              </w:rPr>
            </w:pPr>
            <w:r w:rsidRPr="00D64656">
              <w:rPr>
                <w:rFonts w:ascii="Calibri" w:hAnsi="Calibri" w:cs="Calibri"/>
              </w:rPr>
              <w:t>The Terms of Reference are agreed upon by the Group and will be formally documented.</w:t>
            </w:r>
          </w:p>
          <w:p w:rsidR="00DD3E2B" w:rsidRDefault="00DD3E2B" w:rsidP="003314A8">
            <w:pPr>
              <w:pStyle w:val="BodyText"/>
              <w:rPr>
                <w:rFonts w:ascii="Calibri" w:hAnsi="Calibri" w:cs="Calibri"/>
                <w:u w:val="single"/>
              </w:rPr>
            </w:pPr>
          </w:p>
          <w:p w:rsidR="00DD3E2B" w:rsidRDefault="00DD3E2B" w:rsidP="003314A8">
            <w:pPr>
              <w:pStyle w:val="BodyText"/>
              <w:rPr>
                <w:rFonts w:ascii="Calibri" w:hAnsi="Calibri" w:cs="Calibri"/>
                <w:u w:val="single"/>
              </w:rPr>
            </w:pPr>
            <w:r>
              <w:rPr>
                <w:u w:val="single"/>
              </w:rPr>
              <w:t xml:space="preserve">7) Nomination </w:t>
            </w:r>
            <w:r w:rsidRPr="00DD3E2B">
              <w:rPr>
                <w:rFonts w:ascii="Calibri" w:hAnsi="Calibri" w:cs="Calibri"/>
                <w:u w:val="single"/>
              </w:rPr>
              <w:t>for SG NMPG Vice Chair role</w:t>
            </w:r>
          </w:p>
          <w:p w:rsidR="00DD3E2B" w:rsidRDefault="009164C5" w:rsidP="000475F4">
            <w:pPr>
              <w:pStyle w:val="BodyText"/>
              <w:jc w:val="both"/>
              <w:rPr>
                <w:rFonts w:ascii="Calibri" w:hAnsi="Calibri" w:cs="Calibri"/>
              </w:rPr>
            </w:pPr>
            <w:r w:rsidRPr="00D64656">
              <w:rPr>
                <w:rFonts w:ascii="Calibri" w:hAnsi="Calibri" w:cs="Calibri"/>
              </w:rPr>
              <w:t>Anthony will send out the nomination form to the Group for interested parties to apply for the role of the SG NMPG Vice Chair.</w:t>
            </w:r>
            <w:r>
              <w:rPr>
                <w:rFonts w:ascii="Calibri" w:hAnsi="Calibri" w:cs="Calibri"/>
              </w:rPr>
              <w:t xml:space="preserve"> If there is more than 1 nomination, the selection will be based on a balloting process. </w:t>
            </w:r>
          </w:p>
          <w:p w:rsidR="004377DF" w:rsidRDefault="004377DF" w:rsidP="004377DF">
            <w:pPr>
              <w:pStyle w:val="BodyText"/>
              <w:rPr>
                <w:rFonts w:ascii="Calibri" w:hAnsi="Calibri" w:cs="Calibri"/>
                <w:u w:val="single"/>
                <w:lang w:val="de-DE"/>
              </w:rPr>
            </w:pPr>
            <w:r w:rsidRPr="004377DF">
              <w:rPr>
                <w:u w:val="single"/>
                <w:lang w:val="de-DE"/>
              </w:rPr>
              <w:t xml:space="preserve">8) Updates </w:t>
            </w:r>
            <w:proofErr w:type="spellStart"/>
            <w:r w:rsidRPr="004377DF">
              <w:rPr>
                <w:rFonts w:ascii="Calibri" w:hAnsi="Calibri" w:cs="Calibri"/>
                <w:u w:val="single"/>
                <w:lang w:val="de-DE"/>
              </w:rPr>
              <w:t>from</w:t>
            </w:r>
            <w:proofErr w:type="spellEnd"/>
            <w:r w:rsidRPr="004377DF">
              <w:rPr>
                <w:rFonts w:ascii="Calibri" w:hAnsi="Calibri" w:cs="Calibri"/>
                <w:u w:val="single"/>
                <w:lang w:val="de-DE"/>
              </w:rPr>
              <w:t xml:space="preserve"> Jamie Allen (ACGA)</w:t>
            </w:r>
          </w:p>
          <w:p w:rsidR="004377DF" w:rsidRDefault="00B46350" w:rsidP="000475F4">
            <w:pPr>
              <w:pStyle w:val="BodyText"/>
              <w:jc w:val="both"/>
              <w:rPr>
                <w:rFonts w:ascii="Calibri" w:hAnsi="Calibri" w:cs="Calibri"/>
                <w:lang w:val="en-US"/>
              </w:rPr>
            </w:pPr>
            <w:r w:rsidRPr="00B46350">
              <w:rPr>
                <w:rFonts w:ascii="Calibri" w:hAnsi="Calibri" w:cs="Calibri"/>
                <w:lang w:val="en-US"/>
              </w:rPr>
              <w:t>Jamie from the Asian Corporate Governance Association (ACGA)</w:t>
            </w:r>
            <w:r>
              <w:rPr>
                <w:rFonts w:ascii="Calibri" w:hAnsi="Calibri" w:cs="Calibri"/>
                <w:lang w:val="en-US"/>
              </w:rPr>
              <w:t xml:space="preserve"> was invited to join in the SG NMPG meeting. </w:t>
            </w:r>
            <w:r w:rsidR="000F2216">
              <w:rPr>
                <w:rFonts w:ascii="Calibri" w:hAnsi="Calibri" w:cs="Calibri"/>
                <w:lang w:val="en-US"/>
              </w:rPr>
              <w:lastRenderedPageBreak/>
              <w:t xml:space="preserve">He is the Executive Director of the ACGA which is an independent and non-profit organization. </w:t>
            </w:r>
            <w:r w:rsidR="008608C7">
              <w:rPr>
                <w:rFonts w:ascii="Calibri" w:hAnsi="Calibri" w:cs="Calibri"/>
                <w:lang w:val="en-US"/>
              </w:rPr>
              <w:t>ACGA engages in corporate governance research and advocacy work as well as educational work.</w:t>
            </w:r>
          </w:p>
          <w:p w:rsidR="00713724" w:rsidRDefault="00713724" w:rsidP="000475F4">
            <w:pPr>
              <w:pStyle w:val="BodyText"/>
              <w:jc w:val="both"/>
              <w:rPr>
                <w:rFonts w:ascii="Calibri" w:hAnsi="Calibri" w:cs="Calibri"/>
                <w:lang w:val="en-US"/>
              </w:rPr>
            </w:pPr>
            <w:r>
              <w:rPr>
                <w:rFonts w:ascii="Calibri" w:hAnsi="Calibri" w:cs="Calibri"/>
                <w:lang w:val="en-US"/>
              </w:rPr>
              <w:t xml:space="preserve">Jamie updated the Group on the recent initiatives that ACGA has been working on. These include Proxy Voting. </w:t>
            </w:r>
            <w:r w:rsidR="00A5287F">
              <w:rPr>
                <w:rFonts w:ascii="Calibri" w:hAnsi="Calibri" w:cs="Calibri"/>
                <w:lang w:val="en-US"/>
              </w:rPr>
              <w:t>He also shared the current hotspots at the moment</w:t>
            </w:r>
            <w:r w:rsidR="00EF176D">
              <w:rPr>
                <w:rFonts w:ascii="Calibri" w:hAnsi="Calibri" w:cs="Calibri"/>
                <w:lang w:val="en-US"/>
              </w:rPr>
              <w:t>,</w:t>
            </w:r>
            <w:r w:rsidR="00A5287F">
              <w:rPr>
                <w:rFonts w:ascii="Calibri" w:hAnsi="Calibri" w:cs="Calibri"/>
                <w:lang w:val="en-US"/>
              </w:rPr>
              <w:t xml:space="preserve"> as follow:</w:t>
            </w:r>
          </w:p>
          <w:p w:rsidR="00A5287F" w:rsidRDefault="00A5287F" w:rsidP="000475F4">
            <w:pPr>
              <w:pStyle w:val="BodyText"/>
              <w:numPr>
                <w:ilvl w:val="0"/>
                <w:numId w:val="19"/>
              </w:numPr>
              <w:jc w:val="both"/>
              <w:rPr>
                <w:rFonts w:ascii="Calibri" w:hAnsi="Calibri" w:cs="Calibri"/>
                <w:lang w:val="en-US"/>
              </w:rPr>
            </w:pPr>
            <w:r>
              <w:rPr>
                <w:rFonts w:ascii="Calibri" w:hAnsi="Calibri" w:cs="Calibri"/>
                <w:lang w:val="en-US"/>
              </w:rPr>
              <w:t>Singapore market is having some problems</w:t>
            </w:r>
          </w:p>
          <w:p w:rsidR="00A5287F" w:rsidRDefault="00A5287F" w:rsidP="000475F4">
            <w:pPr>
              <w:pStyle w:val="BodyText"/>
              <w:numPr>
                <w:ilvl w:val="0"/>
                <w:numId w:val="19"/>
              </w:numPr>
              <w:jc w:val="both"/>
              <w:rPr>
                <w:rFonts w:ascii="Calibri" w:hAnsi="Calibri" w:cs="Calibri"/>
                <w:lang w:val="en-US"/>
              </w:rPr>
            </w:pPr>
            <w:r>
              <w:rPr>
                <w:rFonts w:ascii="Calibri" w:hAnsi="Calibri" w:cs="Calibri"/>
                <w:lang w:val="en-US"/>
              </w:rPr>
              <w:t>Likewise for Hong Kong market</w:t>
            </w:r>
          </w:p>
          <w:p w:rsidR="00A5287F" w:rsidRDefault="00A5287F" w:rsidP="000475F4">
            <w:pPr>
              <w:pStyle w:val="BodyText"/>
              <w:numPr>
                <w:ilvl w:val="0"/>
                <w:numId w:val="19"/>
              </w:numPr>
              <w:jc w:val="both"/>
              <w:rPr>
                <w:rFonts w:ascii="Calibri" w:hAnsi="Calibri" w:cs="Calibri"/>
                <w:lang w:val="en-US"/>
              </w:rPr>
            </w:pPr>
            <w:r>
              <w:rPr>
                <w:rFonts w:ascii="Calibri" w:hAnsi="Calibri" w:cs="Calibri"/>
                <w:lang w:val="en-US"/>
              </w:rPr>
              <w:t>Indonesia market is also having issues</w:t>
            </w:r>
          </w:p>
          <w:p w:rsidR="00A5287F" w:rsidRDefault="00A5287F" w:rsidP="000475F4">
            <w:pPr>
              <w:pStyle w:val="BodyText"/>
              <w:numPr>
                <w:ilvl w:val="0"/>
                <w:numId w:val="19"/>
              </w:numPr>
              <w:jc w:val="both"/>
              <w:rPr>
                <w:rFonts w:ascii="Calibri" w:hAnsi="Calibri" w:cs="Calibri"/>
                <w:lang w:val="en-US"/>
              </w:rPr>
            </w:pPr>
            <w:r>
              <w:rPr>
                <w:rFonts w:ascii="Calibri" w:hAnsi="Calibri" w:cs="Calibri"/>
                <w:lang w:val="en-US"/>
              </w:rPr>
              <w:t>Japan is having issues with fraud</w:t>
            </w:r>
          </w:p>
          <w:p w:rsidR="00A5287F" w:rsidRDefault="00A5287F" w:rsidP="000475F4">
            <w:pPr>
              <w:pStyle w:val="BodyText"/>
              <w:numPr>
                <w:ilvl w:val="0"/>
                <w:numId w:val="19"/>
              </w:numPr>
              <w:jc w:val="both"/>
              <w:rPr>
                <w:rFonts w:ascii="Calibri" w:hAnsi="Calibri" w:cs="Calibri"/>
                <w:lang w:val="en-US"/>
              </w:rPr>
            </w:pPr>
            <w:r>
              <w:rPr>
                <w:rFonts w:ascii="Calibri" w:hAnsi="Calibri" w:cs="Calibri"/>
                <w:lang w:val="en-US"/>
              </w:rPr>
              <w:t>Korea is having issues with corporate fraud and embezzlement</w:t>
            </w:r>
          </w:p>
          <w:p w:rsidR="00E60D80" w:rsidRDefault="00E60D80" w:rsidP="000475F4">
            <w:pPr>
              <w:pStyle w:val="BodyText"/>
              <w:jc w:val="both"/>
              <w:rPr>
                <w:rFonts w:ascii="Calibri" w:hAnsi="Calibri" w:cs="Calibri"/>
                <w:lang w:val="en-US"/>
              </w:rPr>
            </w:pPr>
            <w:r>
              <w:rPr>
                <w:rFonts w:ascii="Calibri" w:hAnsi="Calibri" w:cs="Calibri"/>
                <w:lang w:val="en-US"/>
              </w:rPr>
              <w:t xml:space="preserve">Anthony queried on the priorities which SG market should be looking at, more from </w:t>
            </w:r>
            <w:r w:rsidR="00EA5F2F">
              <w:rPr>
                <w:rFonts w:ascii="Calibri" w:hAnsi="Calibri" w:cs="Calibri"/>
                <w:lang w:val="en-US"/>
              </w:rPr>
              <w:t>an</w:t>
            </w:r>
            <w:r>
              <w:rPr>
                <w:rFonts w:ascii="Calibri" w:hAnsi="Calibri" w:cs="Calibri"/>
                <w:lang w:val="en-US"/>
              </w:rPr>
              <w:t xml:space="preserve"> advocacy </w:t>
            </w:r>
            <w:r w:rsidR="00EA5F2F">
              <w:rPr>
                <w:rFonts w:ascii="Calibri" w:hAnsi="Calibri" w:cs="Calibri"/>
                <w:lang w:val="en-US"/>
              </w:rPr>
              <w:t>point of view</w:t>
            </w:r>
            <w:r>
              <w:rPr>
                <w:rFonts w:ascii="Calibri" w:hAnsi="Calibri" w:cs="Calibri"/>
                <w:lang w:val="en-US"/>
              </w:rPr>
              <w:t>. Jamie shared the below insights:</w:t>
            </w:r>
          </w:p>
          <w:p w:rsidR="00E60D80" w:rsidRDefault="00E211FA" w:rsidP="000475F4">
            <w:pPr>
              <w:pStyle w:val="BodyText"/>
              <w:numPr>
                <w:ilvl w:val="0"/>
                <w:numId w:val="20"/>
              </w:numPr>
              <w:jc w:val="both"/>
              <w:rPr>
                <w:rFonts w:ascii="Calibri" w:hAnsi="Calibri" w:cs="Calibri"/>
                <w:lang w:val="en-US"/>
              </w:rPr>
            </w:pPr>
            <w:r>
              <w:rPr>
                <w:rFonts w:ascii="Calibri" w:hAnsi="Calibri" w:cs="Calibri"/>
                <w:lang w:val="en-US"/>
              </w:rPr>
              <w:t>Proxy Appointment System</w:t>
            </w:r>
            <w:r w:rsidR="00FF08C5">
              <w:rPr>
                <w:rFonts w:ascii="Calibri" w:hAnsi="Calibri" w:cs="Calibri"/>
                <w:lang w:val="en-US"/>
              </w:rPr>
              <w:t xml:space="preserve"> -</w:t>
            </w:r>
          </w:p>
          <w:p w:rsidR="007341DA" w:rsidRDefault="00E211FA" w:rsidP="000475F4">
            <w:pPr>
              <w:pStyle w:val="BodyText"/>
              <w:ind w:left="720"/>
              <w:jc w:val="both"/>
              <w:rPr>
                <w:rFonts w:ascii="Calibri" w:hAnsi="Calibri" w:cs="Calibri"/>
                <w:lang w:val="en-US"/>
              </w:rPr>
            </w:pPr>
            <w:r>
              <w:rPr>
                <w:rFonts w:ascii="Calibri" w:hAnsi="Calibri" w:cs="Calibri"/>
                <w:lang w:val="en-US"/>
              </w:rPr>
              <w:t xml:space="preserve">There is a need for the firms involved to ensure the workability of their solution.  </w:t>
            </w:r>
          </w:p>
          <w:p w:rsidR="007341DA" w:rsidRDefault="007341DA" w:rsidP="000475F4">
            <w:pPr>
              <w:pStyle w:val="BodyText"/>
              <w:numPr>
                <w:ilvl w:val="0"/>
                <w:numId w:val="20"/>
              </w:numPr>
              <w:jc w:val="both"/>
              <w:rPr>
                <w:rFonts w:ascii="Calibri" w:hAnsi="Calibri" w:cs="Calibri"/>
                <w:lang w:val="en-US"/>
              </w:rPr>
            </w:pPr>
            <w:r>
              <w:rPr>
                <w:rFonts w:ascii="Calibri" w:hAnsi="Calibri" w:cs="Calibri"/>
                <w:lang w:val="en-US"/>
              </w:rPr>
              <w:t>Voting by poll</w:t>
            </w:r>
            <w:r w:rsidR="00FF08C5">
              <w:rPr>
                <w:rFonts w:ascii="Calibri" w:hAnsi="Calibri" w:cs="Calibri"/>
                <w:lang w:val="en-US"/>
              </w:rPr>
              <w:t xml:space="preserve"> -</w:t>
            </w:r>
          </w:p>
          <w:p w:rsidR="00592292" w:rsidRDefault="007341DA" w:rsidP="000475F4">
            <w:pPr>
              <w:pStyle w:val="BodyText"/>
              <w:ind w:left="720"/>
              <w:jc w:val="both"/>
              <w:rPr>
                <w:rFonts w:ascii="Calibri" w:hAnsi="Calibri" w:cs="Calibri"/>
                <w:lang w:val="en-US"/>
              </w:rPr>
            </w:pPr>
            <w:r>
              <w:rPr>
                <w:rFonts w:ascii="Calibri" w:hAnsi="Calibri" w:cs="Calibri"/>
                <w:lang w:val="en-US"/>
              </w:rPr>
              <w:t xml:space="preserve">There is a lack of voting by poll in the local market as the companies are unable to count their votes and disclose the voting results. </w:t>
            </w:r>
            <w:r w:rsidR="00592292">
              <w:rPr>
                <w:rFonts w:ascii="Calibri" w:hAnsi="Calibri" w:cs="Calibri"/>
                <w:lang w:val="en-US"/>
              </w:rPr>
              <w:t>This is an area which SGX will need to look into.</w:t>
            </w:r>
          </w:p>
          <w:p w:rsidR="00592292" w:rsidRDefault="00592292" w:rsidP="000475F4">
            <w:pPr>
              <w:pStyle w:val="BodyText"/>
              <w:numPr>
                <w:ilvl w:val="0"/>
                <w:numId w:val="20"/>
              </w:numPr>
              <w:jc w:val="both"/>
              <w:rPr>
                <w:rFonts w:ascii="Calibri" w:hAnsi="Calibri" w:cs="Calibri"/>
                <w:lang w:val="en-US"/>
              </w:rPr>
            </w:pPr>
            <w:r>
              <w:rPr>
                <w:rFonts w:ascii="Calibri" w:hAnsi="Calibri" w:cs="Calibri"/>
                <w:lang w:val="en-US"/>
              </w:rPr>
              <w:t>Enforcement</w:t>
            </w:r>
            <w:r w:rsidR="00FF08C5">
              <w:rPr>
                <w:rFonts w:ascii="Calibri" w:hAnsi="Calibri" w:cs="Calibri"/>
                <w:lang w:val="en-US"/>
              </w:rPr>
              <w:t xml:space="preserve"> -</w:t>
            </w:r>
          </w:p>
          <w:p w:rsidR="00DD30C6" w:rsidRDefault="004C3A19" w:rsidP="000475F4">
            <w:pPr>
              <w:pStyle w:val="BodyText"/>
              <w:ind w:left="720"/>
              <w:jc w:val="both"/>
              <w:rPr>
                <w:rFonts w:ascii="Calibri" w:hAnsi="Calibri" w:cs="Calibri"/>
                <w:lang w:val="en-US"/>
              </w:rPr>
            </w:pPr>
            <w:r>
              <w:rPr>
                <w:rFonts w:ascii="Calibri" w:hAnsi="Calibri" w:cs="Calibri"/>
                <w:lang w:val="en-US"/>
              </w:rPr>
              <w:t>One area which SGX needs to look into is t</w:t>
            </w:r>
            <w:r w:rsidR="00EF176D">
              <w:rPr>
                <w:rFonts w:ascii="Calibri" w:hAnsi="Calibri" w:cs="Calibri"/>
                <w:lang w:val="en-US"/>
              </w:rPr>
              <w:t>he</w:t>
            </w:r>
            <w:r>
              <w:rPr>
                <w:rFonts w:ascii="Calibri" w:hAnsi="Calibri" w:cs="Calibri"/>
                <w:lang w:val="en-US"/>
              </w:rPr>
              <w:t xml:space="preserve"> tighten</w:t>
            </w:r>
            <w:r w:rsidR="00EF176D">
              <w:rPr>
                <w:rFonts w:ascii="Calibri" w:hAnsi="Calibri" w:cs="Calibri"/>
                <w:lang w:val="en-US"/>
              </w:rPr>
              <w:t>ing</w:t>
            </w:r>
            <w:r>
              <w:rPr>
                <w:rFonts w:ascii="Calibri" w:hAnsi="Calibri" w:cs="Calibri"/>
                <w:lang w:val="en-US"/>
              </w:rPr>
              <w:t xml:space="preserve"> on enforcement.</w:t>
            </w:r>
          </w:p>
          <w:p w:rsidR="00DD30C6" w:rsidRPr="00E60D80" w:rsidRDefault="00DD30C6" w:rsidP="000475F4">
            <w:pPr>
              <w:pStyle w:val="BodyText"/>
              <w:numPr>
                <w:ilvl w:val="0"/>
                <w:numId w:val="20"/>
              </w:numPr>
              <w:jc w:val="both"/>
              <w:rPr>
                <w:rFonts w:ascii="Calibri" w:hAnsi="Calibri" w:cs="Calibri"/>
                <w:lang w:val="en-US"/>
              </w:rPr>
            </w:pPr>
            <w:r>
              <w:rPr>
                <w:rFonts w:ascii="Calibri" w:hAnsi="Calibri" w:cs="Calibri"/>
                <w:lang w:val="en-US"/>
              </w:rPr>
              <w:t>Loosening of the regulators</w:t>
            </w:r>
            <w:r w:rsidR="00FF08C5">
              <w:rPr>
                <w:rFonts w:ascii="Calibri" w:hAnsi="Calibri" w:cs="Calibri"/>
                <w:lang w:val="en-US"/>
              </w:rPr>
              <w:t xml:space="preserve"> -</w:t>
            </w:r>
          </w:p>
          <w:p w:rsidR="003314A8" w:rsidRDefault="006803A7" w:rsidP="000475F4">
            <w:pPr>
              <w:pStyle w:val="BodyText"/>
              <w:ind w:left="720"/>
              <w:jc w:val="both"/>
              <w:rPr>
                <w:rFonts w:ascii="Calibri" w:hAnsi="Calibri" w:cs="Calibri"/>
                <w:lang w:val="en-US"/>
              </w:rPr>
            </w:pPr>
            <w:r>
              <w:rPr>
                <w:rFonts w:ascii="Calibri" w:hAnsi="Calibri" w:cs="Calibri"/>
                <w:lang w:val="en-US"/>
              </w:rPr>
              <w:t xml:space="preserve">MAS and SGX should loosen up and be more transparent about their rules and regulations. In addition, there is a need </w:t>
            </w:r>
            <w:r w:rsidR="001C46AA">
              <w:rPr>
                <w:rFonts w:ascii="Calibri" w:hAnsi="Calibri" w:cs="Calibri"/>
                <w:lang w:val="en-US"/>
              </w:rPr>
              <w:t>for</w:t>
            </w:r>
            <w:r>
              <w:rPr>
                <w:rFonts w:ascii="Calibri" w:hAnsi="Calibri" w:cs="Calibri"/>
                <w:lang w:val="en-US"/>
              </w:rPr>
              <w:t xml:space="preserve"> companies to be more responsive towards corporate governance.</w:t>
            </w:r>
          </w:p>
          <w:p w:rsidR="00644883" w:rsidRDefault="00644883" w:rsidP="000475F4">
            <w:pPr>
              <w:pStyle w:val="BodyText"/>
              <w:numPr>
                <w:ilvl w:val="0"/>
                <w:numId w:val="20"/>
              </w:numPr>
              <w:jc w:val="both"/>
              <w:rPr>
                <w:rFonts w:ascii="Calibri" w:hAnsi="Calibri" w:cs="Calibri"/>
                <w:lang w:val="en-US"/>
              </w:rPr>
            </w:pPr>
            <w:r>
              <w:rPr>
                <w:rFonts w:ascii="Calibri" w:hAnsi="Calibri" w:cs="Calibri"/>
                <w:lang w:val="en-US"/>
              </w:rPr>
              <w:t>Spreading out of AGMs</w:t>
            </w:r>
            <w:r w:rsidR="00FF08C5">
              <w:rPr>
                <w:rFonts w:ascii="Calibri" w:hAnsi="Calibri" w:cs="Calibri"/>
                <w:lang w:val="en-US"/>
              </w:rPr>
              <w:t xml:space="preserve"> -</w:t>
            </w:r>
          </w:p>
          <w:p w:rsidR="00644883" w:rsidRDefault="005527FD" w:rsidP="000475F4">
            <w:pPr>
              <w:pStyle w:val="BodyText"/>
              <w:ind w:left="720"/>
              <w:jc w:val="both"/>
              <w:rPr>
                <w:rFonts w:ascii="Calibri" w:hAnsi="Calibri" w:cs="Calibri"/>
                <w:lang w:val="en-US"/>
              </w:rPr>
            </w:pPr>
            <w:r>
              <w:rPr>
                <w:rFonts w:ascii="Calibri" w:hAnsi="Calibri" w:cs="Calibri"/>
                <w:lang w:val="en-US"/>
              </w:rPr>
              <w:t>The current issue with AGMs is that the</w:t>
            </w:r>
            <w:r w:rsidR="00BC0F8C">
              <w:rPr>
                <w:rFonts w:ascii="Calibri" w:hAnsi="Calibri" w:cs="Calibri"/>
                <w:lang w:val="en-US"/>
              </w:rPr>
              <w:t>y are often clustered together and as a result, many of the voters are unable to attend them.</w:t>
            </w:r>
            <w:r w:rsidR="001603EE">
              <w:rPr>
                <w:rFonts w:ascii="Calibri" w:hAnsi="Calibri" w:cs="Calibri"/>
                <w:lang w:val="en-US"/>
              </w:rPr>
              <w:t xml:space="preserve"> </w:t>
            </w:r>
            <w:r w:rsidR="00706FAB">
              <w:rPr>
                <w:rFonts w:ascii="Calibri" w:hAnsi="Calibri" w:cs="Calibri"/>
                <w:lang w:val="en-US"/>
              </w:rPr>
              <w:t xml:space="preserve">The problem is amplified when the AGMs are taking place in different geographical locations. </w:t>
            </w:r>
            <w:r w:rsidR="001603EE">
              <w:rPr>
                <w:rFonts w:ascii="Calibri" w:hAnsi="Calibri" w:cs="Calibri"/>
                <w:lang w:val="en-US"/>
              </w:rPr>
              <w:t xml:space="preserve">Hence, the companies should be encouraged to </w:t>
            </w:r>
            <w:r w:rsidR="00706FAB">
              <w:rPr>
                <w:rFonts w:ascii="Calibri" w:hAnsi="Calibri" w:cs="Calibri"/>
                <w:lang w:val="en-US"/>
              </w:rPr>
              <w:t xml:space="preserve">be more flexible and to </w:t>
            </w:r>
            <w:r w:rsidR="001603EE">
              <w:rPr>
                <w:rFonts w:ascii="Calibri" w:hAnsi="Calibri" w:cs="Calibri"/>
                <w:lang w:val="en-US"/>
              </w:rPr>
              <w:t xml:space="preserve">spread out the AGMs. </w:t>
            </w:r>
          </w:p>
          <w:p w:rsidR="001D104B" w:rsidRDefault="00DA3148" w:rsidP="000475F4">
            <w:pPr>
              <w:pStyle w:val="BodyText"/>
              <w:ind w:left="720"/>
              <w:jc w:val="both"/>
              <w:rPr>
                <w:rFonts w:ascii="Calibri" w:hAnsi="Calibri" w:cs="Calibri"/>
                <w:lang w:val="en-US"/>
              </w:rPr>
            </w:pPr>
            <w:r>
              <w:rPr>
                <w:rFonts w:ascii="Calibri" w:hAnsi="Calibri" w:cs="Calibri"/>
                <w:lang w:val="en-US"/>
              </w:rPr>
              <w:t xml:space="preserve">A suggestion by Jamie was to first gather the data on AGMs in </w:t>
            </w:r>
            <w:proofErr w:type="gramStart"/>
            <w:r w:rsidR="00EF176D">
              <w:rPr>
                <w:rFonts w:ascii="Calibri" w:hAnsi="Calibri" w:cs="Calibri"/>
                <w:lang w:val="en-US"/>
              </w:rPr>
              <w:t>Singapore,</w:t>
            </w:r>
            <w:proofErr w:type="gramEnd"/>
            <w:r>
              <w:rPr>
                <w:rFonts w:ascii="Calibri" w:hAnsi="Calibri" w:cs="Calibri"/>
                <w:lang w:val="en-US"/>
              </w:rPr>
              <w:t xml:space="preserve"> analyze the trend and decide if there is a problem. If there is, to formulate the solution then.</w:t>
            </w:r>
          </w:p>
          <w:p w:rsidR="001D104B" w:rsidRPr="00B46350" w:rsidRDefault="001D104B" w:rsidP="000475F4">
            <w:pPr>
              <w:pStyle w:val="BodyText"/>
              <w:numPr>
                <w:ilvl w:val="0"/>
                <w:numId w:val="20"/>
              </w:numPr>
              <w:jc w:val="both"/>
              <w:rPr>
                <w:rFonts w:ascii="Calibri" w:hAnsi="Calibri" w:cs="Calibri"/>
                <w:lang w:val="en-US"/>
              </w:rPr>
            </w:pPr>
            <w:r>
              <w:rPr>
                <w:rFonts w:ascii="Calibri" w:hAnsi="Calibri" w:cs="Calibri"/>
                <w:lang w:val="en-US"/>
              </w:rPr>
              <w:t>Clustering of regulatory consultation</w:t>
            </w:r>
            <w:r w:rsidR="00FF08C5">
              <w:rPr>
                <w:rFonts w:ascii="Calibri" w:hAnsi="Calibri" w:cs="Calibri"/>
                <w:lang w:val="en-US"/>
              </w:rPr>
              <w:t xml:space="preserve"> -</w:t>
            </w:r>
          </w:p>
          <w:p w:rsidR="00B60431" w:rsidRDefault="000F2B00" w:rsidP="000475F4">
            <w:pPr>
              <w:pStyle w:val="BodyText"/>
              <w:ind w:left="720"/>
              <w:jc w:val="both"/>
            </w:pPr>
            <w:r>
              <w:rPr>
                <w:lang w:val="en-US"/>
              </w:rPr>
              <w:t>Ideally, there should be some coordination between the regu</w:t>
            </w:r>
            <w:r w:rsidR="004D5FC0">
              <w:rPr>
                <w:lang w:val="en-US"/>
              </w:rPr>
              <w:t>l</w:t>
            </w:r>
            <w:r>
              <w:rPr>
                <w:lang w:val="en-US"/>
              </w:rPr>
              <w:t>ators.</w:t>
            </w:r>
            <w:r w:rsidR="002614E3">
              <w:t xml:space="preserve"> </w:t>
            </w:r>
          </w:p>
          <w:p w:rsidR="001E28BD" w:rsidRDefault="001E28BD" w:rsidP="000475F4">
            <w:pPr>
              <w:pStyle w:val="BodyText"/>
              <w:numPr>
                <w:ilvl w:val="0"/>
                <w:numId w:val="20"/>
              </w:numPr>
              <w:jc w:val="both"/>
            </w:pPr>
            <w:r>
              <w:t>Electronic voting –</w:t>
            </w:r>
          </w:p>
          <w:p w:rsidR="001E28BD" w:rsidRPr="005B2351" w:rsidRDefault="00812F4F" w:rsidP="000475F4">
            <w:pPr>
              <w:pStyle w:val="BodyText"/>
              <w:ind w:left="720"/>
              <w:jc w:val="both"/>
            </w:pPr>
            <w:r>
              <w:t xml:space="preserve">SGX is currently working with </w:t>
            </w:r>
            <w:proofErr w:type="spellStart"/>
            <w:r>
              <w:t>Broadridge</w:t>
            </w:r>
            <w:proofErr w:type="spellEnd"/>
            <w:r>
              <w:t xml:space="preserve"> on</w:t>
            </w:r>
            <w:r w:rsidR="00646805">
              <w:t xml:space="preserve"> the implementation of</w:t>
            </w:r>
            <w:r>
              <w:t xml:space="preserve"> electronic voting for retail shareholders. Electronic voting will help to make the voting process a more efficient one. </w:t>
            </w:r>
            <w:r w:rsidR="009B76BC">
              <w:t>ISO 20022 can also assist to enable a faster and more accountable standard for voting.</w:t>
            </w:r>
          </w:p>
        </w:tc>
      </w:tr>
    </w:tbl>
    <w:p w:rsidR="00862D0C" w:rsidRDefault="00862D0C"/>
    <w:tbl>
      <w:tblPr>
        <w:tblStyle w:val="TableGrid"/>
        <w:tblW w:w="10080" w:type="dxa"/>
        <w:tblInd w:w="108" w:type="dxa"/>
        <w:tblLook w:val="04A0" w:firstRow="1" w:lastRow="0" w:firstColumn="1" w:lastColumn="0" w:noHBand="0" w:noVBand="1"/>
      </w:tblPr>
      <w:tblGrid>
        <w:gridCol w:w="10080"/>
      </w:tblGrid>
      <w:tr w:rsidR="00992A7A" w:rsidRPr="00D51299" w:rsidTr="00FA48B4">
        <w:tc>
          <w:tcPr>
            <w:tcW w:w="10080" w:type="dxa"/>
            <w:tcBorders>
              <w:top w:val="single" w:sz="4" w:space="0" w:color="auto"/>
              <w:left w:val="single" w:sz="4" w:space="0" w:color="auto"/>
              <w:bottom w:val="single" w:sz="4" w:space="0" w:color="auto"/>
              <w:right w:val="single" w:sz="4" w:space="0" w:color="auto"/>
            </w:tcBorders>
            <w:hideMark/>
          </w:tcPr>
          <w:p w:rsidR="00992A7A" w:rsidRPr="00992A7A" w:rsidRDefault="00992A7A" w:rsidP="00FA48B4">
            <w:pPr>
              <w:pStyle w:val="BodyText"/>
              <w:rPr>
                <w:rFonts w:cs="Arial"/>
                <w:b/>
              </w:rPr>
            </w:pPr>
            <w:r w:rsidRPr="00992A7A">
              <w:rPr>
                <w:rFonts w:cs="Arial"/>
                <w:b/>
              </w:rPr>
              <w:t>ACTION ITEMS</w:t>
            </w:r>
          </w:p>
        </w:tc>
      </w:tr>
      <w:tr w:rsidR="00992A7A" w:rsidRPr="00D51299" w:rsidTr="00FA48B4">
        <w:tc>
          <w:tcPr>
            <w:tcW w:w="10080" w:type="dxa"/>
            <w:tcBorders>
              <w:top w:val="single" w:sz="4" w:space="0" w:color="auto"/>
              <w:left w:val="single" w:sz="4" w:space="0" w:color="auto"/>
              <w:bottom w:val="single" w:sz="4" w:space="0" w:color="auto"/>
              <w:right w:val="single" w:sz="4" w:space="0" w:color="auto"/>
            </w:tcBorders>
          </w:tcPr>
          <w:p w:rsidR="00992A7A" w:rsidRPr="00874501" w:rsidRDefault="00992A7A" w:rsidP="00992A7A">
            <w:pPr>
              <w:pStyle w:val="BodyText"/>
              <w:numPr>
                <w:ilvl w:val="0"/>
                <w:numId w:val="23"/>
              </w:numPr>
              <w:jc w:val="both"/>
              <w:rPr>
                <w:rFonts w:ascii="Calibri" w:hAnsi="Calibri" w:cs="Calibri"/>
                <w:u w:val="single"/>
              </w:rPr>
            </w:pPr>
            <w:r w:rsidRPr="00874501">
              <w:rPr>
                <w:rFonts w:ascii="Calibri" w:hAnsi="Calibri" w:cs="Calibri"/>
              </w:rPr>
              <w:lastRenderedPageBreak/>
              <w:t>For the CA transformation initiative, all SG NMPG members are to check internally with their organisations to find out if they are prepared to work with SGX on the formatting of the required information.</w:t>
            </w:r>
          </w:p>
          <w:p w:rsidR="00992A7A" w:rsidRPr="00874501" w:rsidRDefault="00992A7A" w:rsidP="00992A7A">
            <w:pPr>
              <w:pStyle w:val="BodyText"/>
              <w:numPr>
                <w:ilvl w:val="0"/>
                <w:numId w:val="23"/>
              </w:numPr>
              <w:jc w:val="both"/>
              <w:rPr>
                <w:rFonts w:ascii="Calibri" w:hAnsi="Calibri" w:cs="Calibri"/>
                <w:u w:val="single"/>
              </w:rPr>
            </w:pPr>
            <w:r w:rsidRPr="00874501">
              <w:rPr>
                <w:rFonts w:ascii="Calibri" w:hAnsi="Calibri" w:cs="Calibri"/>
              </w:rPr>
              <w:t xml:space="preserve">The Communication Sub-Committee is to obtain the registrars list and to provide updates on their progress before the next SG NMPG meeting. </w:t>
            </w:r>
          </w:p>
          <w:p w:rsidR="00992A7A" w:rsidRPr="00874501" w:rsidRDefault="00992A7A" w:rsidP="00992A7A">
            <w:pPr>
              <w:pStyle w:val="BodyText"/>
              <w:numPr>
                <w:ilvl w:val="0"/>
                <w:numId w:val="23"/>
              </w:numPr>
              <w:jc w:val="both"/>
              <w:rPr>
                <w:rFonts w:ascii="Calibri" w:hAnsi="Calibri" w:cs="Calibri"/>
                <w:u w:val="single"/>
              </w:rPr>
            </w:pPr>
            <w:r w:rsidRPr="00874501">
              <w:rPr>
                <w:rFonts w:ascii="Calibri" w:hAnsi="Calibri" w:cs="Calibri"/>
              </w:rPr>
              <w:t>The Advocacy Sub-Committee is to fix a date for the next meeting with SGX to further the discussion on CSD fees for various markets. This group should meet with some one more senior in SGX for this meeting.</w:t>
            </w:r>
          </w:p>
          <w:p w:rsidR="00992A7A" w:rsidRPr="00874501" w:rsidRDefault="00992A7A" w:rsidP="00992A7A">
            <w:pPr>
              <w:pStyle w:val="BodyText"/>
              <w:numPr>
                <w:ilvl w:val="0"/>
                <w:numId w:val="23"/>
              </w:numPr>
              <w:jc w:val="both"/>
              <w:rPr>
                <w:rFonts w:ascii="Calibri" w:hAnsi="Calibri" w:cs="Calibri"/>
              </w:rPr>
            </w:pPr>
            <w:r w:rsidRPr="00874501">
              <w:rPr>
                <w:rFonts w:ascii="Calibri" w:hAnsi="Calibri" w:cs="Calibri"/>
              </w:rPr>
              <w:t>The names for the SG S &amp; R WG need to be firmed up by the next SG NMPG meeting.</w:t>
            </w:r>
          </w:p>
          <w:p w:rsidR="00992A7A" w:rsidRPr="00874501" w:rsidRDefault="00992A7A" w:rsidP="00992A7A">
            <w:pPr>
              <w:pStyle w:val="BodyText"/>
              <w:numPr>
                <w:ilvl w:val="0"/>
                <w:numId w:val="23"/>
              </w:numPr>
              <w:jc w:val="both"/>
              <w:rPr>
                <w:rFonts w:ascii="Calibri" w:hAnsi="Calibri" w:cs="Calibri"/>
              </w:rPr>
            </w:pPr>
            <w:r w:rsidRPr="00874501">
              <w:rPr>
                <w:rFonts w:ascii="Calibri" w:hAnsi="Calibri" w:cs="Calibri"/>
              </w:rPr>
              <w:t>All the SG NMPG members are to review the IPO Global MP document and revert on the specificities of the IPO MP in SG which differ from the global MP.</w:t>
            </w:r>
          </w:p>
          <w:p w:rsidR="00992A7A" w:rsidRPr="00874501" w:rsidRDefault="00992A7A" w:rsidP="00992A7A">
            <w:pPr>
              <w:pStyle w:val="BodyText"/>
              <w:numPr>
                <w:ilvl w:val="0"/>
                <w:numId w:val="23"/>
              </w:numPr>
              <w:jc w:val="both"/>
              <w:rPr>
                <w:rFonts w:ascii="Calibri" w:hAnsi="Calibri" w:cs="Calibri"/>
              </w:rPr>
            </w:pPr>
            <w:r w:rsidRPr="00874501">
              <w:rPr>
                <w:rFonts w:ascii="Calibri" w:hAnsi="Calibri" w:cs="Calibri"/>
              </w:rPr>
              <w:t>SG NMPG is to add the requirements for Singapore onto the Settlement MP Summary file published on the Global SMPG website.</w:t>
            </w:r>
          </w:p>
          <w:p w:rsidR="00992A7A" w:rsidRPr="00874501" w:rsidRDefault="00992A7A" w:rsidP="00992A7A">
            <w:pPr>
              <w:pStyle w:val="BodyText"/>
              <w:numPr>
                <w:ilvl w:val="0"/>
                <w:numId w:val="23"/>
              </w:numPr>
              <w:jc w:val="both"/>
              <w:rPr>
                <w:rFonts w:ascii="Calibri" w:hAnsi="Calibri" w:cs="Calibri"/>
              </w:rPr>
            </w:pPr>
            <w:r w:rsidRPr="00874501">
              <w:rPr>
                <w:rFonts w:ascii="Calibri" w:hAnsi="Calibri" w:cs="Calibri"/>
              </w:rPr>
              <w:t>Anthony is to obtain SGX’s updates on their BCP plans and share with the Group.</w:t>
            </w:r>
          </w:p>
          <w:p w:rsidR="00992A7A" w:rsidRPr="00874501" w:rsidRDefault="00992A7A" w:rsidP="00992A7A">
            <w:pPr>
              <w:pStyle w:val="BodyText"/>
              <w:numPr>
                <w:ilvl w:val="0"/>
                <w:numId w:val="23"/>
              </w:numPr>
              <w:jc w:val="both"/>
              <w:rPr>
                <w:rFonts w:ascii="Calibri" w:hAnsi="Calibri" w:cs="Calibri"/>
              </w:rPr>
            </w:pPr>
            <w:r w:rsidRPr="00874501">
              <w:rPr>
                <w:rFonts w:ascii="Calibri" w:hAnsi="Calibri" w:cs="Calibri"/>
              </w:rPr>
              <w:t xml:space="preserve">Anthony is to arrange a meeting with </w:t>
            </w:r>
            <w:proofErr w:type="spellStart"/>
            <w:r w:rsidR="006A57BB">
              <w:rPr>
                <w:rFonts w:ascii="Calibri" w:hAnsi="Calibri" w:cs="Calibri"/>
              </w:rPr>
              <w:t>Ramu</w:t>
            </w:r>
            <w:proofErr w:type="spellEnd"/>
            <w:r w:rsidRPr="00874501">
              <w:rPr>
                <w:rFonts w:ascii="Calibri" w:hAnsi="Calibri" w:cs="Calibri"/>
              </w:rPr>
              <w:t xml:space="preserve"> from SGX to share with him the updates on SG NMPG.</w:t>
            </w:r>
          </w:p>
          <w:p w:rsidR="00992A7A" w:rsidRPr="00874501" w:rsidRDefault="00992A7A" w:rsidP="00992A7A">
            <w:pPr>
              <w:pStyle w:val="BodyText"/>
              <w:numPr>
                <w:ilvl w:val="0"/>
                <w:numId w:val="23"/>
              </w:numPr>
              <w:jc w:val="both"/>
              <w:rPr>
                <w:rFonts w:ascii="Calibri" w:hAnsi="Calibri" w:cs="Calibri"/>
              </w:rPr>
            </w:pPr>
            <w:r w:rsidRPr="00874501">
              <w:rPr>
                <w:rFonts w:ascii="Calibri" w:hAnsi="Calibri" w:cs="Calibri"/>
              </w:rPr>
              <w:t>The Terms of Reference for SG NMPG are to be officially documented.</w:t>
            </w:r>
          </w:p>
          <w:p w:rsidR="00992A7A" w:rsidRPr="00992A7A" w:rsidRDefault="00992A7A" w:rsidP="00992A7A">
            <w:pPr>
              <w:pStyle w:val="ListParagraph"/>
              <w:numPr>
                <w:ilvl w:val="0"/>
                <w:numId w:val="23"/>
              </w:numPr>
              <w:jc w:val="both"/>
              <w:rPr>
                <w:rFonts w:asciiTheme="minorHAnsi" w:eastAsia="Times New Roman" w:hAnsiTheme="minorHAnsi"/>
                <w:sz w:val="22"/>
                <w:szCs w:val="22"/>
              </w:rPr>
            </w:pPr>
            <w:r w:rsidRPr="00874501">
              <w:rPr>
                <w:rFonts w:ascii="Calibri" w:hAnsi="Calibri" w:cs="Calibri"/>
                <w:sz w:val="22"/>
                <w:szCs w:val="22"/>
              </w:rPr>
              <w:t xml:space="preserve">Anthony is to send out the nomination form to the Group for interested parties to apply for the role of the SG NMPG </w:t>
            </w:r>
            <w:proofErr w:type="gramStart"/>
            <w:r w:rsidRPr="00874501">
              <w:rPr>
                <w:rFonts w:ascii="Calibri" w:hAnsi="Calibri" w:cs="Calibri"/>
                <w:sz w:val="22"/>
                <w:szCs w:val="22"/>
              </w:rPr>
              <w:t>Vice</w:t>
            </w:r>
            <w:proofErr w:type="gramEnd"/>
            <w:r w:rsidRPr="00874501">
              <w:rPr>
                <w:rFonts w:ascii="Calibri" w:hAnsi="Calibri" w:cs="Calibri"/>
                <w:sz w:val="22"/>
                <w:szCs w:val="22"/>
              </w:rPr>
              <w:t xml:space="preserve"> Chair.</w:t>
            </w:r>
          </w:p>
        </w:tc>
      </w:tr>
    </w:tbl>
    <w:p w:rsidR="00992A7A" w:rsidRDefault="00992A7A"/>
    <w:sectPr w:rsidR="00992A7A" w:rsidSect="00F11A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57A4F17"/>
    <w:multiLevelType w:val="hybridMultilevel"/>
    <w:tmpl w:val="1C82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23682"/>
    <w:multiLevelType w:val="hybridMultilevel"/>
    <w:tmpl w:val="D9926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A7A10"/>
    <w:multiLevelType w:val="hybridMultilevel"/>
    <w:tmpl w:val="F9083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9088E"/>
    <w:multiLevelType w:val="hybridMultilevel"/>
    <w:tmpl w:val="01625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D2655A5"/>
    <w:multiLevelType w:val="hybridMultilevel"/>
    <w:tmpl w:val="E0E8C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9C6D89"/>
    <w:multiLevelType w:val="hybridMultilevel"/>
    <w:tmpl w:val="F040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11E59"/>
    <w:multiLevelType w:val="hybridMultilevel"/>
    <w:tmpl w:val="AB487A76"/>
    <w:lvl w:ilvl="0" w:tplc="63B819CA">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7">
    <w:nsid w:val="38817855"/>
    <w:multiLevelType w:val="hybridMultilevel"/>
    <w:tmpl w:val="5DC61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A3E3A"/>
    <w:multiLevelType w:val="hybridMultilevel"/>
    <w:tmpl w:val="8D0ED492"/>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044285E"/>
    <w:multiLevelType w:val="hybridMultilevel"/>
    <w:tmpl w:val="EBFCD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B19A8"/>
    <w:multiLevelType w:val="hybridMultilevel"/>
    <w:tmpl w:val="9C608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60FBE"/>
    <w:multiLevelType w:val="hybridMultilevel"/>
    <w:tmpl w:val="42B80AA0"/>
    <w:lvl w:ilvl="0" w:tplc="7F7C24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E30A6"/>
    <w:multiLevelType w:val="hybridMultilevel"/>
    <w:tmpl w:val="54C22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8711C"/>
    <w:multiLevelType w:val="hybridMultilevel"/>
    <w:tmpl w:val="0022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54689F"/>
    <w:multiLevelType w:val="hybridMultilevel"/>
    <w:tmpl w:val="A5007A82"/>
    <w:lvl w:ilvl="0" w:tplc="0B08956A">
      <w:start w:val="1"/>
      <w:numFmt w:val="lowerLetter"/>
      <w:lvlText w:val="%1)"/>
      <w:lvlJc w:val="left"/>
      <w:pPr>
        <w:ind w:left="885" w:hanging="525"/>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B7655"/>
    <w:multiLevelType w:val="hybridMultilevel"/>
    <w:tmpl w:val="DF52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5031B"/>
    <w:multiLevelType w:val="hybridMultilevel"/>
    <w:tmpl w:val="B1269C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11049"/>
    <w:multiLevelType w:val="hybridMultilevel"/>
    <w:tmpl w:val="F5B49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A737D5"/>
    <w:multiLevelType w:val="hybridMultilevel"/>
    <w:tmpl w:val="F05C83CC"/>
    <w:lvl w:ilvl="0" w:tplc="B6AEB694">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19">
    <w:nsid w:val="685425BA"/>
    <w:multiLevelType w:val="hybridMultilevel"/>
    <w:tmpl w:val="A86E0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73325E"/>
    <w:multiLevelType w:val="hybridMultilevel"/>
    <w:tmpl w:val="FEE6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BD3239"/>
    <w:multiLevelType w:val="hybridMultilevel"/>
    <w:tmpl w:val="F9D6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1"/>
  </w:num>
  <w:num w:numId="7">
    <w:abstractNumId w:val="4"/>
  </w:num>
  <w:num w:numId="8">
    <w:abstractNumId w:val="20"/>
  </w:num>
  <w:num w:numId="9">
    <w:abstractNumId w:val="7"/>
  </w:num>
  <w:num w:numId="10">
    <w:abstractNumId w:val="9"/>
  </w:num>
  <w:num w:numId="11">
    <w:abstractNumId w:val="8"/>
  </w:num>
  <w:num w:numId="12">
    <w:abstractNumId w:val="8"/>
  </w:num>
  <w:num w:numId="13">
    <w:abstractNumId w:val="0"/>
  </w:num>
  <w:num w:numId="14">
    <w:abstractNumId w:val="21"/>
  </w:num>
  <w:num w:numId="15">
    <w:abstractNumId w:val="13"/>
  </w:num>
  <w:num w:numId="16">
    <w:abstractNumId w:val="16"/>
  </w:num>
  <w:num w:numId="17">
    <w:abstractNumId w:val="14"/>
  </w:num>
  <w:num w:numId="18">
    <w:abstractNumId w:val="15"/>
  </w:num>
  <w:num w:numId="19">
    <w:abstractNumId w:val="5"/>
  </w:num>
  <w:num w:numId="20">
    <w:abstractNumId w:val="10"/>
  </w:num>
  <w:num w:numId="21">
    <w:abstractNumId w:val="2"/>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D"/>
    <w:rsid w:val="000047A9"/>
    <w:rsid w:val="000141AD"/>
    <w:rsid w:val="00035F87"/>
    <w:rsid w:val="000475F4"/>
    <w:rsid w:val="00057EBB"/>
    <w:rsid w:val="000653D8"/>
    <w:rsid w:val="0007597B"/>
    <w:rsid w:val="000942E2"/>
    <w:rsid w:val="00097BDA"/>
    <w:rsid w:val="000A2003"/>
    <w:rsid w:val="000A6C43"/>
    <w:rsid w:val="000C71E0"/>
    <w:rsid w:val="000D6FC8"/>
    <w:rsid w:val="000E0E1A"/>
    <w:rsid w:val="000E2F86"/>
    <w:rsid w:val="000F2216"/>
    <w:rsid w:val="000F2B00"/>
    <w:rsid w:val="000F7693"/>
    <w:rsid w:val="001061CC"/>
    <w:rsid w:val="001116C6"/>
    <w:rsid w:val="00112776"/>
    <w:rsid w:val="00124FC0"/>
    <w:rsid w:val="00126379"/>
    <w:rsid w:val="001519ED"/>
    <w:rsid w:val="001534F4"/>
    <w:rsid w:val="00155EF9"/>
    <w:rsid w:val="001603EE"/>
    <w:rsid w:val="001645D1"/>
    <w:rsid w:val="00171DDA"/>
    <w:rsid w:val="001757FB"/>
    <w:rsid w:val="001922D5"/>
    <w:rsid w:val="00193838"/>
    <w:rsid w:val="001A61A3"/>
    <w:rsid w:val="001C23BE"/>
    <w:rsid w:val="001C36F1"/>
    <w:rsid w:val="001C46AA"/>
    <w:rsid w:val="001D104B"/>
    <w:rsid w:val="001D2273"/>
    <w:rsid w:val="001E28BD"/>
    <w:rsid w:val="001F3B40"/>
    <w:rsid w:val="00217156"/>
    <w:rsid w:val="002211F0"/>
    <w:rsid w:val="002410A6"/>
    <w:rsid w:val="00242E51"/>
    <w:rsid w:val="00244040"/>
    <w:rsid w:val="002614E3"/>
    <w:rsid w:val="00264F55"/>
    <w:rsid w:val="002672D7"/>
    <w:rsid w:val="00275B2D"/>
    <w:rsid w:val="00283576"/>
    <w:rsid w:val="00287A8F"/>
    <w:rsid w:val="00287D02"/>
    <w:rsid w:val="002C43AF"/>
    <w:rsid w:val="002E73CA"/>
    <w:rsid w:val="0030039C"/>
    <w:rsid w:val="003009D4"/>
    <w:rsid w:val="00320968"/>
    <w:rsid w:val="00321388"/>
    <w:rsid w:val="003314A8"/>
    <w:rsid w:val="0033587B"/>
    <w:rsid w:val="00375BF6"/>
    <w:rsid w:val="00376B8E"/>
    <w:rsid w:val="00380385"/>
    <w:rsid w:val="003821BC"/>
    <w:rsid w:val="00390CCC"/>
    <w:rsid w:val="00393594"/>
    <w:rsid w:val="003936A7"/>
    <w:rsid w:val="003A4DAB"/>
    <w:rsid w:val="003B46B5"/>
    <w:rsid w:val="003B5F0B"/>
    <w:rsid w:val="003B7CB6"/>
    <w:rsid w:val="003C1C18"/>
    <w:rsid w:val="003D0ACA"/>
    <w:rsid w:val="003E27C1"/>
    <w:rsid w:val="003F5F02"/>
    <w:rsid w:val="003F7F3C"/>
    <w:rsid w:val="004000E3"/>
    <w:rsid w:val="00401784"/>
    <w:rsid w:val="00404C0C"/>
    <w:rsid w:val="00411BF1"/>
    <w:rsid w:val="00427C5D"/>
    <w:rsid w:val="004335CC"/>
    <w:rsid w:val="004377DF"/>
    <w:rsid w:val="0044143E"/>
    <w:rsid w:val="00443753"/>
    <w:rsid w:val="00446204"/>
    <w:rsid w:val="00471E0B"/>
    <w:rsid w:val="0048251A"/>
    <w:rsid w:val="00491736"/>
    <w:rsid w:val="004A0D9B"/>
    <w:rsid w:val="004C072A"/>
    <w:rsid w:val="004C3A19"/>
    <w:rsid w:val="004D5FC0"/>
    <w:rsid w:val="004F7B8C"/>
    <w:rsid w:val="005020D5"/>
    <w:rsid w:val="00502A34"/>
    <w:rsid w:val="00502F47"/>
    <w:rsid w:val="00502F5C"/>
    <w:rsid w:val="005174D1"/>
    <w:rsid w:val="005263CF"/>
    <w:rsid w:val="005527FD"/>
    <w:rsid w:val="005806AE"/>
    <w:rsid w:val="0058187A"/>
    <w:rsid w:val="00585DD2"/>
    <w:rsid w:val="00592292"/>
    <w:rsid w:val="00594E69"/>
    <w:rsid w:val="00597371"/>
    <w:rsid w:val="005A6690"/>
    <w:rsid w:val="005A6C98"/>
    <w:rsid w:val="005B2351"/>
    <w:rsid w:val="005B32EF"/>
    <w:rsid w:val="005C13A7"/>
    <w:rsid w:val="005E1148"/>
    <w:rsid w:val="005F00B3"/>
    <w:rsid w:val="00617272"/>
    <w:rsid w:val="00620BB1"/>
    <w:rsid w:val="006447A2"/>
    <w:rsid w:val="00644883"/>
    <w:rsid w:val="00644FD9"/>
    <w:rsid w:val="0064501D"/>
    <w:rsid w:val="00646805"/>
    <w:rsid w:val="006561A1"/>
    <w:rsid w:val="006803A7"/>
    <w:rsid w:val="00681EAB"/>
    <w:rsid w:val="00683D37"/>
    <w:rsid w:val="006924BC"/>
    <w:rsid w:val="006A57BB"/>
    <w:rsid w:val="006A6520"/>
    <w:rsid w:val="006B5957"/>
    <w:rsid w:val="006D502C"/>
    <w:rsid w:val="006E417B"/>
    <w:rsid w:val="006E754B"/>
    <w:rsid w:val="006F4CD2"/>
    <w:rsid w:val="00703217"/>
    <w:rsid w:val="00703E3D"/>
    <w:rsid w:val="00706FAB"/>
    <w:rsid w:val="00713724"/>
    <w:rsid w:val="0071749D"/>
    <w:rsid w:val="00724C08"/>
    <w:rsid w:val="00727695"/>
    <w:rsid w:val="007341DA"/>
    <w:rsid w:val="00771BDB"/>
    <w:rsid w:val="00782ACB"/>
    <w:rsid w:val="00784B03"/>
    <w:rsid w:val="00785307"/>
    <w:rsid w:val="00790435"/>
    <w:rsid w:val="00793148"/>
    <w:rsid w:val="007B371E"/>
    <w:rsid w:val="007B412A"/>
    <w:rsid w:val="007C4C7D"/>
    <w:rsid w:val="007C79E4"/>
    <w:rsid w:val="007F58EC"/>
    <w:rsid w:val="008006FF"/>
    <w:rsid w:val="0080347A"/>
    <w:rsid w:val="008052F7"/>
    <w:rsid w:val="00812F4F"/>
    <w:rsid w:val="00825B85"/>
    <w:rsid w:val="008305EC"/>
    <w:rsid w:val="00842EC2"/>
    <w:rsid w:val="008431DB"/>
    <w:rsid w:val="00845363"/>
    <w:rsid w:val="00855D83"/>
    <w:rsid w:val="008608C7"/>
    <w:rsid w:val="00862D0C"/>
    <w:rsid w:val="00874501"/>
    <w:rsid w:val="00895DFF"/>
    <w:rsid w:val="00897071"/>
    <w:rsid w:val="008B626C"/>
    <w:rsid w:val="008C2C8B"/>
    <w:rsid w:val="008F35D8"/>
    <w:rsid w:val="009002A6"/>
    <w:rsid w:val="00911C67"/>
    <w:rsid w:val="009164C5"/>
    <w:rsid w:val="00961CFF"/>
    <w:rsid w:val="00967C62"/>
    <w:rsid w:val="00973904"/>
    <w:rsid w:val="009829ED"/>
    <w:rsid w:val="00992A7A"/>
    <w:rsid w:val="00994E0B"/>
    <w:rsid w:val="009976A0"/>
    <w:rsid w:val="009A72DE"/>
    <w:rsid w:val="009B76BC"/>
    <w:rsid w:val="009D3CE6"/>
    <w:rsid w:val="009D4366"/>
    <w:rsid w:val="009D4947"/>
    <w:rsid w:val="009E7880"/>
    <w:rsid w:val="009F36A4"/>
    <w:rsid w:val="00A10F90"/>
    <w:rsid w:val="00A13857"/>
    <w:rsid w:val="00A15F80"/>
    <w:rsid w:val="00A236B0"/>
    <w:rsid w:val="00A31C9F"/>
    <w:rsid w:val="00A326A1"/>
    <w:rsid w:val="00A44B3E"/>
    <w:rsid w:val="00A5287F"/>
    <w:rsid w:val="00A55F33"/>
    <w:rsid w:val="00A60608"/>
    <w:rsid w:val="00A74AFD"/>
    <w:rsid w:val="00A822DC"/>
    <w:rsid w:val="00A91671"/>
    <w:rsid w:val="00A956DB"/>
    <w:rsid w:val="00AB3067"/>
    <w:rsid w:val="00B27CC9"/>
    <w:rsid w:val="00B31C05"/>
    <w:rsid w:val="00B4433F"/>
    <w:rsid w:val="00B46350"/>
    <w:rsid w:val="00B60431"/>
    <w:rsid w:val="00BA2AA3"/>
    <w:rsid w:val="00BA35ED"/>
    <w:rsid w:val="00BA6E50"/>
    <w:rsid w:val="00BC0F8C"/>
    <w:rsid w:val="00BC300A"/>
    <w:rsid w:val="00BF42B2"/>
    <w:rsid w:val="00C02257"/>
    <w:rsid w:val="00C1259B"/>
    <w:rsid w:val="00C16302"/>
    <w:rsid w:val="00C17FB4"/>
    <w:rsid w:val="00C17FE3"/>
    <w:rsid w:val="00C244C5"/>
    <w:rsid w:val="00C32907"/>
    <w:rsid w:val="00C37F07"/>
    <w:rsid w:val="00C52BD5"/>
    <w:rsid w:val="00C57BEB"/>
    <w:rsid w:val="00C93954"/>
    <w:rsid w:val="00CB4E60"/>
    <w:rsid w:val="00CB677B"/>
    <w:rsid w:val="00CD204B"/>
    <w:rsid w:val="00CD3712"/>
    <w:rsid w:val="00CE4516"/>
    <w:rsid w:val="00CF4FFC"/>
    <w:rsid w:val="00CF65A6"/>
    <w:rsid w:val="00D14FE7"/>
    <w:rsid w:val="00D272A5"/>
    <w:rsid w:val="00D47097"/>
    <w:rsid w:val="00D47FC9"/>
    <w:rsid w:val="00D512A8"/>
    <w:rsid w:val="00D64656"/>
    <w:rsid w:val="00D66A01"/>
    <w:rsid w:val="00D67F60"/>
    <w:rsid w:val="00D81696"/>
    <w:rsid w:val="00D95E10"/>
    <w:rsid w:val="00D970DA"/>
    <w:rsid w:val="00D97C13"/>
    <w:rsid w:val="00DA3148"/>
    <w:rsid w:val="00DA6FBF"/>
    <w:rsid w:val="00DB7B05"/>
    <w:rsid w:val="00DC13B8"/>
    <w:rsid w:val="00DD30C6"/>
    <w:rsid w:val="00DD3E2B"/>
    <w:rsid w:val="00DD41FD"/>
    <w:rsid w:val="00E06101"/>
    <w:rsid w:val="00E211FA"/>
    <w:rsid w:val="00E3311A"/>
    <w:rsid w:val="00E46784"/>
    <w:rsid w:val="00E46C72"/>
    <w:rsid w:val="00E60D80"/>
    <w:rsid w:val="00E821FE"/>
    <w:rsid w:val="00E8721C"/>
    <w:rsid w:val="00E9171E"/>
    <w:rsid w:val="00EA1B5B"/>
    <w:rsid w:val="00EA5F2F"/>
    <w:rsid w:val="00EA70C9"/>
    <w:rsid w:val="00EA7D54"/>
    <w:rsid w:val="00EB33C2"/>
    <w:rsid w:val="00EC7E01"/>
    <w:rsid w:val="00EF176D"/>
    <w:rsid w:val="00F115E9"/>
    <w:rsid w:val="00F11A1E"/>
    <w:rsid w:val="00F156E1"/>
    <w:rsid w:val="00F1759A"/>
    <w:rsid w:val="00F23BEF"/>
    <w:rsid w:val="00F6162D"/>
    <w:rsid w:val="00F61B68"/>
    <w:rsid w:val="00F85DE7"/>
    <w:rsid w:val="00F95975"/>
    <w:rsid w:val="00FA15E5"/>
    <w:rsid w:val="00FB17F4"/>
    <w:rsid w:val="00FD48A8"/>
    <w:rsid w:val="00FE082A"/>
    <w:rsid w:val="00FE6624"/>
    <w:rsid w:val="00FF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1882">
      <w:bodyDiv w:val="1"/>
      <w:marLeft w:val="0"/>
      <w:marRight w:val="0"/>
      <w:marTop w:val="0"/>
      <w:marBottom w:val="0"/>
      <w:divBdr>
        <w:top w:val="none" w:sz="0" w:space="0" w:color="auto"/>
        <w:left w:val="none" w:sz="0" w:space="0" w:color="auto"/>
        <w:bottom w:val="none" w:sz="0" w:space="0" w:color="auto"/>
        <w:right w:val="none" w:sz="0" w:space="0" w:color="auto"/>
      </w:divBdr>
    </w:div>
    <w:div w:id="1195071788">
      <w:bodyDiv w:val="1"/>
      <w:marLeft w:val="0"/>
      <w:marRight w:val="0"/>
      <w:marTop w:val="0"/>
      <w:marBottom w:val="0"/>
      <w:divBdr>
        <w:top w:val="none" w:sz="0" w:space="0" w:color="auto"/>
        <w:left w:val="none" w:sz="0" w:space="0" w:color="auto"/>
        <w:bottom w:val="none" w:sz="0" w:space="0" w:color="auto"/>
        <w:right w:val="none" w:sz="0" w:space="0" w:color="auto"/>
      </w:divBdr>
    </w:div>
    <w:div w:id="1374769171">
      <w:bodyDiv w:val="1"/>
      <w:marLeft w:val="0"/>
      <w:marRight w:val="0"/>
      <w:marTop w:val="0"/>
      <w:marBottom w:val="0"/>
      <w:divBdr>
        <w:top w:val="none" w:sz="0" w:space="0" w:color="auto"/>
        <w:left w:val="none" w:sz="0" w:space="0" w:color="auto"/>
        <w:bottom w:val="none" w:sz="0" w:space="0" w:color="auto"/>
        <w:right w:val="none" w:sz="0" w:space="0" w:color="auto"/>
      </w:divBdr>
    </w:div>
    <w:div w:id="1819759485">
      <w:bodyDiv w:val="1"/>
      <w:marLeft w:val="0"/>
      <w:marRight w:val="0"/>
      <w:marTop w:val="0"/>
      <w:marBottom w:val="0"/>
      <w:divBdr>
        <w:top w:val="none" w:sz="0" w:space="0" w:color="auto"/>
        <w:left w:val="none" w:sz="0" w:space="0" w:color="auto"/>
        <w:bottom w:val="none" w:sz="0" w:space="0" w:color="auto"/>
        <w:right w:val="none" w:sz="0" w:space="0" w:color="auto"/>
      </w:divBdr>
    </w:div>
    <w:div w:id="1889565089">
      <w:bodyDiv w:val="1"/>
      <w:marLeft w:val="0"/>
      <w:marRight w:val="0"/>
      <w:marTop w:val="0"/>
      <w:marBottom w:val="0"/>
      <w:divBdr>
        <w:top w:val="none" w:sz="0" w:space="0" w:color="auto"/>
        <w:left w:val="none" w:sz="0" w:space="0" w:color="auto"/>
        <w:bottom w:val="none" w:sz="0" w:space="0" w:color="auto"/>
        <w:right w:val="none" w:sz="0" w:space="0" w:color="auto"/>
      </w:divBdr>
    </w:div>
    <w:div w:id="1958098802">
      <w:bodyDiv w:val="1"/>
      <w:marLeft w:val="0"/>
      <w:marRight w:val="0"/>
      <w:marTop w:val="0"/>
      <w:marBottom w:val="0"/>
      <w:divBdr>
        <w:top w:val="none" w:sz="0" w:space="0" w:color="auto"/>
        <w:left w:val="none" w:sz="0" w:space="0" w:color="auto"/>
        <w:bottom w:val="none" w:sz="0" w:space="0" w:color="auto"/>
        <w:right w:val="none" w:sz="0" w:space="0" w:color="auto"/>
      </w:divBdr>
    </w:div>
    <w:div w:id="2040813086">
      <w:bodyDiv w:val="1"/>
      <w:marLeft w:val="0"/>
      <w:marRight w:val="0"/>
      <w:marTop w:val="0"/>
      <w:marBottom w:val="0"/>
      <w:divBdr>
        <w:top w:val="none" w:sz="0" w:space="0" w:color="auto"/>
        <w:left w:val="none" w:sz="0" w:space="0" w:color="auto"/>
        <w:bottom w:val="none" w:sz="0" w:space="0" w:color="auto"/>
        <w:right w:val="none" w:sz="0" w:space="0" w:color="auto"/>
      </w:divBdr>
    </w:div>
    <w:div w:id="21452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F6BB-4B00-4702-A6B8-C1B8F4FD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1917</Words>
  <Characters>10928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 Cindy</dc:creator>
  <cp:lastModifiedBy>FOO Cindy</cp:lastModifiedBy>
  <cp:revision>2</cp:revision>
  <dcterms:created xsi:type="dcterms:W3CDTF">2013-06-03T07:38:00Z</dcterms:created>
  <dcterms:modified xsi:type="dcterms:W3CDTF">2013-06-03T07:38:00Z</dcterms:modified>
</cp:coreProperties>
</file>