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03" w:rsidRPr="002F1FB6" w:rsidRDefault="00F77993" w:rsidP="00202003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</w:t>
      </w:r>
      <w:r w:rsidRPr="00F77993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</w:t>
      </w:r>
      <w:r w:rsidR="004C588E">
        <w:rPr>
          <w:b/>
          <w:bCs/>
          <w:sz w:val="28"/>
          <w:szCs w:val="28"/>
        </w:rPr>
        <w:t>Shanghai Hong Kong Stock Connect</w:t>
      </w:r>
      <w:r w:rsidR="00202003" w:rsidRPr="002F1FB6">
        <w:rPr>
          <w:b/>
          <w:bCs/>
          <w:sz w:val="28"/>
          <w:szCs w:val="28"/>
        </w:rPr>
        <w:t xml:space="preserve"> meeting </w:t>
      </w:r>
      <w:r w:rsidR="004C588E">
        <w:rPr>
          <w:b/>
          <w:bCs/>
          <w:sz w:val="28"/>
          <w:szCs w:val="28"/>
        </w:rPr>
        <w:t>summary</w:t>
      </w:r>
    </w:p>
    <w:p w:rsidR="002F1FB6" w:rsidRDefault="002F1FB6" w:rsidP="00202003">
      <w:pPr>
        <w:pStyle w:val="Default"/>
        <w:rPr>
          <w:b/>
          <w:bCs/>
          <w:sz w:val="22"/>
          <w:szCs w:val="22"/>
        </w:rPr>
      </w:pPr>
    </w:p>
    <w:p w:rsidR="00202003" w:rsidRDefault="00202003" w:rsidP="0020200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Date &amp; Time: </w:t>
      </w:r>
      <w:r w:rsidR="004C588E">
        <w:rPr>
          <w:b/>
          <w:bCs/>
          <w:sz w:val="22"/>
          <w:szCs w:val="22"/>
        </w:rPr>
        <w:t>11</w:t>
      </w:r>
      <w:r w:rsidR="00604E48">
        <w:rPr>
          <w:rFonts w:hint="eastAsia"/>
          <w:b/>
          <w:bCs/>
          <w:sz w:val="22"/>
          <w:szCs w:val="22"/>
        </w:rPr>
        <w:t>th</w:t>
      </w:r>
      <w:r>
        <w:rPr>
          <w:b/>
          <w:bCs/>
          <w:sz w:val="22"/>
          <w:szCs w:val="22"/>
        </w:rPr>
        <w:t xml:space="preserve"> </w:t>
      </w:r>
      <w:r w:rsidR="004C588E">
        <w:rPr>
          <w:b/>
          <w:bCs/>
          <w:sz w:val="22"/>
          <w:szCs w:val="22"/>
        </w:rPr>
        <w:t>July</w:t>
      </w:r>
      <w:r>
        <w:rPr>
          <w:b/>
          <w:bCs/>
          <w:sz w:val="22"/>
          <w:szCs w:val="22"/>
        </w:rPr>
        <w:t xml:space="preserve"> 201</w:t>
      </w:r>
      <w:r w:rsidR="00604E48">
        <w:rPr>
          <w:rFonts w:hint="eastAsia"/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(</w:t>
      </w:r>
      <w:r w:rsidR="004C588E">
        <w:rPr>
          <w:b/>
          <w:bCs/>
          <w:sz w:val="22"/>
          <w:szCs w:val="22"/>
        </w:rPr>
        <w:t>Friday) – 03</w:t>
      </w:r>
      <w:r w:rsidR="004C588E">
        <w:rPr>
          <w:rFonts w:hint="eastAsia"/>
          <w:b/>
          <w:bCs/>
          <w:sz w:val="22"/>
          <w:szCs w:val="22"/>
        </w:rPr>
        <w:t>:</w:t>
      </w:r>
      <w:r w:rsidR="004C588E">
        <w:rPr>
          <w:b/>
          <w:bCs/>
          <w:sz w:val="22"/>
          <w:szCs w:val="22"/>
        </w:rPr>
        <w:t>3</w:t>
      </w:r>
      <w:r w:rsidR="00604E48">
        <w:rPr>
          <w:rFonts w:hint="eastAsia"/>
          <w:b/>
          <w:bCs/>
          <w:sz w:val="22"/>
          <w:szCs w:val="22"/>
        </w:rPr>
        <w:t>0</w:t>
      </w:r>
      <w:r w:rsidR="004C588E">
        <w:rPr>
          <w:b/>
          <w:bCs/>
          <w:sz w:val="22"/>
          <w:szCs w:val="22"/>
        </w:rPr>
        <w:t xml:space="preserve"> pm to 05</w:t>
      </w:r>
      <w:r>
        <w:rPr>
          <w:b/>
          <w:bCs/>
          <w:sz w:val="22"/>
          <w:szCs w:val="22"/>
        </w:rPr>
        <w:t>:</w:t>
      </w:r>
      <w:r w:rsidR="004C588E">
        <w:rPr>
          <w:b/>
          <w:bCs/>
          <w:sz w:val="22"/>
          <w:szCs w:val="22"/>
        </w:rPr>
        <w:t>30 pm</w:t>
      </w:r>
    </w:p>
    <w:p w:rsidR="00202003" w:rsidRDefault="00202003" w:rsidP="002020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Venue: SWIFT HK office </w:t>
      </w:r>
    </w:p>
    <w:p w:rsidR="00604E48" w:rsidRDefault="00604E48" w:rsidP="00202003">
      <w:pPr>
        <w:pStyle w:val="Default"/>
        <w:rPr>
          <w:b/>
          <w:bCs/>
          <w:sz w:val="22"/>
          <w:szCs w:val="22"/>
        </w:rPr>
      </w:pPr>
    </w:p>
    <w:p w:rsidR="00604E48" w:rsidRDefault="00604E48" w:rsidP="00604E4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Particip</w:t>
      </w:r>
      <w:r>
        <w:rPr>
          <w:rFonts w:hint="eastAsia"/>
          <w:b/>
          <w:bCs/>
          <w:sz w:val="22"/>
          <w:szCs w:val="22"/>
        </w:rPr>
        <w:t>ating Institution</w:t>
      </w:r>
      <w:r>
        <w:rPr>
          <w:b/>
          <w:bCs/>
          <w:sz w:val="22"/>
          <w:szCs w:val="22"/>
        </w:rPr>
        <w:t xml:space="preserve">s: </w:t>
      </w:r>
    </w:p>
    <w:tbl>
      <w:tblPr>
        <w:tblW w:w="4720" w:type="dxa"/>
        <w:tblInd w:w="103" w:type="dxa"/>
        <w:tblLook w:val="04A0" w:firstRow="1" w:lastRow="0" w:firstColumn="1" w:lastColumn="0" w:noHBand="0" w:noVBand="1"/>
      </w:tblPr>
      <w:tblGrid>
        <w:gridCol w:w="4720"/>
      </w:tblGrid>
      <w:tr w:rsidR="00604E48" w:rsidRPr="00604E48" w:rsidTr="00604E48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48" w:rsidRPr="00604E48" w:rsidRDefault="004C588E" w:rsidP="0060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HSBC HK</w:t>
            </w:r>
          </w:p>
        </w:tc>
      </w:tr>
      <w:tr w:rsidR="00604E48" w:rsidRPr="00604E48" w:rsidTr="00604E4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48" w:rsidRPr="00604E48" w:rsidRDefault="004C588E" w:rsidP="0060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CITI HK</w:t>
            </w:r>
            <w:r w:rsidR="00604E48" w:rsidRPr="00604E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04E48" w:rsidRPr="00604E48" w:rsidTr="00604E4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48" w:rsidRPr="00604E48" w:rsidRDefault="004C588E" w:rsidP="00604E4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Deutsche</w:t>
            </w:r>
          </w:p>
        </w:tc>
      </w:tr>
      <w:tr w:rsidR="00604E48" w:rsidRPr="00604E48" w:rsidTr="00604E4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48" w:rsidRPr="00604E48" w:rsidRDefault="004C588E" w:rsidP="00604E4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Invesco</w:t>
            </w:r>
          </w:p>
        </w:tc>
      </w:tr>
      <w:tr w:rsidR="00604E48" w:rsidRPr="00604E48" w:rsidTr="00604E4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48" w:rsidRPr="00604E48" w:rsidRDefault="00604E48" w:rsidP="0060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04E48">
              <w:rPr>
                <w:rFonts w:ascii="Calibri" w:eastAsia="Times New Roman" w:hAnsi="Calibri" w:cs="Calibri"/>
                <w:color w:val="000000"/>
              </w:rPr>
              <w:t>State Street</w:t>
            </w:r>
            <w:r>
              <w:rPr>
                <w:rFonts w:ascii="Calibri" w:hAnsi="Calibri" w:cs="Calibri" w:hint="eastAsia"/>
                <w:color w:val="000000"/>
              </w:rPr>
              <w:t>,</w:t>
            </w:r>
            <w:r w:rsidRPr="00604E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C588E">
              <w:rPr>
                <w:rFonts w:ascii="Calibri" w:hAnsi="Calibri" w:cs="Calibri" w:hint="eastAsia"/>
                <w:color w:val="000000"/>
              </w:rPr>
              <w:t>Hong</w:t>
            </w:r>
            <w:r w:rsidR="004C588E">
              <w:rPr>
                <w:rFonts w:ascii="Calibri" w:hAnsi="Calibri" w:cs="Calibri"/>
                <w:color w:val="000000"/>
              </w:rPr>
              <w:t xml:space="preserve"> K</w:t>
            </w:r>
            <w:r>
              <w:rPr>
                <w:rFonts w:ascii="Calibri" w:hAnsi="Calibri" w:cs="Calibri" w:hint="eastAsia"/>
                <w:color w:val="000000"/>
              </w:rPr>
              <w:t>ong</w:t>
            </w:r>
          </w:p>
        </w:tc>
      </w:tr>
      <w:tr w:rsidR="00604E48" w:rsidRPr="00604E48" w:rsidTr="00604E4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48" w:rsidRPr="00604E48" w:rsidRDefault="004C588E" w:rsidP="004C58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Standard Chartered</w:t>
            </w:r>
            <w:r w:rsidR="00604E48">
              <w:rPr>
                <w:rFonts w:ascii="Calibri" w:hAnsi="Calibri" w:cs="Calibri" w:hint="eastAsia"/>
                <w:color w:val="000000"/>
              </w:rPr>
              <w:t>, Hong</w:t>
            </w:r>
            <w:r>
              <w:rPr>
                <w:rFonts w:ascii="Calibri" w:hAnsi="Calibri" w:cs="Calibri"/>
                <w:color w:val="000000"/>
              </w:rPr>
              <w:t xml:space="preserve"> Kong</w:t>
            </w:r>
          </w:p>
        </w:tc>
      </w:tr>
      <w:tr w:rsidR="00604E48" w:rsidRPr="00604E48" w:rsidTr="00604E4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48" w:rsidRPr="00604E48" w:rsidRDefault="00604E48" w:rsidP="00604E4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604E48">
              <w:rPr>
                <w:rFonts w:ascii="Calibri" w:eastAsia="Times New Roman" w:hAnsi="Calibri" w:cs="Calibri"/>
                <w:color w:val="000000"/>
              </w:rPr>
              <w:t>S</w:t>
            </w:r>
            <w:r>
              <w:rPr>
                <w:rFonts w:ascii="Calibri" w:hAnsi="Calibri" w:cs="Calibri" w:hint="eastAsia"/>
                <w:color w:val="000000"/>
              </w:rPr>
              <w:t>ociete</w:t>
            </w:r>
            <w:proofErr w:type="spellEnd"/>
            <w:r>
              <w:rPr>
                <w:rFonts w:ascii="Calibri" w:hAnsi="Calibri" w:cs="Calibri" w:hint="eastAsia"/>
                <w:color w:val="000000"/>
              </w:rPr>
              <w:t xml:space="preserve"> General,  </w:t>
            </w:r>
            <w:proofErr w:type="spellStart"/>
            <w:r>
              <w:rPr>
                <w:rFonts w:ascii="Calibri" w:hAnsi="Calibri" w:cs="Calibri" w:hint="eastAsia"/>
                <w:color w:val="000000"/>
              </w:rPr>
              <w:t>Hongkong</w:t>
            </w:r>
            <w:proofErr w:type="spellEnd"/>
          </w:p>
        </w:tc>
      </w:tr>
      <w:tr w:rsidR="00604E48" w:rsidRPr="00604E48" w:rsidTr="00604E4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48" w:rsidRPr="00604E48" w:rsidRDefault="004C588E" w:rsidP="0060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JPMC Asset Management</w:t>
            </w:r>
            <w:r w:rsidR="00604E48" w:rsidRPr="00604E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604E48" w:rsidRPr="00604E48" w:rsidTr="00604E48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48" w:rsidRPr="00604E48" w:rsidRDefault="004C588E" w:rsidP="0060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JPMC</w:t>
            </w:r>
          </w:p>
        </w:tc>
      </w:tr>
      <w:tr w:rsidR="00604E48" w:rsidRPr="00604E48" w:rsidTr="001F419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48" w:rsidRPr="00604E48" w:rsidRDefault="004C588E" w:rsidP="00604E4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Franklin Templeton, Singapore</w:t>
            </w:r>
          </w:p>
        </w:tc>
      </w:tr>
      <w:tr w:rsidR="00604E48" w:rsidRPr="00604E48" w:rsidTr="001F419F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E48" w:rsidRPr="00604E48" w:rsidRDefault="004C588E" w:rsidP="0060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Schroders, Singapore</w:t>
            </w:r>
            <w:r w:rsidR="00604E48" w:rsidRPr="00604E4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312CD" w:rsidRPr="00604E48" w:rsidTr="001F419F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12CD" w:rsidRDefault="003312CD" w:rsidP="00604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SWIFT</w:t>
            </w:r>
          </w:p>
        </w:tc>
      </w:tr>
    </w:tbl>
    <w:p w:rsidR="00604E48" w:rsidRDefault="00604E48" w:rsidP="00202003">
      <w:pPr>
        <w:pStyle w:val="Default"/>
        <w:rPr>
          <w:sz w:val="22"/>
          <w:szCs w:val="22"/>
        </w:rPr>
      </w:pPr>
    </w:p>
    <w:p w:rsidR="00202003" w:rsidRDefault="00F77993" w:rsidP="002020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Summary</w:t>
      </w:r>
      <w:r w:rsidR="00202003">
        <w:rPr>
          <w:b/>
          <w:bCs/>
          <w:sz w:val="22"/>
          <w:szCs w:val="22"/>
        </w:rPr>
        <w:t xml:space="preserve">: </w:t>
      </w:r>
    </w:p>
    <w:p w:rsidR="00C51E72" w:rsidRDefault="00C51E72" w:rsidP="00202003">
      <w:pPr>
        <w:pStyle w:val="Default"/>
        <w:rPr>
          <w:b/>
          <w:bCs/>
          <w:sz w:val="22"/>
          <w:szCs w:val="22"/>
        </w:rPr>
      </w:pPr>
    </w:p>
    <w:p w:rsidR="00C51E72" w:rsidRDefault="00C51E72" w:rsidP="0020200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With above mentioned institutions, we had participants who </w:t>
      </w:r>
      <w:r w:rsidR="001F419F">
        <w:rPr>
          <w:bCs/>
          <w:sz w:val="22"/>
          <w:szCs w:val="22"/>
        </w:rPr>
        <w:t>serve</w:t>
      </w:r>
      <w:r w:rsidR="00233706">
        <w:rPr>
          <w:bCs/>
          <w:sz w:val="22"/>
          <w:szCs w:val="22"/>
        </w:rPr>
        <w:t xml:space="preserve"> as sub-custodian, global custodian</w:t>
      </w:r>
      <w:r>
        <w:rPr>
          <w:bCs/>
          <w:sz w:val="22"/>
          <w:szCs w:val="22"/>
        </w:rPr>
        <w:t xml:space="preserve">, brokerage, </w:t>
      </w:r>
      <w:r w:rsidR="003312CD">
        <w:rPr>
          <w:bCs/>
          <w:sz w:val="22"/>
          <w:szCs w:val="22"/>
        </w:rPr>
        <w:t xml:space="preserve">fund accounting, </w:t>
      </w:r>
      <w:r w:rsidR="00233706">
        <w:rPr>
          <w:bCs/>
          <w:sz w:val="22"/>
          <w:szCs w:val="22"/>
        </w:rPr>
        <w:t>and investor (asset manager, fund house)</w:t>
      </w:r>
      <w:r>
        <w:rPr>
          <w:bCs/>
          <w:sz w:val="22"/>
          <w:szCs w:val="22"/>
        </w:rPr>
        <w:t xml:space="preserve">. </w:t>
      </w:r>
    </w:p>
    <w:p w:rsidR="0060048F" w:rsidRDefault="0060048F" w:rsidP="00202003">
      <w:pPr>
        <w:pStyle w:val="Default"/>
        <w:rPr>
          <w:bCs/>
          <w:sz w:val="22"/>
          <w:szCs w:val="22"/>
        </w:rPr>
      </w:pPr>
    </w:p>
    <w:p w:rsidR="0060048F" w:rsidRDefault="009E2B14" w:rsidP="0020200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The ultimate goal</w:t>
      </w:r>
      <w:r w:rsidR="00233706">
        <w:rPr>
          <w:bCs/>
          <w:sz w:val="22"/>
          <w:szCs w:val="22"/>
        </w:rPr>
        <w:t xml:space="preserve"> of this group</w:t>
      </w:r>
      <w:r w:rsidR="0060048F">
        <w:rPr>
          <w:bCs/>
          <w:sz w:val="22"/>
          <w:szCs w:val="22"/>
        </w:rPr>
        <w:t xml:space="preserve"> is to ensure STP</w:t>
      </w:r>
      <w:r>
        <w:rPr>
          <w:bCs/>
          <w:sz w:val="22"/>
          <w:szCs w:val="22"/>
        </w:rPr>
        <w:t xml:space="preserve"> message flows</w:t>
      </w:r>
      <w:r w:rsidR="0060048F">
        <w:rPr>
          <w:bCs/>
          <w:sz w:val="22"/>
          <w:szCs w:val="22"/>
        </w:rPr>
        <w:t xml:space="preserve"> for the end-to-end </w:t>
      </w:r>
      <w:r w:rsidR="00233706">
        <w:rPr>
          <w:bCs/>
          <w:sz w:val="22"/>
          <w:szCs w:val="22"/>
        </w:rPr>
        <w:t>processing</w:t>
      </w:r>
      <w:r w:rsidR="0060048F">
        <w:rPr>
          <w:bCs/>
          <w:sz w:val="22"/>
          <w:szCs w:val="22"/>
        </w:rPr>
        <w:t xml:space="preserve"> chain amongst all participants who play different role for Shanghai Hong Kong Stock Connect (SHHKSC) transaction.</w:t>
      </w:r>
    </w:p>
    <w:p w:rsidR="00277489" w:rsidRDefault="00277489" w:rsidP="00202003">
      <w:pPr>
        <w:pStyle w:val="Default"/>
        <w:rPr>
          <w:bCs/>
          <w:sz w:val="22"/>
          <w:szCs w:val="22"/>
        </w:rPr>
      </w:pPr>
    </w:p>
    <w:p w:rsidR="00277489" w:rsidRDefault="00277489" w:rsidP="0020200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The key findings of the meeting are:</w:t>
      </w:r>
    </w:p>
    <w:p w:rsidR="00277489" w:rsidRDefault="00277489" w:rsidP="00277489">
      <w:pPr>
        <w:pStyle w:val="Default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Risk </w:t>
      </w:r>
      <w:r w:rsidR="00432D99">
        <w:rPr>
          <w:bCs/>
          <w:sz w:val="22"/>
          <w:szCs w:val="22"/>
        </w:rPr>
        <w:t>exposure for investors and brokers</w:t>
      </w:r>
    </w:p>
    <w:p w:rsidR="00277489" w:rsidRDefault="00277489" w:rsidP="00277489">
      <w:pPr>
        <w:pStyle w:val="Default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Broker has to handle corporate actions</w:t>
      </w:r>
    </w:p>
    <w:p w:rsidR="00FE0469" w:rsidRDefault="00FE0469" w:rsidP="00277489">
      <w:pPr>
        <w:pStyle w:val="Default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Hong Kong Stock Exchange still keeps provide updates to the market, market players are difficult to lay down their plan to support SHHKSC transaction</w:t>
      </w:r>
      <w:r w:rsidR="009E2B14">
        <w:rPr>
          <w:bCs/>
          <w:sz w:val="22"/>
          <w:szCs w:val="22"/>
        </w:rPr>
        <w:t>s</w:t>
      </w:r>
    </w:p>
    <w:p w:rsidR="00FE0469" w:rsidRDefault="00277489" w:rsidP="00FE0469">
      <w:pPr>
        <w:pStyle w:val="Default"/>
        <w:numPr>
          <w:ilvl w:val="0"/>
          <w:numId w:val="35"/>
        </w:numPr>
        <w:rPr>
          <w:b/>
          <w:bCs/>
          <w:sz w:val="22"/>
          <w:szCs w:val="22"/>
        </w:rPr>
      </w:pPr>
      <w:r w:rsidRPr="00FE0469">
        <w:rPr>
          <w:bCs/>
          <w:sz w:val="22"/>
          <w:szCs w:val="22"/>
        </w:rPr>
        <w:t>Pre-delivery of stock and pre-funding are not the usual prac</w:t>
      </w:r>
      <w:r w:rsidR="009E2B14">
        <w:rPr>
          <w:bCs/>
          <w:sz w:val="22"/>
          <w:szCs w:val="22"/>
        </w:rPr>
        <w:t xml:space="preserve">tice in HK market and it causes </w:t>
      </w:r>
      <w:r w:rsidRPr="00FE0469">
        <w:rPr>
          <w:bCs/>
          <w:sz w:val="22"/>
          <w:szCs w:val="22"/>
        </w:rPr>
        <w:t>big change for information and instructions exchang</w:t>
      </w:r>
      <w:r w:rsidR="00FE0469" w:rsidRPr="00FE0469">
        <w:rPr>
          <w:bCs/>
          <w:sz w:val="22"/>
          <w:szCs w:val="22"/>
        </w:rPr>
        <w:t>e amongst market players</w:t>
      </w:r>
    </w:p>
    <w:p w:rsidR="00FE0469" w:rsidRPr="00FE0469" w:rsidRDefault="00FE0469" w:rsidP="00FE0469">
      <w:pPr>
        <w:pStyle w:val="Default"/>
        <w:numPr>
          <w:ilvl w:val="0"/>
          <w:numId w:val="35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Alternate channel to invest A-Share exists, market </w:t>
      </w:r>
      <w:r w:rsidR="009E2B14">
        <w:rPr>
          <w:bCs/>
          <w:sz w:val="22"/>
          <w:szCs w:val="22"/>
        </w:rPr>
        <w:t>players have</w:t>
      </w:r>
      <w:r>
        <w:rPr>
          <w:bCs/>
          <w:sz w:val="22"/>
          <w:szCs w:val="22"/>
        </w:rPr>
        <w:t xml:space="preserve"> to find value to support SHHKSC trading</w:t>
      </w:r>
    </w:p>
    <w:p w:rsidR="00FE0469" w:rsidRPr="00FE0469" w:rsidRDefault="00FE0469" w:rsidP="00FE0469">
      <w:pPr>
        <w:pStyle w:val="Default"/>
        <w:rPr>
          <w:b/>
          <w:bCs/>
          <w:sz w:val="22"/>
          <w:szCs w:val="22"/>
        </w:rPr>
      </w:pPr>
    </w:p>
    <w:p w:rsidR="002F1FB6" w:rsidRDefault="003312CD" w:rsidP="00F779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Highlight of discussion points</w:t>
      </w:r>
    </w:p>
    <w:p w:rsidR="003312CD" w:rsidRDefault="003312CD" w:rsidP="003312CD">
      <w:pPr>
        <w:pStyle w:val="Default"/>
        <w:ind w:left="360"/>
        <w:rPr>
          <w:b/>
          <w:bCs/>
          <w:sz w:val="22"/>
          <w:szCs w:val="22"/>
        </w:rPr>
      </w:pPr>
    </w:p>
    <w:p w:rsidR="005E57A9" w:rsidRDefault="00126B0A" w:rsidP="00126B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Clarification for the restriction for the</w:t>
      </w:r>
      <w:r w:rsidR="0060048F">
        <w:rPr>
          <w:lang w:val="en-US"/>
        </w:rPr>
        <w:t xml:space="preserve"> </w:t>
      </w:r>
      <w:r>
        <w:rPr>
          <w:lang w:val="en-US"/>
        </w:rPr>
        <w:t>change of beneficiary ownership</w:t>
      </w:r>
      <w:r w:rsidR="004F0673">
        <w:rPr>
          <w:lang w:val="en-US"/>
        </w:rPr>
        <w:t xml:space="preserve"> (CBO)</w:t>
      </w:r>
    </w:p>
    <w:p w:rsidR="005E57A9" w:rsidRDefault="00543C0A" w:rsidP="00F77993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Hong Kong Stock Exchange (</w:t>
      </w:r>
      <w:proofErr w:type="spellStart"/>
      <w:r w:rsidR="00126B0A">
        <w:rPr>
          <w:lang w:val="en-US"/>
        </w:rPr>
        <w:t>HKEx</w:t>
      </w:r>
      <w:proofErr w:type="spellEnd"/>
      <w:r>
        <w:rPr>
          <w:lang w:val="en-US"/>
        </w:rPr>
        <w:t>)</w:t>
      </w:r>
      <w:r w:rsidR="00126B0A">
        <w:rPr>
          <w:lang w:val="en-US"/>
        </w:rPr>
        <w:t xml:space="preserve"> confirm</w:t>
      </w:r>
      <w:r w:rsidR="005E57A9">
        <w:rPr>
          <w:lang w:val="en-US"/>
        </w:rPr>
        <w:t>ed</w:t>
      </w:r>
      <w:r w:rsidR="00126B0A">
        <w:rPr>
          <w:lang w:val="en-US"/>
        </w:rPr>
        <w:t xml:space="preserve"> that when stock pre-deliver to broker, it does not allow</w:t>
      </w:r>
      <w:r w:rsidR="005E57A9">
        <w:rPr>
          <w:lang w:val="en-US"/>
        </w:rPr>
        <w:t xml:space="preserve"> CBO</w:t>
      </w:r>
      <w:r w:rsidR="00126B0A">
        <w:rPr>
          <w:lang w:val="en-US"/>
        </w:rPr>
        <w:t xml:space="preserve">. </w:t>
      </w:r>
      <w:r w:rsidR="005E57A9">
        <w:rPr>
          <w:lang w:val="en-US"/>
        </w:rPr>
        <w:t>It is mentioned on June 13, 2014, CSRC publication, article – see document ‘</w:t>
      </w:r>
      <w:r w:rsidR="005E57A9" w:rsidRPr="005E57A9">
        <w:rPr>
          <w:lang w:val="en-US"/>
        </w:rPr>
        <w:t>P020140623298276719171</w:t>
      </w:r>
      <w:r w:rsidR="00755A55">
        <w:rPr>
          <w:lang w:val="en-US"/>
        </w:rPr>
        <w:t>’ or</w:t>
      </w:r>
      <w:r w:rsidR="005E57A9">
        <w:rPr>
          <w:lang w:val="en-US"/>
        </w:rPr>
        <w:t xml:space="preserve"> check here </w:t>
      </w:r>
      <w:hyperlink r:id="rId11" w:history="1">
        <w:r w:rsidR="00C8402A">
          <w:rPr>
            <w:rStyle w:val="Hyperlink"/>
          </w:rPr>
          <w:t>www.csrc.gov.cn/pub/zjhpublic/zjh/201406/t20140613_256078.htm</w:t>
        </w:r>
      </w:hyperlink>
      <w:r w:rsidR="00C8402A">
        <w:rPr>
          <w:lang w:val="en-US"/>
        </w:rPr>
        <w:t xml:space="preserve">  </w:t>
      </w:r>
      <w:r w:rsidR="005E57A9">
        <w:rPr>
          <w:lang w:val="en-US"/>
        </w:rPr>
        <w:t>(Thank you Jo Tong of JPMC to provide the link)</w:t>
      </w:r>
      <w:r w:rsidR="00C8402A">
        <w:rPr>
          <w:lang w:val="en-US"/>
        </w:rPr>
        <w:t>.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rPr>
          <w:lang w:val="en-US"/>
        </w:rPr>
      </w:pPr>
    </w:p>
    <w:p w:rsidR="00126B0A" w:rsidRDefault="00126B0A" w:rsidP="005E57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Ad</w:t>
      </w:r>
      <w:r w:rsidR="0074471D">
        <w:rPr>
          <w:lang w:val="en-US"/>
        </w:rPr>
        <w:t xml:space="preserve">ditional information </w:t>
      </w:r>
      <w:r w:rsidR="00C8402A">
        <w:rPr>
          <w:lang w:val="en-US"/>
        </w:rPr>
        <w:t xml:space="preserve">from </w:t>
      </w:r>
      <w:proofErr w:type="spellStart"/>
      <w:r w:rsidR="00C8402A">
        <w:rPr>
          <w:lang w:val="en-US"/>
        </w:rPr>
        <w:t>HKEx</w:t>
      </w:r>
      <w:proofErr w:type="spellEnd"/>
      <w:r w:rsidR="00C8402A">
        <w:rPr>
          <w:lang w:val="en-US"/>
        </w:rPr>
        <w:t xml:space="preserve">, </w:t>
      </w:r>
      <w:r w:rsidR="0074471D">
        <w:rPr>
          <w:lang w:val="en-US"/>
        </w:rPr>
        <w:t>over the counter (OTC) trade is not allowed for northbound trade.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ind w:left="360"/>
        <w:rPr>
          <w:lang w:val="en-US"/>
        </w:rPr>
      </w:pPr>
    </w:p>
    <w:p w:rsidR="00CD1A39" w:rsidRPr="00CD1A39" w:rsidRDefault="00E839BC" w:rsidP="00CD1A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lastRenderedPageBreak/>
        <w:t>Sub-custodian needs to determine whether to act as the gate keeper to block CBO settlement instruction for SHHKSC trades.</w:t>
      </w:r>
      <w:r w:rsidR="00024E15">
        <w:rPr>
          <w:lang w:val="en-US"/>
        </w:rPr>
        <w:t xml:space="preserve"> Market servicers should discuss the</w:t>
      </w:r>
      <w:r>
        <w:rPr>
          <w:lang w:val="en-US"/>
        </w:rPr>
        <w:t xml:space="preserve"> set up</w:t>
      </w:r>
      <w:r w:rsidR="00024E15">
        <w:rPr>
          <w:lang w:val="en-US"/>
        </w:rPr>
        <w:t xml:space="preserve"> </w:t>
      </w:r>
      <w:r w:rsidR="00755A55">
        <w:rPr>
          <w:lang w:val="en-US"/>
        </w:rPr>
        <w:t xml:space="preserve">process </w:t>
      </w:r>
      <w:r w:rsidR="00024E15">
        <w:rPr>
          <w:lang w:val="en-US"/>
        </w:rPr>
        <w:t>to</w:t>
      </w:r>
      <w:r>
        <w:rPr>
          <w:lang w:val="en-US"/>
        </w:rPr>
        <w:t xml:space="preserve"> </w:t>
      </w:r>
      <w:r w:rsidR="00755A55">
        <w:rPr>
          <w:lang w:val="en-US"/>
        </w:rPr>
        <w:t xml:space="preserve">stop CBO in </w:t>
      </w:r>
      <w:r w:rsidR="00024E15">
        <w:rPr>
          <w:lang w:val="en-US"/>
        </w:rPr>
        <w:t>certain servicing area</w:t>
      </w:r>
      <w:r w:rsidR="00387264">
        <w:rPr>
          <w:lang w:val="en-US"/>
        </w:rPr>
        <w:t>(</w:t>
      </w:r>
      <w:r w:rsidR="00755A55">
        <w:rPr>
          <w:lang w:val="en-US"/>
        </w:rPr>
        <w:t>s</w:t>
      </w:r>
      <w:r w:rsidR="00387264">
        <w:rPr>
          <w:lang w:val="en-US"/>
        </w:rPr>
        <w:t>)</w:t>
      </w:r>
      <w:r w:rsidR="00024E15">
        <w:rPr>
          <w:lang w:val="en-US"/>
        </w:rPr>
        <w:t xml:space="preserve"> for this kind of trades.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ind w:left="360"/>
        <w:rPr>
          <w:lang w:val="en-US"/>
        </w:rPr>
      </w:pPr>
    </w:p>
    <w:p w:rsidR="00B73E2B" w:rsidRDefault="00716B6F" w:rsidP="00B73E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Suggest</w:t>
      </w:r>
      <w:r w:rsidR="00B73E2B">
        <w:rPr>
          <w:lang w:val="en-US"/>
        </w:rPr>
        <w:t xml:space="preserve"> </w:t>
      </w:r>
      <w:r w:rsidR="00024E15">
        <w:rPr>
          <w:lang w:val="en-US"/>
        </w:rPr>
        <w:t xml:space="preserve">the group </w:t>
      </w:r>
      <w:r w:rsidR="00B73E2B">
        <w:rPr>
          <w:lang w:val="en-US"/>
        </w:rPr>
        <w:t xml:space="preserve">to study other business rules </w:t>
      </w:r>
      <w:r w:rsidR="00024E15">
        <w:rPr>
          <w:lang w:val="en-US"/>
        </w:rPr>
        <w:t xml:space="preserve">in CSRC publication </w:t>
      </w:r>
      <w:r w:rsidR="00B73E2B">
        <w:rPr>
          <w:lang w:val="en-US"/>
        </w:rPr>
        <w:t>and establish proper</w:t>
      </w:r>
      <w:r>
        <w:rPr>
          <w:lang w:val="en-US"/>
        </w:rPr>
        <w:t xml:space="preserve"> business practice </w:t>
      </w:r>
      <w:r w:rsidR="00B73E2B">
        <w:rPr>
          <w:lang w:val="en-US"/>
        </w:rPr>
        <w:t>for</w:t>
      </w:r>
      <w:r w:rsidR="00024E15">
        <w:rPr>
          <w:lang w:val="en-US"/>
        </w:rPr>
        <w:t xml:space="preserve"> SHHKSC product</w:t>
      </w:r>
      <w:r w:rsidR="00B73E2B">
        <w:rPr>
          <w:lang w:val="en-US"/>
        </w:rPr>
        <w:t>, including taxation, etc.</w:t>
      </w:r>
      <w:r>
        <w:rPr>
          <w:lang w:val="en-US"/>
        </w:rPr>
        <w:t xml:space="preserve"> </w:t>
      </w:r>
      <w:r w:rsidR="00B73E2B">
        <w:rPr>
          <w:lang w:val="en-US"/>
        </w:rPr>
        <w:t xml:space="preserve">before </w:t>
      </w:r>
      <w:r>
        <w:rPr>
          <w:lang w:val="en-US"/>
        </w:rPr>
        <w:t xml:space="preserve">the group </w:t>
      </w:r>
      <w:r w:rsidR="00B73E2B">
        <w:rPr>
          <w:lang w:val="en-US"/>
        </w:rPr>
        <w:t xml:space="preserve">to move on next phase of discussion </w:t>
      </w:r>
      <w:r w:rsidR="00387264">
        <w:rPr>
          <w:lang w:val="en-US"/>
        </w:rPr>
        <w:t>about messaging rules in detail</w:t>
      </w:r>
      <w:r w:rsidR="00B73E2B">
        <w:rPr>
          <w:lang w:val="en-US"/>
        </w:rPr>
        <w:t>.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ind w:left="360"/>
        <w:rPr>
          <w:lang w:val="en-US"/>
        </w:rPr>
      </w:pPr>
    </w:p>
    <w:p w:rsidR="00B73E2B" w:rsidRDefault="005C6707" w:rsidP="00B73E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Discussion</w:t>
      </w:r>
      <w:r w:rsidR="00024E15">
        <w:rPr>
          <w:lang w:val="en-US"/>
        </w:rPr>
        <w:t xml:space="preserve"> for</w:t>
      </w:r>
      <w:r w:rsidR="0081158E">
        <w:rPr>
          <w:lang w:val="en-US"/>
        </w:rPr>
        <w:t xml:space="preserve"> </w:t>
      </w:r>
      <w:r w:rsidR="00812193">
        <w:rPr>
          <w:lang w:val="en-US"/>
        </w:rPr>
        <w:t xml:space="preserve">pre-delivery </w:t>
      </w:r>
      <w:r>
        <w:rPr>
          <w:lang w:val="en-US"/>
        </w:rPr>
        <w:t xml:space="preserve">of </w:t>
      </w:r>
      <w:r w:rsidR="00812193">
        <w:rPr>
          <w:lang w:val="en-US"/>
        </w:rPr>
        <w:t>stock</w:t>
      </w:r>
      <w:r>
        <w:rPr>
          <w:lang w:val="en-US"/>
        </w:rPr>
        <w:t>s</w:t>
      </w:r>
    </w:p>
    <w:p w:rsidR="00D82DA1" w:rsidRDefault="0081158E" w:rsidP="00F7799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The intension</w:t>
      </w:r>
      <w:r w:rsidR="00D82DA1">
        <w:rPr>
          <w:lang w:val="en-US"/>
        </w:rPr>
        <w:t>/strategy</w:t>
      </w:r>
      <w:r w:rsidR="00387264">
        <w:rPr>
          <w:lang w:val="en-US"/>
        </w:rPr>
        <w:t xml:space="preserve"> of investor</w:t>
      </w:r>
      <w:r>
        <w:rPr>
          <w:lang w:val="en-US"/>
        </w:rPr>
        <w:t xml:space="preserve"> to sel</w:t>
      </w:r>
      <w:r w:rsidR="00D943CF">
        <w:rPr>
          <w:lang w:val="en-US"/>
        </w:rPr>
        <w:t xml:space="preserve">l stock is exposed to brokers even </w:t>
      </w:r>
      <w:r w:rsidR="00D82DA1">
        <w:rPr>
          <w:lang w:val="en-US"/>
        </w:rPr>
        <w:t xml:space="preserve">with HKEX new arrangement for </w:t>
      </w:r>
      <w:r w:rsidR="00D943CF">
        <w:rPr>
          <w:lang w:val="en-US"/>
        </w:rPr>
        <w:t xml:space="preserve">pre-delivery of stock on the same trade day at 7:30am to 7:45am.  </w:t>
      </w:r>
    </w:p>
    <w:p w:rsidR="0081158E" w:rsidRDefault="00D82DA1" w:rsidP="00F77993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To allow broker to track the holding of investor at their custodian is not feasible because</w:t>
      </w:r>
      <w:r w:rsidR="006751CB">
        <w:rPr>
          <w:lang w:val="en-US"/>
        </w:rPr>
        <w:t xml:space="preserve"> Hong Kong</w:t>
      </w:r>
      <w:r w:rsidR="00D943CF">
        <w:rPr>
          <w:lang w:val="en-US"/>
        </w:rPr>
        <w:t xml:space="preserve"> market allow</w:t>
      </w:r>
      <w:r w:rsidR="006751CB">
        <w:rPr>
          <w:lang w:val="en-US"/>
        </w:rPr>
        <w:t>s multiple c</w:t>
      </w:r>
      <w:r w:rsidR="00387264">
        <w:rPr>
          <w:lang w:val="en-US"/>
        </w:rPr>
        <w:t>ustodians to serve one investor</w:t>
      </w:r>
      <w:r w:rsidR="006751CB">
        <w:rPr>
          <w:lang w:val="en-US"/>
        </w:rPr>
        <w:t>.</w:t>
      </w:r>
    </w:p>
    <w:p w:rsidR="006751CB" w:rsidRDefault="00850116" w:rsidP="00F7799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There are concerns of risk exposure on investor side when moving</w:t>
      </w:r>
      <w:r w:rsidR="006751CB">
        <w:rPr>
          <w:lang w:val="en-US"/>
        </w:rPr>
        <w:t xml:space="preserve"> stock to brok</w:t>
      </w:r>
      <w:r w:rsidR="00387264">
        <w:rPr>
          <w:lang w:val="en-US"/>
        </w:rPr>
        <w:t>er</w:t>
      </w:r>
      <w:r>
        <w:rPr>
          <w:lang w:val="en-US"/>
        </w:rPr>
        <w:t xml:space="preserve"> without collateral</w:t>
      </w:r>
      <w:r w:rsidR="006751CB">
        <w:rPr>
          <w:lang w:val="en-US"/>
        </w:rPr>
        <w:t>.</w:t>
      </w:r>
    </w:p>
    <w:p w:rsidR="006751CB" w:rsidRDefault="00850116" w:rsidP="00F7799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Investors concern the increase of tran</w:t>
      </w:r>
      <w:r w:rsidR="00387264">
        <w:rPr>
          <w:lang w:val="en-US"/>
        </w:rPr>
        <w:t>saction cost for the scheduled</w:t>
      </w:r>
      <w:r>
        <w:rPr>
          <w:lang w:val="en-US"/>
        </w:rPr>
        <w:t xml:space="preserve"> return left over stock </w:t>
      </w:r>
      <w:r w:rsidR="00387264">
        <w:rPr>
          <w:lang w:val="en-US"/>
        </w:rPr>
        <w:t xml:space="preserve">of non-executed order(s) </w:t>
      </w:r>
      <w:r>
        <w:rPr>
          <w:lang w:val="en-US"/>
        </w:rPr>
        <w:t>by the end of the day</w:t>
      </w:r>
      <w:r w:rsidR="00F30BB8">
        <w:rPr>
          <w:lang w:val="en-US"/>
        </w:rPr>
        <w:t>.</w:t>
      </w:r>
    </w:p>
    <w:p w:rsidR="006751CB" w:rsidRDefault="00F30BB8" w:rsidP="00F7799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Compare</w:t>
      </w:r>
      <w:r w:rsidR="004F24AF">
        <w:rPr>
          <w:lang w:val="en-US"/>
        </w:rPr>
        <w:t>d</w:t>
      </w:r>
      <w:r>
        <w:rPr>
          <w:lang w:val="en-US"/>
        </w:rPr>
        <w:t xml:space="preserve"> </w:t>
      </w:r>
      <w:r w:rsidR="00541583">
        <w:rPr>
          <w:lang w:val="en-US"/>
        </w:rPr>
        <w:t>the free</w:t>
      </w:r>
      <w:r>
        <w:rPr>
          <w:lang w:val="en-US"/>
        </w:rPr>
        <w:t xml:space="preserve"> of</w:t>
      </w:r>
      <w:r w:rsidR="00541583">
        <w:rPr>
          <w:lang w:val="en-US"/>
        </w:rPr>
        <w:t xml:space="preserve"> payment arrangement in QFII settlement with SHHKSC stock, QFII </w:t>
      </w:r>
      <w:r>
        <w:rPr>
          <w:lang w:val="en-US"/>
        </w:rPr>
        <w:t xml:space="preserve">trade </w:t>
      </w:r>
      <w:r w:rsidR="00541583">
        <w:rPr>
          <w:lang w:val="en-US"/>
        </w:rPr>
        <w:t>has control and guarantee by China clearing account but there is</w:t>
      </w:r>
      <w:r>
        <w:rPr>
          <w:lang w:val="en-US"/>
        </w:rPr>
        <w:t xml:space="preserve"> no similar kind of guarantee</w:t>
      </w:r>
      <w:r w:rsidR="00387264">
        <w:rPr>
          <w:lang w:val="en-US"/>
        </w:rPr>
        <w:t>s</w:t>
      </w:r>
      <w:r>
        <w:rPr>
          <w:lang w:val="en-US"/>
        </w:rPr>
        <w:t xml:space="preserve"> for SHHKSC trade</w:t>
      </w:r>
      <w:r w:rsidR="00541583">
        <w:rPr>
          <w:lang w:val="en-US"/>
        </w:rPr>
        <w:t>.</w:t>
      </w:r>
    </w:p>
    <w:p w:rsidR="00541583" w:rsidRDefault="00541583" w:rsidP="00F7799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Expressed from risk perspective</w:t>
      </w:r>
      <w:r w:rsidR="004F24AF">
        <w:rPr>
          <w:lang w:val="en-US"/>
        </w:rPr>
        <w:t>, the arrangement of pre-delivery and pre-funding of SHHKSC trade</w:t>
      </w:r>
      <w:r>
        <w:rPr>
          <w:lang w:val="en-US"/>
        </w:rPr>
        <w:t xml:space="preserve"> is highly discourage because </w:t>
      </w:r>
      <w:r w:rsidR="00CB28E7">
        <w:rPr>
          <w:lang w:val="en-US"/>
        </w:rPr>
        <w:t>there are certain requirements</w:t>
      </w:r>
      <w:r w:rsidR="004F24AF">
        <w:rPr>
          <w:lang w:val="en-US"/>
        </w:rPr>
        <w:t xml:space="preserve"> on investor side</w:t>
      </w:r>
      <w:r w:rsidR="00CB28E7">
        <w:rPr>
          <w:lang w:val="en-US"/>
        </w:rPr>
        <w:t xml:space="preserve"> that don’t allow free </w:t>
      </w:r>
      <w:r w:rsidR="005B4116">
        <w:rPr>
          <w:lang w:val="en-US"/>
        </w:rPr>
        <w:t>of payment instruction. Expect</w:t>
      </w:r>
      <w:r w:rsidR="00CB28E7">
        <w:rPr>
          <w:lang w:val="en-US"/>
        </w:rPr>
        <w:t xml:space="preserve"> certain products </w:t>
      </w:r>
      <w:r w:rsidR="00387264">
        <w:rPr>
          <w:lang w:val="en-US"/>
        </w:rPr>
        <w:t xml:space="preserve">on investor side </w:t>
      </w:r>
      <w:r w:rsidR="00CB28E7">
        <w:rPr>
          <w:lang w:val="en-US"/>
        </w:rPr>
        <w:t xml:space="preserve">may not engage in SHHKSC market. </w:t>
      </w:r>
      <w:r w:rsidR="005B4116">
        <w:rPr>
          <w:lang w:val="en-US"/>
        </w:rPr>
        <w:t>Investors concern</w:t>
      </w:r>
      <w:r w:rsidR="00CB28E7">
        <w:rPr>
          <w:lang w:val="en-US"/>
        </w:rPr>
        <w:t xml:space="preserve"> the ownership </w:t>
      </w:r>
      <w:r w:rsidR="005B4116">
        <w:rPr>
          <w:lang w:val="en-US"/>
        </w:rPr>
        <w:t>of stocks once they are</w:t>
      </w:r>
      <w:r w:rsidR="00CB28E7">
        <w:rPr>
          <w:lang w:val="en-US"/>
        </w:rPr>
        <w:t xml:space="preserve"> transferred to brokers.</w:t>
      </w:r>
    </w:p>
    <w:p w:rsidR="005B4116" w:rsidRDefault="005B4116" w:rsidP="00F7799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Concern the account set up on</w:t>
      </w:r>
      <w:r w:rsidR="00CB28E7">
        <w:rPr>
          <w:lang w:val="en-US"/>
        </w:rPr>
        <w:t xml:space="preserve"> broker side</w:t>
      </w:r>
      <w:r w:rsidR="00573527">
        <w:rPr>
          <w:lang w:val="en-US"/>
        </w:rPr>
        <w:t xml:space="preserve"> is not the same as today.</w:t>
      </w:r>
      <w:r w:rsidR="006B60DE">
        <w:rPr>
          <w:lang w:val="en-US"/>
        </w:rPr>
        <w:t xml:space="preserve"> CSRC, SFC, and</w:t>
      </w:r>
      <w:r w:rsidR="00CB28E7">
        <w:rPr>
          <w:lang w:val="en-US"/>
        </w:rPr>
        <w:t xml:space="preserve"> </w:t>
      </w:r>
      <w:proofErr w:type="spellStart"/>
      <w:r w:rsidR="00387264">
        <w:rPr>
          <w:lang w:val="en-US"/>
        </w:rPr>
        <w:t>HKEx</w:t>
      </w:r>
      <w:proofErr w:type="spellEnd"/>
      <w:r w:rsidR="00387264">
        <w:rPr>
          <w:lang w:val="en-US"/>
        </w:rPr>
        <w:t xml:space="preserve"> imposed</w:t>
      </w:r>
      <w:r w:rsidR="006B60DE">
        <w:rPr>
          <w:lang w:val="en-US"/>
        </w:rPr>
        <w:t xml:space="preserve"> rule</w:t>
      </w:r>
      <w:r w:rsidR="00387264">
        <w:rPr>
          <w:lang w:val="en-US"/>
        </w:rPr>
        <w:t>s</w:t>
      </w:r>
      <w:r w:rsidR="006B60DE">
        <w:rPr>
          <w:lang w:val="en-US"/>
        </w:rPr>
        <w:t xml:space="preserve"> that broker has to establish internal controls to segregate accounts of </w:t>
      </w:r>
      <w:r w:rsidR="00573527">
        <w:rPr>
          <w:lang w:val="en-US"/>
        </w:rPr>
        <w:t>end clients and operation</w:t>
      </w:r>
      <w:r>
        <w:rPr>
          <w:lang w:val="en-US"/>
        </w:rPr>
        <w:t xml:space="preserve"> for SHHKSC trades</w:t>
      </w:r>
      <w:r w:rsidR="006B60DE">
        <w:rPr>
          <w:lang w:val="en-US"/>
        </w:rPr>
        <w:t>.</w:t>
      </w:r>
      <w:r w:rsidR="00417378">
        <w:rPr>
          <w:lang w:val="en-US"/>
        </w:rPr>
        <w:t xml:space="preserve"> </w:t>
      </w:r>
    </w:p>
    <w:p w:rsidR="00CB28E7" w:rsidRDefault="00417378" w:rsidP="00F77993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One fund house indicated that as long as there is governance to control their SHHKSC stocks, there is no issue</w:t>
      </w:r>
      <w:r w:rsidR="005B4116">
        <w:rPr>
          <w:lang w:val="en-US"/>
        </w:rPr>
        <w:t xml:space="preserve"> to send</w:t>
      </w:r>
      <w:r>
        <w:rPr>
          <w:lang w:val="en-US"/>
        </w:rPr>
        <w:t xml:space="preserve"> for free of payment (FOP) settlement instruction (SI). However for Hong Kong funds, there </w:t>
      </w:r>
      <w:r w:rsidR="005B4116">
        <w:rPr>
          <w:lang w:val="en-US"/>
        </w:rPr>
        <w:t xml:space="preserve">are </w:t>
      </w:r>
      <w:r>
        <w:rPr>
          <w:lang w:val="en-US"/>
        </w:rPr>
        <w:t>concerns to issue FOP SI. They need to obtain the</w:t>
      </w:r>
      <w:r w:rsidR="005B4116">
        <w:rPr>
          <w:lang w:val="en-US"/>
        </w:rPr>
        <w:t xml:space="preserve"> approval from fund trustees</w:t>
      </w:r>
      <w:r>
        <w:rPr>
          <w:lang w:val="en-US"/>
        </w:rPr>
        <w:t xml:space="preserve">. 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ind w:left="360"/>
        <w:rPr>
          <w:lang w:val="en-US"/>
        </w:rPr>
      </w:pPr>
    </w:p>
    <w:p w:rsidR="00696CE6" w:rsidRDefault="000F0244" w:rsidP="008121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 xml:space="preserve">Discussed in how </w:t>
      </w:r>
      <w:r w:rsidR="00696CE6">
        <w:rPr>
          <w:lang w:val="en-US"/>
        </w:rPr>
        <w:t xml:space="preserve">to </w:t>
      </w:r>
      <w:r>
        <w:rPr>
          <w:lang w:val="en-US"/>
        </w:rPr>
        <w:t xml:space="preserve">handle FOP SI for the pre-delivery and FOP SI after execution of the trade by broker issued by investor to custodian. </w:t>
      </w:r>
    </w:p>
    <w:p w:rsidR="001904DA" w:rsidRDefault="00696CE6" w:rsidP="00F77993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Sub-c</w:t>
      </w:r>
      <w:r w:rsidR="000F0244">
        <w:rPr>
          <w:lang w:val="en-US"/>
        </w:rPr>
        <w:t xml:space="preserve">ustodian cannot differentiate the nature of SI. </w:t>
      </w:r>
      <w:r>
        <w:rPr>
          <w:lang w:val="en-US"/>
        </w:rPr>
        <w:t>On global custodian side, since the pre-delivered stock a</w:t>
      </w:r>
      <w:r w:rsidR="001904DA">
        <w:rPr>
          <w:lang w:val="en-US"/>
        </w:rPr>
        <w:t>lready moved to broker, to manage the holding balance of FOP SI for executed trade is required for further investigation, as well as the SI sent to sub-custodians.</w:t>
      </w:r>
    </w:p>
    <w:p w:rsidR="00812193" w:rsidRDefault="00573527" w:rsidP="00F77993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Investigate</w:t>
      </w:r>
      <w:r w:rsidR="001904DA">
        <w:rPr>
          <w:lang w:val="en-US"/>
        </w:rPr>
        <w:t xml:space="preserve"> </w:t>
      </w:r>
      <w:r>
        <w:rPr>
          <w:lang w:val="en-US"/>
        </w:rPr>
        <w:t xml:space="preserve">the possibility </w:t>
      </w:r>
      <w:r w:rsidR="001904DA">
        <w:rPr>
          <w:lang w:val="en-US"/>
        </w:rPr>
        <w:t>to suppress FOP SI for</w:t>
      </w:r>
      <w:r>
        <w:rPr>
          <w:lang w:val="en-US"/>
        </w:rPr>
        <w:t xml:space="preserve"> executed trade</w:t>
      </w:r>
      <w:r w:rsidR="001904DA">
        <w:rPr>
          <w:lang w:val="en-US"/>
        </w:rPr>
        <w:t>.</w:t>
      </w:r>
      <w:r w:rsidR="00812193">
        <w:rPr>
          <w:lang w:val="en-US"/>
        </w:rPr>
        <w:t xml:space="preserve"> JPMC </w:t>
      </w:r>
      <w:r w:rsidR="00696CE6">
        <w:rPr>
          <w:lang w:val="en-US"/>
        </w:rPr>
        <w:t xml:space="preserve">Asset Management </w:t>
      </w:r>
      <w:r w:rsidR="00812193">
        <w:rPr>
          <w:lang w:val="en-US"/>
        </w:rPr>
        <w:t>will follow-up with their trade support team for the handling</w:t>
      </w:r>
      <w:r w:rsidR="001904DA">
        <w:rPr>
          <w:lang w:val="en-US"/>
        </w:rPr>
        <w:t xml:space="preserve"> (see Post meeting follow-up section)</w:t>
      </w:r>
      <w:r w:rsidR="00812193">
        <w:rPr>
          <w:lang w:val="en-US"/>
        </w:rPr>
        <w:t>.</w:t>
      </w:r>
    </w:p>
    <w:p w:rsidR="00696CE6" w:rsidRDefault="00696CE6" w:rsidP="00696CE6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Standards comment:</w:t>
      </w:r>
      <w:r w:rsidR="001E6588">
        <w:rPr>
          <w:lang w:val="en-US"/>
        </w:rPr>
        <w:t xml:space="preserve"> In settlement instruction and </w:t>
      </w:r>
      <w:r w:rsidR="00D7571F">
        <w:rPr>
          <w:lang w:val="en-US"/>
        </w:rPr>
        <w:t>confirmation message, there are different settlement type indicators for trade and stock transfer.</w:t>
      </w:r>
      <w:r w:rsidR="00573527">
        <w:rPr>
          <w:lang w:val="en-US"/>
        </w:rPr>
        <w:t xml:space="preserve"> It may help to determine the handling of received instruction.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ind w:left="360"/>
        <w:rPr>
          <w:lang w:val="en-US"/>
        </w:rPr>
      </w:pPr>
    </w:p>
    <w:p w:rsidR="00812193" w:rsidRDefault="005A0965" w:rsidP="008121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P</w:t>
      </w:r>
      <w:r w:rsidR="00812193">
        <w:rPr>
          <w:lang w:val="en-US"/>
        </w:rPr>
        <w:t>re-funding</w:t>
      </w:r>
      <w:r>
        <w:rPr>
          <w:lang w:val="en-US"/>
        </w:rPr>
        <w:t xml:space="preserve"> and pre-payment</w:t>
      </w:r>
      <w:r w:rsidR="00812193">
        <w:rPr>
          <w:lang w:val="en-US"/>
        </w:rPr>
        <w:t>, market has following concerns</w:t>
      </w:r>
    </w:p>
    <w:p w:rsidR="00D7571F" w:rsidRDefault="00A11919" w:rsidP="00F7799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If investor doesn’t need to receive stock on trade date (T)</w:t>
      </w:r>
      <w:r w:rsidR="00D7571F">
        <w:rPr>
          <w:lang w:val="en-US"/>
        </w:rPr>
        <w:t>, pre-funding can be done on</w:t>
      </w:r>
      <w:r>
        <w:rPr>
          <w:lang w:val="en-US"/>
        </w:rPr>
        <w:t xml:space="preserve"> the second day after trade (T+1).</w:t>
      </w:r>
      <w:r w:rsidR="00D7571F">
        <w:rPr>
          <w:lang w:val="en-US"/>
        </w:rPr>
        <w:t xml:space="preserve"> </w:t>
      </w:r>
    </w:p>
    <w:p w:rsidR="00A11919" w:rsidRDefault="00D7571F" w:rsidP="00F7799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Although the settlement cycle is stock to deliver on T and cash is by T+1, if investor needs to receiving stock by T, broker has to receive payment by T. Otherwise CCASS will put the settlement</w:t>
      </w:r>
      <w:r w:rsidR="00AB7D0D">
        <w:rPr>
          <w:lang w:val="en-US"/>
        </w:rPr>
        <w:t xml:space="preserve"> instruction on hold</w:t>
      </w:r>
      <w:r w:rsidR="00573527">
        <w:rPr>
          <w:lang w:val="en-US"/>
        </w:rPr>
        <w:t>,</w:t>
      </w:r>
      <w:r w:rsidR="00AB7D0D">
        <w:rPr>
          <w:lang w:val="en-US"/>
        </w:rPr>
        <w:t xml:space="preserve"> if payment is not ready</w:t>
      </w:r>
      <w:r>
        <w:rPr>
          <w:lang w:val="en-US"/>
        </w:rPr>
        <w:t>.</w:t>
      </w:r>
    </w:p>
    <w:p w:rsidR="00A11919" w:rsidRDefault="00946B03" w:rsidP="00F7799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lastRenderedPageBreak/>
        <w:t>The pre-payment obligation</w:t>
      </w:r>
      <w:r w:rsidR="00267A3C">
        <w:rPr>
          <w:lang w:val="en-US"/>
        </w:rPr>
        <w:t xml:space="preserve"> (4:00pm to 6</w:t>
      </w:r>
      <w:r w:rsidR="00110696">
        <w:rPr>
          <w:lang w:val="en-US"/>
        </w:rPr>
        <w:t>:00pm)</w:t>
      </w:r>
      <w:r>
        <w:rPr>
          <w:lang w:val="en-US"/>
        </w:rPr>
        <w:t xml:space="preserve"> on broker side, </w:t>
      </w:r>
      <w:r w:rsidR="009352DF">
        <w:rPr>
          <w:lang w:val="en-US"/>
        </w:rPr>
        <w:t>investor may only know the</w:t>
      </w:r>
      <w:r w:rsidR="00AB7D0D">
        <w:rPr>
          <w:lang w:val="en-US"/>
        </w:rPr>
        <w:t xml:space="preserve">ir orders execution status </w:t>
      </w:r>
      <w:r w:rsidR="009352DF">
        <w:rPr>
          <w:lang w:val="en-US"/>
        </w:rPr>
        <w:t>until the close of trading session at 3:00pm</w:t>
      </w:r>
      <w:r w:rsidR="00C95610">
        <w:rPr>
          <w:lang w:val="en-US"/>
        </w:rPr>
        <w:t xml:space="preserve">. </w:t>
      </w:r>
      <w:r w:rsidR="00267A3C">
        <w:rPr>
          <w:lang w:val="en-US"/>
        </w:rPr>
        <w:t xml:space="preserve">For T day payment, </w:t>
      </w:r>
      <w:r w:rsidR="00EF1924">
        <w:rPr>
          <w:lang w:val="en-US"/>
        </w:rPr>
        <w:t xml:space="preserve">investor has to </w:t>
      </w:r>
      <w:r w:rsidR="00C95610">
        <w:rPr>
          <w:lang w:val="en-US"/>
        </w:rPr>
        <w:t>pay</w:t>
      </w:r>
      <w:r w:rsidR="00EF1924">
        <w:rPr>
          <w:lang w:val="en-US"/>
        </w:rPr>
        <w:t xml:space="preserve"> the broker almost at the same time</w:t>
      </w:r>
      <w:r w:rsidR="00267A3C">
        <w:rPr>
          <w:lang w:val="en-US"/>
        </w:rPr>
        <w:t xml:space="preserve">. Time allows for investor to organize the FX </w:t>
      </w:r>
      <w:r w:rsidR="00C61665">
        <w:rPr>
          <w:lang w:val="en-US"/>
        </w:rPr>
        <w:t xml:space="preserve">to prepare the funds for settlement </w:t>
      </w:r>
      <w:r w:rsidR="00267A3C">
        <w:rPr>
          <w:lang w:val="en-US"/>
        </w:rPr>
        <w:t>may be an issue.</w:t>
      </w:r>
    </w:p>
    <w:p w:rsidR="00AA17F1" w:rsidRDefault="00AA17F1" w:rsidP="00F7799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Explained</w:t>
      </w:r>
      <w:r w:rsidR="00112800">
        <w:rPr>
          <w:lang w:val="en-US"/>
        </w:rPr>
        <w:t xml:space="preserve"> the </w:t>
      </w:r>
      <w:r w:rsidR="005A0965">
        <w:rPr>
          <w:lang w:val="en-US"/>
        </w:rPr>
        <w:t>trading practic</w:t>
      </w:r>
      <w:r w:rsidR="00DD2436">
        <w:rPr>
          <w:lang w:val="en-US"/>
        </w:rPr>
        <w:t>e</w:t>
      </w:r>
      <w:r w:rsidR="00112800">
        <w:rPr>
          <w:lang w:val="en-US"/>
        </w:rPr>
        <w:t xml:space="preserve"> </w:t>
      </w:r>
      <w:r w:rsidR="005A0965">
        <w:rPr>
          <w:lang w:val="en-US"/>
        </w:rPr>
        <w:t>of A-share</w:t>
      </w:r>
      <w:r w:rsidR="00DD2436">
        <w:rPr>
          <w:lang w:val="en-US"/>
        </w:rPr>
        <w:t xml:space="preserve"> in China</w:t>
      </w:r>
      <w:r w:rsidR="005A0965">
        <w:rPr>
          <w:lang w:val="en-US"/>
        </w:rPr>
        <w:t>. T</w:t>
      </w:r>
      <w:r>
        <w:rPr>
          <w:lang w:val="en-US"/>
        </w:rPr>
        <w:t>here are cash and stock check before pla</w:t>
      </w:r>
      <w:r w:rsidR="00DD2436">
        <w:rPr>
          <w:lang w:val="en-US"/>
        </w:rPr>
        <w:t xml:space="preserve">cing order </w:t>
      </w:r>
      <w:r w:rsidR="005A0965">
        <w:rPr>
          <w:lang w:val="en-US"/>
        </w:rPr>
        <w:t>because regulators stipulate the assignment of broker and custody service for investors while Hong Kong market doesn’</w:t>
      </w:r>
      <w:r w:rsidR="005F68ED">
        <w:rPr>
          <w:lang w:val="en-US"/>
        </w:rPr>
        <w:t>t mandate</w:t>
      </w:r>
      <w:r w:rsidR="005A0965">
        <w:rPr>
          <w:lang w:val="en-US"/>
        </w:rPr>
        <w:t xml:space="preserve"> to have. </w:t>
      </w:r>
      <w:r w:rsidR="00EF1924">
        <w:rPr>
          <w:lang w:val="en-US"/>
        </w:rPr>
        <w:t>It puts all the risks on brokers and investors.</w:t>
      </w:r>
    </w:p>
    <w:p w:rsidR="00CB271E" w:rsidRDefault="005F68ED" w:rsidP="00F7799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Approval procedure of pre-funding for SHHKSC trading need</w:t>
      </w:r>
      <w:r w:rsidR="00DD2436">
        <w:rPr>
          <w:lang w:val="en-US"/>
        </w:rPr>
        <w:t>s</w:t>
      </w:r>
      <w:r>
        <w:rPr>
          <w:lang w:val="en-US"/>
        </w:rPr>
        <w:t xml:space="preserve"> to be e</w:t>
      </w:r>
      <w:r w:rsidR="00CF0BFC">
        <w:rPr>
          <w:lang w:val="en-US"/>
        </w:rPr>
        <w:t xml:space="preserve">stablished. HK </w:t>
      </w:r>
      <w:r w:rsidR="00C61665">
        <w:rPr>
          <w:lang w:val="en-US"/>
        </w:rPr>
        <w:t>issued</w:t>
      </w:r>
      <w:r w:rsidR="00CF0BFC">
        <w:rPr>
          <w:lang w:val="en-US"/>
        </w:rPr>
        <w:t xml:space="preserve"> funds have</w:t>
      </w:r>
      <w:r>
        <w:rPr>
          <w:lang w:val="en-US"/>
        </w:rPr>
        <w:t xml:space="preserve"> to involve trustee </w:t>
      </w:r>
      <w:r w:rsidR="00DD2436">
        <w:rPr>
          <w:lang w:val="en-US"/>
        </w:rPr>
        <w:t xml:space="preserve">and </w:t>
      </w:r>
      <w:r w:rsidR="00CB271E">
        <w:rPr>
          <w:lang w:val="en-US"/>
        </w:rPr>
        <w:t>non HK domicile</w:t>
      </w:r>
      <w:r w:rsidR="00C61665">
        <w:rPr>
          <w:lang w:val="en-US"/>
        </w:rPr>
        <w:t xml:space="preserve">d funds are </w:t>
      </w:r>
      <w:r w:rsidR="00CB271E">
        <w:rPr>
          <w:lang w:val="en-US"/>
        </w:rPr>
        <w:t>supp</w:t>
      </w:r>
      <w:r>
        <w:rPr>
          <w:lang w:val="en-US"/>
        </w:rPr>
        <w:t>orted by portfolio manager or proper team(s)</w:t>
      </w:r>
      <w:r w:rsidR="00CB271E">
        <w:rPr>
          <w:lang w:val="en-US"/>
        </w:rPr>
        <w:t>.</w:t>
      </w:r>
    </w:p>
    <w:p w:rsidR="006F59C3" w:rsidRDefault="007634A8" w:rsidP="00F7799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Clarification for the readiness of fund</w:t>
      </w:r>
      <w:r w:rsidR="00C61665">
        <w:rPr>
          <w:lang w:val="en-US"/>
        </w:rPr>
        <w:t xml:space="preserve"> for settlement is</w:t>
      </w:r>
      <w:r>
        <w:rPr>
          <w:lang w:val="en-US"/>
        </w:rPr>
        <w:t xml:space="preserve"> on T+1, the schedule </w:t>
      </w:r>
      <w:r w:rsidR="00C61665">
        <w:rPr>
          <w:lang w:val="en-US"/>
        </w:rPr>
        <w:t>to pay</w:t>
      </w:r>
      <w:r>
        <w:rPr>
          <w:lang w:val="en-US"/>
        </w:rPr>
        <w:t xml:space="preserve"> by </w:t>
      </w:r>
      <w:r w:rsidR="00C61665">
        <w:rPr>
          <w:lang w:val="en-US"/>
        </w:rPr>
        <w:t xml:space="preserve">noon </w:t>
      </w:r>
      <w:r>
        <w:rPr>
          <w:lang w:val="en-US"/>
        </w:rPr>
        <w:t>and stock be delivered by 7:30</w:t>
      </w:r>
      <w:r w:rsidR="005F68ED">
        <w:rPr>
          <w:lang w:val="en-US"/>
        </w:rPr>
        <w:t xml:space="preserve"> </w:t>
      </w:r>
      <w:r>
        <w:rPr>
          <w:lang w:val="en-US"/>
        </w:rPr>
        <w:t>pm. Investor</w:t>
      </w:r>
      <w:r w:rsidR="005F68ED">
        <w:rPr>
          <w:lang w:val="en-US"/>
        </w:rPr>
        <w:t>s</w:t>
      </w:r>
      <w:r>
        <w:rPr>
          <w:lang w:val="en-US"/>
        </w:rPr>
        <w:t xml:space="preserve"> will discuss internally</w:t>
      </w:r>
      <w:r w:rsidR="005F68ED">
        <w:rPr>
          <w:lang w:val="en-US"/>
        </w:rPr>
        <w:t xml:space="preserve"> in how to manage this</w:t>
      </w:r>
      <w:r w:rsidR="007945B4">
        <w:rPr>
          <w:lang w:val="en-US"/>
        </w:rPr>
        <w:t xml:space="preserve"> schedule</w:t>
      </w:r>
      <w:r w:rsidR="00C61665">
        <w:rPr>
          <w:lang w:val="en-US"/>
        </w:rPr>
        <w:t xml:space="preserve"> to optimize the liquidity of holdings</w:t>
      </w:r>
      <w:r w:rsidR="007945B4">
        <w:rPr>
          <w:lang w:val="en-US"/>
        </w:rPr>
        <w:t>.</w:t>
      </w:r>
      <w:r w:rsidR="006F59C3" w:rsidRPr="006F59C3">
        <w:rPr>
          <w:lang w:val="en-US"/>
        </w:rPr>
        <w:t xml:space="preserve"> </w:t>
      </w:r>
    </w:p>
    <w:p w:rsidR="006F59C3" w:rsidRDefault="006F59C3" w:rsidP="00F77993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 xml:space="preserve">Question to investors for </w:t>
      </w:r>
      <w:r w:rsidRPr="00E601B5">
        <w:rPr>
          <w:lang w:val="en-US"/>
        </w:rPr>
        <w:t>stoc</w:t>
      </w:r>
      <w:r w:rsidR="00C61665">
        <w:rPr>
          <w:lang w:val="en-US"/>
        </w:rPr>
        <w:t>k delivered on T and</w:t>
      </w:r>
      <w:r>
        <w:rPr>
          <w:lang w:val="en-US"/>
        </w:rPr>
        <w:t xml:space="preserve"> pre-funding on T, whether they are</w:t>
      </w:r>
      <w:r w:rsidRPr="00E601B5">
        <w:rPr>
          <w:lang w:val="en-US"/>
        </w:rPr>
        <w:t xml:space="preserve"> highly discourage </w:t>
      </w:r>
      <w:r>
        <w:rPr>
          <w:lang w:val="en-US"/>
        </w:rPr>
        <w:t>or impossible because this will incur</w:t>
      </w:r>
      <w:r w:rsidRPr="00E601B5">
        <w:rPr>
          <w:lang w:val="en-US"/>
        </w:rPr>
        <w:t xml:space="preserve"> FX exposure. </w:t>
      </w:r>
      <w:r>
        <w:rPr>
          <w:lang w:val="en-US"/>
        </w:rPr>
        <w:t>Also want to know whether brokers have way</w:t>
      </w:r>
      <w:r w:rsidR="00003EE2">
        <w:rPr>
          <w:lang w:val="en-US"/>
        </w:rPr>
        <w:t>s</w:t>
      </w:r>
      <w:r>
        <w:rPr>
          <w:lang w:val="en-US"/>
        </w:rPr>
        <w:t xml:space="preserve"> to help investors to minimize the risk exposure of pre-funding.</w:t>
      </w:r>
    </w:p>
    <w:p w:rsidR="004D73DC" w:rsidRPr="00F77993" w:rsidRDefault="00966343" w:rsidP="00F77993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One fund house shared their concern of pre-funding may not be approved by compliancy and internal audit. If all fund houses has the same concern, T+1 is the only way for settlement. Fund houses have to confirm</w:t>
      </w:r>
      <w:r w:rsidR="00C61665">
        <w:rPr>
          <w:lang w:val="en-US"/>
        </w:rPr>
        <w:t xml:space="preserve"> with involved parties</w:t>
      </w:r>
      <w:r>
        <w:rPr>
          <w:lang w:val="en-US"/>
        </w:rPr>
        <w:t xml:space="preserve">. 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ind w:left="360"/>
        <w:rPr>
          <w:lang w:val="en-US"/>
        </w:rPr>
      </w:pPr>
    </w:p>
    <w:p w:rsidR="005F68ED" w:rsidRDefault="00023FDD" w:rsidP="00126B0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 xml:space="preserve">Discussion about pre-delivery of stock </w:t>
      </w:r>
      <w:r w:rsidR="0076071A">
        <w:rPr>
          <w:lang w:val="en-US"/>
        </w:rPr>
        <w:t xml:space="preserve">to broker </w:t>
      </w:r>
      <w:r>
        <w:rPr>
          <w:lang w:val="en-US"/>
        </w:rPr>
        <w:t>when it attracts corporate actions</w:t>
      </w:r>
      <w:r w:rsidR="00C731A7">
        <w:rPr>
          <w:lang w:val="en-US"/>
        </w:rPr>
        <w:t xml:space="preserve"> (CA)</w:t>
      </w:r>
    </w:p>
    <w:p w:rsidR="0076071A" w:rsidRDefault="00C61665" w:rsidP="00F77993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Clarification the entitlement of</w:t>
      </w:r>
      <w:r w:rsidR="00023FDD">
        <w:rPr>
          <w:lang w:val="en-US"/>
        </w:rPr>
        <w:t xml:space="preserve"> </w:t>
      </w:r>
      <w:r w:rsidR="007634A8">
        <w:rPr>
          <w:lang w:val="en-US"/>
        </w:rPr>
        <w:t xml:space="preserve">pre-delivered stock </w:t>
      </w:r>
      <w:r w:rsidR="007945B4">
        <w:rPr>
          <w:lang w:val="en-US"/>
        </w:rPr>
        <w:t>to broker on T</w:t>
      </w:r>
      <w:r w:rsidR="002033D6">
        <w:rPr>
          <w:lang w:val="en-US"/>
        </w:rPr>
        <w:t xml:space="preserve"> and record</w:t>
      </w:r>
      <w:r>
        <w:rPr>
          <w:lang w:val="en-US"/>
        </w:rPr>
        <w:t xml:space="preserve"> date is T+1</w:t>
      </w:r>
      <w:r w:rsidR="0076071A">
        <w:rPr>
          <w:lang w:val="en-US"/>
        </w:rPr>
        <w:t xml:space="preserve">, investor entitles for </w:t>
      </w:r>
      <w:r w:rsidR="00C731A7">
        <w:rPr>
          <w:lang w:val="en-US"/>
        </w:rPr>
        <w:t>CA</w:t>
      </w:r>
      <w:r w:rsidR="0076071A">
        <w:rPr>
          <w:lang w:val="en-US"/>
        </w:rPr>
        <w:t xml:space="preserve"> benefit because CBO of stock is not allowed</w:t>
      </w:r>
      <w:r w:rsidR="007945B4">
        <w:rPr>
          <w:lang w:val="en-US"/>
        </w:rPr>
        <w:t>.</w:t>
      </w:r>
    </w:p>
    <w:p w:rsidR="00812193" w:rsidRDefault="003618CF" w:rsidP="00F77993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 xml:space="preserve">Brokers may need to provide </w:t>
      </w:r>
      <w:r w:rsidR="00C731A7">
        <w:rPr>
          <w:lang w:val="en-US"/>
        </w:rPr>
        <w:t>CA</w:t>
      </w:r>
      <w:r>
        <w:rPr>
          <w:lang w:val="en-US"/>
        </w:rPr>
        <w:t xml:space="preserve"> support </w:t>
      </w:r>
      <w:r w:rsidR="00003EE2">
        <w:rPr>
          <w:lang w:val="en-US"/>
        </w:rPr>
        <w:t xml:space="preserve">and services </w:t>
      </w:r>
      <w:r>
        <w:rPr>
          <w:lang w:val="en-US"/>
        </w:rPr>
        <w:t xml:space="preserve">for left over non executed </w:t>
      </w:r>
      <w:r w:rsidR="002033D6">
        <w:rPr>
          <w:lang w:val="en-US"/>
        </w:rPr>
        <w:t>stock and non-pre-paid</w:t>
      </w:r>
      <w:r>
        <w:rPr>
          <w:lang w:val="en-US"/>
        </w:rPr>
        <w:t xml:space="preserve"> buy trade.</w:t>
      </w:r>
      <w:r w:rsidR="005C6707">
        <w:rPr>
          <w:lang w:val="en-US"/>
        </w:rPr>
        <w:t xml:space="preserve"> </w:t>
      </w:r>
      <w:proofErr w:type="spellStart"/>
      <w:r w:rsidR="007945B4">
        <w:rPr>
          <w:lang w:val="en-US"/>
        </w:rPr>
        <w:t>HKEx</w:t>
      </w:r>
      <w:proofErr w:type="spellEnd"/>
      <w:r w:rsidR="007945B4">
        <w:rPr>
          <w:lang w:val="en-US"/>
        </w:rPr>
        <w:t xml:space="preserve"> is working on this</w:t>
      </w:r>
      <w:r w:rsidR="002033D6">
        <w:rPr>
          <w:lang w:val="en-US"/>
        </w:rPr>
        <w:t xml:space="preserve"> issue because brokers used not to serve custodian’s function in HK</w:t>
      </w:r>
      <w:r>
        <w:rPr>
          <w:lang w:val="en-US"/>
        </w:rPr>
        <w:t>.</w:t>
      </w:r>
    </w:p>
    <w:p w:rsidR="0076071A" w:rsidRDefault="003618CF" w:rsidP="00F77993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 xml:space="preserve">Proposed to use standing settlement instruction </w:t>
      </w:r>
      <w:r w:rsidR="0076071A">
        <w:rPr>
          <w:lang w:val="en-US"/>
        </w:rPr>
        <w:t xml:space="preserve">practice </w:t>
      </w:r>
      <w:r w:rsidR="002033D6">
        <w:rPr>
          <w:lang w:val="en-US"/>
        </w:rPr>
        <w:t>to solve</w:t>
      </w:r>
      <w:r>
        <w:rPr>
          <w:lang w:val="en-US"/>
        </w:rPr>
        <w:t xml:space="preserve"> </w:t>
      </w:r>
      <w:r w:rsidR="00C731A7">
        <w:rPr>
          <w:lang w:val="en-US"/>
        </w:rPr>
        <w:t>CA</w:t>
      </w:r>
      <w:r w:rsidR="0076071A">
        <w:rPr>
          <w:lang w:val="en-US"/>
        </w:rPr>
        <w:t xml:space="preserve"> activities for SHHKSC stocks.</w:t>
      </w:r>
    </w:p>
    <w:p w:rsidR="00806292" w:rsidRDefault="0076071A" w:rsidP="00F77993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 w:rsidRPr="00C731A7">
        <w:rPr>
          <w:lang w:val="en-US"/>
        </w:rPr>
        <w:t xml:space="preserve">If auto-return of non-executed stocks from broker </w:t>
      </w:r>
      <w:r w:rsidR="00C731A7" w:rsidRPr="00C731A7">
        <w:rPr>
          <w:lang w:val="en-US"/>
        </w:rPr>
        <w:t>is implemented to help CA support</w:t>
      </w:r>
      <w:r w:rsidRPr="00C731A7">
        <w:rPr>
          <w:lang w:val="en-US"/>
        </w:rPr>
        <w:t xml:space="preserve">, </w:t>
      </w:r>
      <w:r w:rsidR="00C731A7" w:rsidRPr="00C731A7">
        <w:rPr>
          <w:lang w:val="en-US"/>
        </w:rPr>
        <w:t>g</w:t>
      </w:r>
      <w:r w:rsidR="002E72C7" w:rsidRPr="00C731A7">
        <w:rPr>
          <w:lang w:val="en-US"/>
        </w:rPr>
        <w:t xml:space="preserve">lobal custodians have concern </w:t>
      </w:r>
      <w:r w:rsidR="00C731A7" w:rsidRPr="00C731A7">
        <w:rPr>
          <w:lang w:val="en-US"/>
        </w:rPr>
        <w:t xml:space="preserve">of </w:t>
      </w:r>
      <w:r w:rsidR="002E72C7" w:rsidRPr="00C731A7">
        <w:rPr>
          <w:lang w:val="en-US"/>
        </w:rPr>
        <w:t>how can they determine th</w:t>
      </w:r>
      <w:r w:rsidR="00806292" w:rsidRPr="00C731A7">
        <w:rPr>
          <w:lang w:val="en-US"/>
        </w:rPr>
        <w:t xml:space="preserve">e instruction is an auto-return stock. Another concern </w:t>
      </w:r>
      <w:r w:rsidR="002033D6">
        <w:rPr>
          <w:lang w:val="en-US"/>
        </w:rPr>
        <w:t xml:space="preserve">is the account set up </w:t>
      </w:r>
      <w:r w:rsidR="00806292" w:rsidRPr="00C731A7">
        <w:rPr>
          <w:lang w:val="en-US"/>
        </w:rPr>
        <w:t>at global</w:t>
      </w:r>
      <w:r w:rsidR="00C731A7" w:rsidRPr="00C731A7">
        <w:rPr>
          <w:lang w:val="en-US"/>
        </w:rPr>
        <w:t xml:space="preserve"> custodian </w:t>
      </w:r>
      <w:r w:rsidR="002033D6">
        <w:rPr>
          <w:lang w:val="en-US"/>
        </w:rPr>
        <w:t>for brokers are</w:t>
      </w:r>
      <w:r w:rsidR="00C731A7" w:rsidRPr="00C731A7">
        <w:rPr>
          <w:lang w:val="en-US"/>
        </w:rPr>
        <w:t xml:space="preserve"> </w:t>
      </w:r>
      <w:r w:rsidR="002033D6">
        <w:rPr>
          <w:lang w:val="en-US"/>
        </w:rPr>
        <w:t xml:space="preserve">in </w:t>
      </w:r>
      <w:r w:rsidR="00C731A7" w:rsidRPr="00C731A7">
        <w:rPr>
          <w:lang w:val="en-US"/>
        </w:rPr>
        <w:t xml:space="preserve">omnibus </w:t>
      </w:r>
      <w:r w:rsidR="002033D6">
        <w:rPr>
          <w:lang w:val="en-US"/>
        </w:rPr>
        <w:t>structure</w:t>
      </w:r>
      <w:r w:rsidR="00806292" w:rsidRPr="00C731A7">
        <w:rPr>
          <w:lang w:val="en-US"/>
        </w:rPr>
        <w:t>. Global custo</w:t>
      </w:r>
      <w:r w:rsidR="006D2DDD" w:rsidRPr="00C731A7">
        <w:rPr>
          <w:lang w:val="en-US"/>
        </w:rPr>
        <w:t>dian has</w:t>
      </w:r>
      <w:r w:rsidR="00C731A7" w:rsidRPr="00C731A7">
        <w:rPr>
          <w:lang w:val="en-US"/>
        </w:rPr>
        <w:t xml:space="preserve"> issue to tie</w:t>
      </w:r>
      <w:r w:rsidR="006D2DDD" w:rsidRPr="00C731A7">
        <w:rPr>
          <w:lang w:val="en-US"/>
        </w:rPr>
        <w:t xml:space="preserve"> the return </w:t>
      </w:r>
      <w:r w:rsidR="00806292" w:rsidRPr="00C731A7">
        <w:rPr>
          <w:lang w:val="en-US"/>
        </w:rPr>
        <w:t>stock</w:t>
      </w:r>
      <w:r w:rsidR="00C731A7" w:rsidRPr="00C731A7">
        <w:rPr>
          <w:lang w:val="en-US"/>
        </w:rPr>
        <w:t xml:space="preserve"> to original</w:t>
      </w:r>
      <w:r w:rsidR="006D2DDD" w:rsidRPr="00C731A7">
        <w:rPr>
          <w:lang w:val="en-US"/>
        </w:rPr>
        <w:t xml:space="preserve"> pre-delivered</w:t>
      </w:r>
      <w:r w:rsidR="00C731A7" w:rsidRPr="00C731A7">
        <w:rPr>
          <w:lang w:val="en-US"/>
        </w:rPr>
        <w:t xml:space="preserve"> trade</w:t>
      </w:r>
      <w:r w:rsidR="00806292" w:rsidRPr="00C731A7">
        <w:rPr>
          <w:lang w:val="en-US"/>
        </w:rPr>
        <w:t xml:space="preserve">. </w:t>
      </w:r>
    </w:p>
    <w:p w:rsidR="00694BD2" w:rsidRDefault="00694BD2" w:rsidP="00F77993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Explored if investors agreed the settlement of cash and stock on T+1, the impact on CA.</w:t>
      </w:r>
    </w:p>
    <w:p w:rsidR="00694BD2" w:rsidRDefault="00694BD2" w:rsidP="00694BD2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It will complicate the situation. In China, splitting and consolidation events will happen on the same day. If settlement is T+1, sub-custodian doesn’t know the quantity of the share.</w:t>
      </w:r>
    </w:p>
    <w:p w:rsidR="00694BD2" w:rsidRDefault="00694BD2" w:rsidP="00694BD2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To pay on T+1, payment has to be done before noon. Global custodian not sure the</w:t>
      </w:r>
      <w:r w:rsidR="00A9505B">
        <w:rPr>
          <w:lang w:val="en-US"/>
        </w:rPr>
        <w:t>ir cash correspondents have</w:t>
      </w:r>
      <w:r>
        <w:rPr>
          <w:lang w:val="en-US"/>
        </w:rPr>
        <w:t xml:space="preserve"> arrangement to pay</w:t>
      </w:r>
      <w:r w:rsidR="00A9505B">
        <w:rPr>
          <w:lang w:val="en-US"/>
        </w:rPr>
        <w:t xml:space="preserve"> per requested</w:t>
      </w:r>
      <w:r>
        <w:rPr>
          <w:lang w:val="en-US"/>
        </w:rPr>
        <w:t xml:space="preserve"> time.</w:t>
      </w:r>
      <w:r w:rsidRPr="00321683">
        <w:rPr>
          <w:lang w:val="en-US"/>
        </w:rPr>
        <w:t xml:space="preserve"> </w:t>
      </w:r>
    </w:p>
    <w:p w:rsidR="00395946" w:rsidRDefault="00694BD2" w:rsidP="00F77993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Investor</w:t>
      </w:r>
      <w:r w:rsidR="00395946">
        <w:rPr>
          <w:lang w:val="en-US"/>
        </w:rPr>
        <w:t>s</w:t>
      </w:r>
      <w:r>
        <w:rPr>
          <w:lang w:val="en-US"/>
        </w:rPr>
        <w:t xml:space="preserve"> will </w:t>
      </w:r>
      <w:r w:rsidR="00395946">
        <w:rPr>
          <w:lang w:val="en-US"/>
        </w:rPr>
        <w:t>bring CA market claim to discuss internally and discuss their preference in next meeting.</w:t>
      </w:r>
    </w:p>
    <w:p w:rsidR="00395946" w:rsidRDefault="00395946" w:rsidP="00F77993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Suggest</w:t>
      </w:r>
      <w:r w:rsidR="00003EE2">
        <w:rPr>
          <w:lang w:val="en-US"/>
        </w:rPr>
        <w:t xml:space="preserve"> the group</w:t>
      </w:r>
      <w:r>
        <w:rPr>
          <w:lang w:val="en-US"/>
        </w:rPr>
        <w:t xml:space="preserve"> to prepare the general flows of transaction cycle and expl</w:t>
      </w:r>
      <w:r w:rsidR="00003EE2">
        <w:rPr>
          <w:lang w:val="en-US"/>
        </w:rPr>
        <w:t xml:space="preserve">ore how market players serving </w:t>
      </w:r>
      <w:r>
        <w:rPr>
          <w:lang w:val="en-US"/>
        </w:rPr>
        <w:t>different roles to support CA for T+1 pre-delivery of stock</w:t>
      </w:r>
      <w:r w:rsidR="006F59C3">
        <w:rPr>
          <w:lang w:val="en-US"/>
        </w:rPr>
        <w:t xml:space="preserve"> and pre-funding</w:t>
      </w:r>
      <w:r w:rsidR="00003EE2">
        <w:rPr>
          <w:lang w:val="en-US"/>
        </w:rPr>
        <w:t>, if to trade this product is under slight disadvantage situation for institutional market</w:t>
      </w:r>
      <w:r>
        <w:rPr>
          <w:lang w:val="en-US"/>
        </w:rPr>
        <w:t xml:space="preserve"> (</w:t>
      </w:r>
      <w:r w:rsidR="00A9505B">
        <w:rPr>
          <w:lang w:val="en-US"/>
        </w:rPr>
        <w:t>we need meeting participants</w:t>
      </w:r>
      <w:r>
        <w:rPr>
          <w:lang w:val="en-US"/>
        </w:rPr>
        <w:t xml:space="preserve"> to provide scenarios to build the flows)</w:t>
      </w:r>
      <w:r w:rsidR="00A9505B">
        <w:rPr>
          <w:lang w:val="en-US"/>
        </w:rPr>
        <w:t>.</w:t>
      </w:r>
    </w:p>
    <w:p w:rsidR="00966343" w:rsidRDefault="00966343" w:rsidP="00F77993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Suggest to get confirm</w:t>
      </w:r>
      <w:r w:rsidR="00A9505B">
        <w:rPr>
          <w:lang w:val="en-US"/>
        </w:rPr>
        <w:t>ation</w:t>
      </w:r>
      <w:r>
        <w:rPr>
          <w:lang w:val="en-US"/>
        </w:rPr>
        <w:t xml:space="preserve"> amongst broker community; ASIFMA or so, that broker can take care of CA issues and support T+1 settlement. Broker representative at our meet</w:t>
      </w:r>
      <w:r w:rsidR="00A9505B">
        <w:rPr>
          <w:lang w:val="en-US"/>
        </w:rPr>
        <w:t>ing requested delegates who are</w:t>
      </w:r>
      <w:r>
        <w:rPr>
          <w:lang w:val="en-US"/>
        </w:rPr>
        <w:t xml:space="preserve"> different roles in this group to join broker community meeting and share issues discussed here.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ind w:left="360"/>
        <w:rPr>
          <w:lang w:val="en-US"/>
        </w:rPr>
      </w:pPr>
    </w:p>
    <w:p w:rsidR="00CF0BFC" w:rsidRDefault="00CF0BFC" w:rsidP="005C67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 w:rsidRPr="00CF0BFC">
        <w:rPr>
          <w:lang w:val="en-US"/>
        </w:rPr>
        <w:t>Suggest</w:t>
      </w:r>
      <w:r w:rsidR="005C6707" w:rsidRPr="00CF0BFC">
        <w:rPr>
          <w:lang w:val="en-US"/>
        </w:rPr>
        <w:t xml:space="preserve"> investors for funds launching in HK </w:t>
      </w:r>
      <w:r w:rsidRPr="00CF0BFC">
        <w:rPr>
          <w:lang w:val="en-US"/>
        </w:rPr>
        <w:t>to consult</w:t>
      </w:r>
      <w:r w:rsidR="005C6707" w:rsidRPr="00CF0BFC">
        <w:rPr>
          <w:lang w:val="en-US"/>
        </w:rPr>
        <w:t xml:space="preserve"> trustee for any concern when stock purchase on</w:t>
      </w:r>
      <w:r w:rsidR="00A9505B">
        <w:rPr>
          <w:lang w:val="en-US"/>
        </w:rPr>
        <w:t xml:space="preserve"> T and calculation of NAV on T while s</w:t>
      </w:r>
      <w:r w:rsidR="005C6707" w:rsidRPr="00CF0BFC">
        <w:rPr>
          <w:lang w:val="en-US"/>
        </w:rPr>
        <w:t xml:space="preserve">tock is still held </w:t>
      </w:r>
      <w:r w:rsidR="00A9505B">
        <w:rPr>
          <w:lang w:val="en-US"/>
        </w:rPr>
        <w:t>at broker</w:t>
      </w:r>
      <w:r w:rsidR="005C6707" w:rsidRPr="00CF0BFC">
        <w:rPr>
          <w:lang w:val="en-US"/>
        </w:rPr>
        <w:t xml:space="preserve"> that delivers on T+1. </w:t>
      </w:r>
      <w:r w:rsidR="005C6707" w:rsidRPr="00CF0BFC">
        <w:rPr>
          <w:lang w:val="en-US"/>
        </w:rPr>
        <w:lastRenderedPageBreak/>
        <w:t xml:space="preserve">The reason why to raise this question to trustee because </w:t>
      </w:r>
      <w:r w:rsidR="00A9505B">
        <w:rPr>
          <w:lang w:val="en-US"/>
        </w:rPr>
        <w:t xml:space="preserve">regulation </w:t>
      </w:r>
      <w:r w:rsidR="005C6707" w:rsidRPr="00CF0BFC">
        <w:rPr>
          <w:lang w:val="en-US"/>
        </w:rPr>
        <w:t xml:space="preserve">for HK associated funds, the asset needs to be kept at eligible custodian. 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ind w:left="360"/>
        <w:rPr>
          <w:lang w:val="en-US"/>
        </w:rPr>
      </w:pPr>
    </w:p>
    <w:p w:rsidR="005C6707" w:rsidRDefault="00CF0BFC" w:rsidP="005C670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While</w:t>
      </w:r>
      <w:r w:rsidR="005C6707" w:rsidRPr="00CF0BFC">
        <w:rPr>
          <w:lang w:val="en-US"/>
        </w:rPr>
        <w:t xml:space="preserve"> investor collect</w:t>
      </w:r>
      <w:r>
        <w:rPr>
          <w:lang w:val="en-US"/>
        </w:rPr>
        <w:t>ing</w:t>
      </w:r>
      <w:r w:rsidR="00A9505B">
        <w:rPr>
          <w:lang w:val="en-US"/>
        </w:rPr>
        <w:t xml:space="preserve"> the opinions</w:t>
      </w:r>
      <w:r w:rsidR="005C6707" w:rsidRPr="00CF0BFC">
        <w:rPr>
          <w:lang w:val="en-US"/>
        </w:rPr>
        <w:t xml:space="preserve"> from trustee, the group can continue the discussion on T+1 scenario is feasible from a local regulation point of view.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ind w:left="360"/>
        <w:rPr>
          <w:lang w:val="en-US"/>
        </w:rPr>
      </w:pPr>
    </w:p>
    <w:p w:rsidR="00BD62A0" w:rsidRDefault="00BD62A0" w:rsidP="00BD62A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Commented to use single broker in HK is not a concern</w:t>
      </w:r>
      <w:r w:rsidR="00AE0188">
        <w:rPr>
          <w:lang w:val="en-US"/>
        </w:rPr>
        <w:t xml:space="preserve">. </w:t>
      </w:r>
      <w:r>
        <w:rPr>
          <w:lang w:val="en-US"/>
        </w:rPr>
        <w:t>Although the practice is far from perfect, market should creat</w:t>
      </w:r>
      <w:r w:rsidR="00246A96">
        <w:rPr>
          <w:lang w:val="en-US"/>
        </w:rPr>
        <w:t>e the flows and discuss with this</w:t>
      </w:r>
      <w:r>
        <w:rPr>
          <w:lang w:val="en-US"/>
        </w:rPr>
        <w:t xml:space="preserve"> group for refinement.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ind w:left="360"/>
        <w:rPr>
          <w:lang w:val="en-US"/>
        </w:rPr>
      </w:pPr>
    </w:p>
    <w:p w:rsidR="005F53BA" w:rsidRDefault="005F53BA" w:rsidP="005F53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Sub-custodians wanted to know whether investor will send free of payment instruction or against payment inst</w:t>
      </w:r>
      <w:r w:rsidR="00246A96">
        <w:rPr>
          <w:lang w:val="en-US"/>
        </w:rPr>
        <w:t>ruction to global custodians on T and/or T+1 for settlement</w:t>
      </w:r>
      <w:r>
        <w:rPr>
          <w:lang w:val="en-US"/>
        </w:rPr>
        <w:t>.</w:t>
      </w:r>
    </w:p>
    <w:p w:rsidR="005F53BA" w:rsidRPr="00552FDF" w:rsidRDefault="005F53BA" w:rsidP="00F77993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Global custodians commented that is determined by the processing capability of sub-custodian. For example, when sub-custodian</w:t>
      </w:r>
      <w:r w:rsidR="00246A96">
        <w:rPr>
          <w:lang w:val="en-US"/>
        </w:rPr>
        <w:t>s</w:t>
      </w:r>
      <w:r>
        <w:rPr>
          <w:lang w:val="en-US"/>
        </w:rPr>
        <w:t xml:space="preserve"> received against payment instruction and they are able to split the stock and payment</w:t>
      </w:r>
      <w:r w:rsidR="00246A96">
        <w:rPr>
          <w:lang w:val="en-US"/>
        </w:rPr>
        <w:t>s</w:t>
      </w:r>
      <w:r>
        <w:rPr>
          <w:lang w:val="en-US"/>
        </w:rPr>
        <w:t xml:space="preserve"> settlement, or the receiver needs to separate the FOP and a clean payment instruction for northbound trade. Global custodians will request investors to do corresponding action</w:t>
      </w:r>
      <w:r w:rsidR="00246A96">
        <w:rPr>
          <w:lang w:val="en-US"/>
        </w:rPr>
        <w:t xml:space="preserve"> as per the request from sub-custodian.</w:t>
      </w:r>
    </w:p>
    <w:p w:rsidR="005F53BA" w:rsidRDefault="00552FDF" w:rsidP="00F77993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S</w:t>
      </w:r>
      <w:r w:rsidR="005F53BA">
        <w:rPr>
          <w:lang w:val="en-US"/>
        </w:rPr>
        <w:t>ub-cus</w:t>
      </w:r>
      <w:r>
        <w:rPr>
          <w:lang w:val="en-US"/>
        </w:rPr>
        <w:t>todians</w:t>
      </w:r>
      <w:r w:rsidR="005F53BA">
        <w:rPr>
          <w:lang w:val="en-US"/>
        </w:rPr>
        <w:t xml:space="preserve"> require free of payment instruction together with clean payment instruction from global custodian, </w:t>
      </w:r>
      <w:r>
        <w:rPr>
          <w:lang w:val="en-US"/>
        </w:rPr>
        <w:t xml:space="preserve">the group </w:t>
      </w:r>
      <w:r w:rsidR="005F53BA">
        <w:rPr>
          <w:lang w:val="en-US"/>
        </w:rPr>
        <w:t>want</w:t>
      </w:r>
      <w:r>
        <w:rPr>
          <w:lang w:val="en-US"/>
        </w:rPr>
        <w:t>ed</w:t>
      </w:r>
      <w:r w:rsidR="005F53BA">
        <w:rPr>
          <w:lang w:val="en-US"/>
        </w:rPr>
        <w:t xml:space="preserve"> to compare the</w:t>
      </w:r>
      <w:r>
        <w:rPr>
          <w:lang w:val="en-US"/>
        </w:rPr>
        <w:t xml:space="preserve"> settlement of </w:t>
      </w:r>
      <w:r w:rsidR="005F53BA">
        <w:rPr>
          <w:lang w:val="en-US"/>
        </w:rPr>
        <w:t xml:space="preserve">QFII A-Share and </w:t>
      </w:r>
      <w:r>
        <w:rPr>
          <w:lang w:val="en-US"/>
        </w:rPr>
        <w:t>SHHKSC A-Share</w:t>
      </w:r>
      <w:r w:rsidR="005F53BA">
        <w:rPr>
          <w:lang w:val="en-US"/>
        </w:rPr>
        <w:t xml:space="preserve">. The finding was QFII is a </w:t>
      </w:r>
      <w:r>
        <w:rPr>
          <w:lang w:val="en-US"/>
        </w:rPr>
        <w:t>delivery verses payment (</w:t>
      </w:r>
      <w:r w:rsidR="005F53BA">
        <w:rPr>
          <w:lang w:val="en-US"/>
        </w:rPr>
        <w:t>DVP</w:t>
      </w:r>
      <w:r>
        <w:rPr>
          <w:lang w:val="en-US"/>
        </w:rPr>
        <w:t>)</w:t>
      </w:r>
      <w:r w:rsidR="00070202">
        <w:rPr>
          <w:lang w:val="en-US"/>
        </w:rPr>
        <w:t xml:space="preserve"> market</w:t>
      </w:r>
      <w:r w:rsidR="005F53BA">
        <w:rPr>
          <w:lang w:val="en-US"/>
        </w:rPr>
        <w:t xml:space="preserve"> and </w:t>
      </w:r>
      <w:r w:rsidR="00246A96">
        <w:rPr>
          <w:lang w:val="en-US"/>
        </w:rPr>
        <w:t xml:space="preserve">in SHHKSC </w:t>
      </w:r>
      <w:r w:rsidR="00070202">
        <w:rPr>
          <w:lang w:val="en-US"/>
        </w:rPr>
        <w:t xml:space="preserve">the arrangement </w:t>
      </w:r>
      <w:r w:rsidR="005F53BA">
        <w:rPr>
          <w:lang w:val="en-US"/>
        </w:rPr>
        <w:t xml:space="preserve">between broker and sub-custodian is </w:t>
      </w:r>
      <w:r>
        <w:rPr>
          <w:lang w:val="en-US"/>
        </w:rPr>
        <w:t>FOP</w:t>
      </w:r>
      <w:r w:rsidR="005F53BA">
        <w:rPr>
          <w:lang w:val="en-US"/>
        </w:rPr>
        <w:t>.</w:t>
      </w:r>
    </w:p>
    <w:p w:rsidR="005F53BA" w:rsidRDefault="00552FDF" w:rsidP="00F77993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Investor shared their concern to use the same ISIN to</w:t>
      </w:r>
      <w:r w:rsidR="005F53BA">
        <w:rPr>
          <w:lang w:val="en-US"/>
        </w:rPr>
        <w:t xml:space="preserve"> deal QFII A-share, </w:t>
      </w:r>
      <w:r w:rsidR="00070202">
        <w:rPr>
          <w:lang w:val="en-US"/>
        </w:rPr>
        <w:t xml:space="preserve">where </w:t>
      </w:r>
      <w:r>
        <w:rPr>
          <w:lang w:val="en-US"/>
        </w:rPr>
        <w:t>DVP</w:t>
      </w:r>
      <w:r w:rsidR="00070202">
        <w:rPr>
          <w:lang w:val="en-US"/>
        </w:rPr>
        <w:t xml:space="preserve"> SI is used and with</w:t>
      </w:r>
      <w:r w:rsidR="005F53BA">
        <w:rPr>
          <w:lang w:val="en-US"/>
        </w:rPr>
        <w:t xml:space="preserve"> SHHKSC</w:t>
      </w:r>
      <w:r w:rsidR="00070202">
        <w:rPr>
          <w:lang w:val="en-US"/>
        </w:rPr>
        <w:t>, it</w:t>
      </w:r>
      <w:r w:rsidR="005F53BA">
        <w:rPr>
          <w:lang w:val="en-US"/>
        </w:rPr>
        <w:t xml:space="preserve"> requires another set of instructions.</w:t>
      </w:r>
    </w:p>
    <w:p w:rsidR="00552FDF" w:rsidRDefault="00552FDF" w:rsidP="00552FDF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 xml:space="preserve">Standards comment: Even with same ISIN, we can check the place of settlement (PSET) in settlement instruction message to separate QFII and SHHKSC trade. The PSET of QFII </w:t>
      </w:r>
      <w:r w:rsidR="00070202">
        <w:rPr>
          <w:lang w:val="en-US"/>
        </w:rPr>
        <w:t>is China and SHHKSC is CCASS</w:t>
      </w:r>
      <w:r>
        <w:rPr>
          <w:lang w:val="en-US"/>
        </w:rPr>
        <w:t>.</w:t>
      </w:r>
    </w:p>
    <w:p w:rsidR="00CD1A39" w:rsidRDefault="00CD1A39" w:rsidP="00CD1A39">
      <w:pPr>
        <w:pStyle w:val="ListParagraph"/>
        <w:autoSpaceDE w:val="0"/>
        <w:autoSpaceDN w:val="0"/>
        <w:adjustRightInd w:val="0"/>
        <w:spacing w:after="133" w:line="240" w:lineRule="auto"/>
        <w:ind w:left="360"/>
        <w:rPr>
          <w:lang w:val="en-US"/>
        </w:rPr>
      </w:pPr>
    </w:p>
    <w:p w:rsidR="005F53BA" w:rsidRDefault="005F53BA" w:rsidP="005F53B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Post meeting comments</w:t>
      </w:r>
    </w:p>
    <w:p w:rsidR="000C5D7F" w:rsidRDefault="005F53BA" w:rsidP="00F77993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 w:rsidRPr="000C5D7F">
        <w:rPr>
          <w:lang w:val="en-US"/>
        </w:rPr>
        <w:t xml:space="preserve">There will have another round of </w:t>
      </w:r>
      <w:r w:rsidR="00552FDF" w:rsidRPr="000C5D7F">
        <w:rPr>
          <w:lang w:val="en-US"/>
        </w:rPr>
        <w:t xml:space="preserve">industry briefing done by </w:t>
      </w:r>
      <w:proofErr w:type="spellStart"/>
      <w:r w:rsidRPr="000C5D7F">
        <w:rPr>
          <w:lang w:val="en-US"/>
        </w:rPr>
        <w:t>HKEx</w:t>
      </w:r>
      <w:proofErr w:type="spellEnd"/>
      <w:r w:rsidRPr="000C5D7F">
        <w:rPr>
          <w:lang w:val="en-US"/>
        </w:rPr>
        <w:t xml:space="preserve"> </w:t>
      </w:r>
      <w:r w:rsidR="000C5D7F" w:rsidRPr="000C5D7F">
        <w:rPr>
          <w:lang w:val="en-US"/>
        </w:rPr>
        <w:t xml:space="preserve">to clarify outstanding questions. </w:t>
      </w:r>
      <w:r w:rsidR="00070202">
        <w:rPr>
          <w:lang w:val="en-US"/>
        </w:rPr>
        <w:t xml:space="preserve">Expected </w:t>
      </w:r>
      <w:proofErr w:type="spellStart"/>
      <w:r w:rsidR="00070202">
        <w:rPr>
          <w:lang w:val="en-US"/>
        </w:rPr>
        <w:t>HKEx</w:t>
      </w:r>
      <w:proofErr w:type="spellEnd"/>
      <w:r w:rsidR="00070202">
        <w:rPr>
          <w:lang w:val="en-US"/>
        </w:rPr>
        <w:t xml:space="preserve"> wo</w:t>
      </w:r>
      <w:r w:rsidR="000C5D7F" w:rsidRPr="000C5D7F">
        <w:rPr>
          <w:lang w:val="en-US"/>
        </w:rPr>
        <w:t>n’t</w:t>
      </w:r>
      <w:r w:rsidRPr="000C5D7F">
        <w:rPr>
          <w:lang w:val="en-US"/>
        </w:rPr>
        <w:t xml:space="preserve"> provide any solutions</w:t>
      </w:r>
      <w:r w:rsidR="000C5D7F" w:rsidRPr="000C5D7F">
        <w:rPr>
          <w:lang w:val="en-US"/>
        </w:rPr>
        <w:t xml:space="preserve"> for issues raised in previous briefings</w:t>
      </w:r>
      <w:r w:rsidR="000C5D7F">
        <w:rPr>
          <w:lang w:val="en-US"/>
        </w:rPr>
        <w:t>.</w:t>
      </w:r>
    </w:p>
    <w:p w:rsidR="005F53BA" w:rsidRPr="000C5D7F" w:rsidRDefault="005F53BA" w:rsidP="00F77993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 w:rsidRPr="000C5D7F">
        <w:rPr>
          <w:lang w:val="en-US"/>
        </w:rPr>
        <w:t>C</w:t>
      </w:r>
      <w:r w:rsidR="000C5D7F">
        <w:rPr>
          <w:lang w:val="en-US"/>
        </w:rPr>
        <w:t xml:space="preserve">ommented the approach of </w:t>
      </w:r>
      <w:proofErr w:type="spellStart"/>
      <w:r w:rsidR="000C5D7F">
        <w:rPr>
          <w:lang w:val="en-US"/>
        </w:rPr>
        <w:t>HKEx</w:t>
      </w:r>
      <w:proofErr w:type="spellEnd"/>
      <w:r w:rsidR="000C5D7F">
        <w:rPr>
          <w:lang w:val="en-US"/>
        </w:rPr>
        <w:t xml:space="preserve"> is to </w:t>
      </w:r>
      <w:r w:rsidRPr="000C5D7F">
        <w:rPr>
          <w:lang w:val="en-US"/>
        </w:rPr>
        <w:t>launch</w:t>
      </w:r>
      <w:r w:rsidR="000C5D7F">
        <w:rPr>
          <w:lang w:val="en-US"/>
        </w:rPr>
        <w:t xml:space="preserve"> the project in time and will continue to monitor</w:t>
      </w:r>
      <w:r w:rsidRPr="000C5D7F">
        <w:rPr>
          <w:lang w:val="en-US"/>
        </w:rPr>
        <w:t xml:space="preserve"> market activities. If the market is not running well, they will enhance the</w:t>
      </w:r>
      <w:r w:rsidR="000C5D7F">
        <w:rPr>
          <w:lang w:val="en-US"/>
        </w:rPr>
        <w:t>ir</w:t>
      </w:r>
      <w:r w:rsidRPr="000C5D7F">
        <w:rPr>
          <w:lang w:val="en-US"/>
        </w:rPr>
        <w:t xml:space="preserve"> service</w:t>
      </w:r>
      <w:r w:rsidR="000C5D7F">
        <w:rPr>
          <w:lang w:val="en-US"/>
        </w:rPr>
        <w:t>s in future versions</w:t>
      </w:r>
      <w:r w:rsidRPr="000C5D7F">
        <w:rPr>
          <w:lang w:val="en-US"/>
        </w:rPr>
        <w:t>.</w:t>
      </w:r>
    </w:p>
    <w:p w:rsidR="005F53BA" w:rsidRDefault="005F53BA" w:rsidP="00F77993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Concern another sho</w:t>
      </w:r>
      <w:r w:rsidR="00070202">
        <w:rPr>
          <w:lang w:val="en-US"/>
        </w:rPr>
        <w:t>w stopper – the capital gain tax.</w:t>
      </w:r>
      <w:r>
        <w:rPr>
          <w:lang w:val="en-US"/>
        </w:rPr>
        <w:t xml:space="preserve"> </w:t>
      </w:r>
      <w:r w:rsidR="00070202">
        <w:rPr>
          <w:lang w:val="en-US"/>
        </w:rPr>
        <w:t>Learnt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HKEx</w:t>
      </w:r>
      <w:proofErr w:type="spellEnd"/>
      <w:r>
        <w:rPr>
          <w:lang w:val="en-US"/>
        </w:rPr>
        <w:t xml:space="preserve"> is still seeking clarification from China, the product launch in O</w:t>
      </w:r>
      <w:r w:rsidR="000C5D7F">
        <w:rPr>
          <w:lang w:val="en-US"/>
        </w:rPr>
        <w:t>ctober 2014 will not implement</w:t>
      </w:r>
      <w:r w:rsidR="00070202">
        <w:rPr>
          <w:lang w:val="en-US"/>
        </w:rPr>
        <w:t xml:space="preserve"> this tax. As a </w:t>
      </w:r>
      <w:r>
        <w:rPr>
          <w:lang w:val="en-US"/>
        </w:rPr>
        <w:t xml:space="preserve">general practice in the past, </w:t>
      </w:r>
      <w:r w:rsidR="000C5D7F">
        <w:rPr>
          <w:lang w:val="en-US"/>
        </w:rPr>
        <w:t>there is no retrieval for historical</w:t>
      </w:r>
      <w:r>
        <w:rPr>
          <w:lang w:val="en-US"/>
        </w:rPr>
        <w:t xml:space="preserve"> claim</w:t>
      </w:r>
      <w:r w:rsidR="000C5D7F">
        <w:rPr>
          <w:lang w:val="en-US"/>
        </w:rPr>
        <w:t>s</w:t>
      </w:r>
      <w:r w:rsidR="00070202">
        <w:rPr>
          <w:lang w:val="en-US"/>
        </w:rPr>
        <w:t xml:space="preserve"> from market</w:t>
      </w:r>
      <w:r>
        <w:rPr>
          <w:lang w:val="en-US"/>
        </w:rPr>
        <w:t>.</w:t>
      </w:r>
      <w:r w:rsidR="000C5D7F">
        <w:rPr>
          <w:lang w:val="en-US"/>
        </w:rPr>
        <w:t xml:space="preserve"> It may provide grace</w:t>
      </w:r>
      <w:r w:rsidR="00070202">
        <w:rPr>
          <w:lang w:val="en-US"/>
        </w:rPr>
        <w:t xml:space="preserve"> period for tax exemption</w:t>
      </w:r>
      <w:r w:rsidR="00B711D1">
        <w:rPr>
          <w:lang w:val="en-US"/>
        </w:rPr>
        <w:t>. Guessed</w:t>
      </w:r>
      <w:r w:rsidR="000C5D7F">
        <w:rPr>
          <w:lang w:val="en-US"/>
        </w:rPr>
        <w:t xml:space="preserve"> it should be clarified</w:t>
      </w:r>
      <w:r>
        <w:rPr>
          <w:lang w:val="en-US"/>
        </w:rPr>
        <w:t xml:space="preserve"> before </w:t>
      </w:r>
      <w:r w:rsidR="000C5D7F">
        <w:rPr>
          <w:lang w:val="en-US"/>
        </w:rPr>
        <w:t>SHHKSC launch</w:t>
      </w:r>
      <w:r>
        <w:rPr>
          <w:lang w:val="en-US"/>
        </w:rPr>
        <w:t>.</w:t>
      </w:r>
    </w:p>
    <w:p w:rsidR="004E345D" w:rsidRDefault="005F53BA" w:rsidP="00F77993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Investor commented</w:t>
      </w:r>
      <w:r w:rsidR="00B711D1">
        <w:rPr>
          <w:lang w:val="en-US"/>
        </w:rPr>
        <w:t xml:space="preserve"> the topic of </w:t>
      </w:r>
      <w:r>
        <w:rPr>
          <w:lang w:val="en-US"/>
        </w:rPr>
        <w:t xml:space="preserve">northbound trade doesn’t </w:t>
      </w:r>
      <w:r w:rsidR="004E345D">
        <w:rPr>
          <w:lang w:val="en-US"/>
        </w:rPr>
        <w:t xml:space="preserve">have rights </w:t>
      </w:r>
      <w:r>
        <w:rPr>
          <w:lang w:val="en-US"/>
        </w:rPr>
        <w:t>entitle</w:t>
      </w:r>
      <w:r w:rsidR="004E345D">
        <w:rPr>
          <w:lang w:val="en-US"/>
        </w:rPr>
        <w:t>ment</w:t>
      </w:r>
      <w:r w:rsidR="00B711D1">
        <w:rPr>
          <w:lang w:val="en-US"/>
        </w:rPr>
        <w:t xml:space="preserve"> hadn’t been discussed</w:t>
      </w:r>
      <w:r w:rsidR="004E345D">
        <w:rPr>
          <w:lang w:val="en-US"/>
        </w:rPr>
        <w:t>. M</w:t>
      </w:r>
      <w:r>
        <w:rPr>
          <w:lang w:val="en-US"/>
        </w:rPr>
        <w:t>embers commented that there is no exact financial instrument called rights issue in China. Entitlements will be presented in</w:t>
      </w:r>
      <w:r w:rsidR="004E345D">
        <w:rPr>
          <w:lang w:val="en-US"/>
        </w:rPr>
        <w:t xml:space="preserve"> cash or stock form. Investor is able to</w:t>
      </w:r>
      <w:r>
        <w:rPr>
          <w:lang w:val="en-US"/>
        </w:rPr>
        <w:t xml:space="preserve"> </w:t>
      </w:r>
      <w:r w:rsidR="004E345D">
        <w:rPr>
          <w:lang w:val="en-US"/>
        </w:rPr>
        <w:t>buy/</w:t>
      </w:r>
      <w:r>
        <w:rPr>
          <w:lang w:val="en-US"/>
        </w:rPr>
        <w:t xml:space="preserve">sale </w:t>
      </w:r>
      <w:r w:rsidR="004E345D">
        <w:rPr>
          <w:lang w:val="en-US"/>
        </w:rPr>
        <w:t xml:space="preserve">those entitlement </w:t>
      </w:r>
      <w:r>
        <w:rPr>
          <w:lang w:val="en-US"/>
        </w:rPr>
        <w:t>with</w:t>
      </w:r>
      <w:r w:rsidR="00B711D1">
        <w:rPr>
          <w:lang w:val="en-US"/>
        </w:rPr>
        <w:t xml:space="preserve"> some</w:t>
      </w:r>
      <w:r>
        <w:rPr>
          <w:lang w:val="en-US"/>
        </w:rPr>
        <w:t xml:space="preserve"> restrictions, therefore </w:t>
      </w:r>
      <w:r w:rsidR="00B711D1">
        <w:rPr>
          <w:lang w:val="en-US"/>
        </w:rPr>
        <w:t>rights issue</w:t>
      </w:r>
      <w:r>
        <w:rPr>
          <w:lang w:val="en-US"/>
        </w:rPr>
        <w:t xml:space="preserve"> is not a concern for SHHKSC A-Share. </w:t>
      </w:r>
    </w:p>
    <w:p w:rsidR="005F53BA" w:rsidRDefault="005B4A2B" w:rsidP="00F77993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Another reason</w:t>
      </w:r>
      <w:r w:rsidR="005F53BA">
        <w:rPr>
          <w:lang w:val="en-US"/>
        </w:rPr>
        <w:t xml:space="preserve"> for northbound trade </w:t>
      </w:r>
      <w:r w:rsidR="004E345D">
        <w:rPr>
          <w:lang w:val="en-US"/>
        </w:rPr>
        <w:t>that SHHKSC</w:t>
      </w:r>
      <w:r>
        <w:rPr>
          <w:lang w:val="en-US"/>
        </w:rPr>
        <w:t xml:space="preserve"> doesn’t allow</w:t>
      </w:r>
      <w:r w:rsidR="004E345D">
        <w:rPr>
          <w:lang w:val="en-US"/>
        </w:rPr>
        <w:t xml:space="preserve"> investors </w:t>
      </w:r>
      <w:r>
        <w:rPr>
          <w:lang w:val="en-US"/>
        </w:rPr>
        <w:t xml:space="preserve">in HK for rights issue is because once </w:t>
      </w:r>
      <w:r w:rsidR="005F53BA">
        <w:rPr>
          <w:lang w:val="en-US"/>
        </w:rPr>
        <w:t>it allows, the Securities and Futures Ordinance (SFO) and all the company ordinances have to be changed</w:t>
      </w:r>
      <w:r w:rsidR="004E345D">
        <w:rPr>
          <w:lang w:val="en-US"/>
        </w:rPr>
        <w:t>. The company ordinance</w:t>
      </w:r>
      <w:r w:rsidR="005F53BA">
        <w:rPr>
          <w:lang w:val="en-US"/>
        </w:rPr>
        <w:t xml:space="preserve"> stated that w</w:t>
      </w:r>
      <w:r w:rsidR="004E345D">
        <w:rPr>
          <w:lang w:val="en-US"/>
        </w:rPr>
        <w:t>henever there is a rights issue</w:t>
      </w:r>
      <w:r w:rsidR="005F53BA">
        <w:rPr>
          <w:lang w:val="en-US"/>
        </w:rPr>
        <w:t xml:space="preserve"> where</w:t>
      </w:r>
      <w:r w:rsidR="004E345D">
        <w:rPr>
          <w:lang w:val="en-US"/>
        </w:rPr>
        <w:t xml:space="preserve"> it</w:t>
      </w:r>
      <w:r w:rsidR="005F53BA">
        <w:rPr>
          <w:lang w:val="en-US"/>
        </w:rPr>
        <w:t xml:space="preserve"> </w:t>
      </w:r>
      <w:r w:rsidR="004E345D">
        <w:rPr>
          <w:lang w:val="en-US"/>
        </w:rPr>
        <w:t xml:space="preserve">has </w:t>
      </w:r>
      <w:r w:rsidR="005F53BA">
        <w:rPr>
          <w:lang w:val="en-US"/>
        </w:rPr>
        <w:t xml:space="preserve">more than 15 shareholders, they have to issue a prospectus in Hong Kong. </w:t>
      </w:r>
      <w:r>
        <w:rPr>
          <w:lang w:val="en-US"/>
        </w:rPr>
        <w:t>It is not worth</w:t>
      </w:r>
      <w:r w:rsidR="005F53BA">
        <w:rPr>
          <w:lang w:val="en-US"/>
        </w:rPr>
        <w:t xml:space="preserve"> for Shanghai stock to issue prospectus in Hong Kong.</w:t>
      </w:r>
    </w:p>
    <w:p w:rsidR="00A06D7B" w:rsidRDefault="005B4A2B" w:rsidP="00F77993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Expected</w:t>
      </w:r>
      <w:r w:rsidR="00A06D7B">
        <w:rPr>
          <w:lang w:val="en-US"/>
        </w:rPr>
        <w:t xml:space="preserve"> there will have </w:t>
      </w:r>
      <w:r>
        <w:rPr>
          <w:lang w:val="en-US"/>
        </w:rPr>
        <w:t xml:space="preserve">more </w:t>
      </w:r>
      <w:r w:rsidR="00A06D7B">
        <w:rPr>
          <w:lang w:val="en-US"/>
        </w:rPr>
        <w:t>CA issues to resolve. China is using record date for market claim. Portfolio calculation of funds is measured on trade date. They are on different rulers.</w:t>
      </w:r>
      <w:r w:rsidR="000737C4">
        <w:rPr>
          <w:lang w:val="en-US"/>
        </w:rPr>
        <w:t xml:space="preserve"> It is e</w:t>
      </w:r>
      <w:r w:rsidR="00A06D7B">
        <w:rPr>
          <w:lang w:val="en-US"/>
        </w:rPr>
        <w:t>xpect</w:t>
      </w:r>
      <w:r w:rsidR="000737C4">
        <w:rPr>
          <w:lang w:val="en-US"/>
        </w:rPr>
        <w:t>ed</w:t>
      </w:r>
      <w:r w:rsidR="00A06D7B">
        <w:rPr>
          <w:lang w:val="en-US"/>
        </w:rPr>
        <w:t xml:space="preserve"> there is fun</w:t>
      </w:r>
      <w:r>
        <w:rPr>
          <w:lang w:val="en-US"/>
        </w:rPr>
        <w:t>ding issue for T settlement and if with</w:t>
      </w:r>
      <w:r w:rsidR="00A06D7B">
        <w:rPr>
          <w:lang w:val="en-US"/>
        </w:rPr>
        <w:t xml:space="preserve"> T+1 settlement, there will have corporate actions issues to be resolved.</w:t>
      </w:r>
    </w:p>
    <w:p w:rsidR="004E345D" w:rsidRDefault="005B4A2B" w:rsidP="00F77993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Some of the limitation is because</w:t>
      </w:r>
      <w:r w:rsidR="004E345D">
        <w:rPr>
          <w:lang w:val="en-US"/>
        </w:rPr>
        <w:t xml:space="preserve"> CCASS doesn’t support </w:t>
      </w:r>
      <w:r w:rsidR="00A42EA2">
        <w:rPr>
          <w:lang w:val="en-US"/>
        </w:rPr>
        <w:t>DVP</w:t>
      </w:r>
      <w:r w:rsidR="004E345D">
        <w:rPr>
          <w:lang w:val="en-US"/>
        </w:rPr>
        <w:t xml:space="preserve"> set</w:t>
      </w:r>
      <w:r w:rsidR="00A42EA2">
        <w:rPr>
          <w:lang w:val="en-US"/>
        </w:rPr>
        <w:t>tlement at the moment</w:t>
      </w:r>
      <w:r>
        <w:rPr>
          <w:lang w:val="en-US"/>
        </w:rPr>
        <w:t>. Understood that</w:t>
      </w:r>
      <w:r w:rsidR="00A42EA2">
        <w:rPr>
          <w:lang w:val="en-US"/>
        </w:rPr>
        <w:t xml:space="preserve"> they have a plan to support it</w:t>
      </w:r>
      <w:r w:rsidR="004E345D">
        <w:rPr>
          <w:lang w:val="en-US"/>
        </w:rPr>
        <w:t>.</w:t>
      </w:r>
      <w:r>
        <w:rPr>
          <w:lang w:val="en-US"/>
        </w:rPr>
        <w:t xml:space="preserve"> However t</w:t>
      </w:r>
      <w:r w:rsidR="004E345D">
        <w:rPr>
          <w:lang w:val="en-US"/>
        </w:rPr>
        <w:t>here is no announcem</w:t>
      </w:r>
      <w:r w:rsidR="00A42EA2">
        <w:rPr>
          <w:lang w:val="en-US"/>
        </w:rPr>
        <w:t xml:space="preserve">ent from </w:t>
      </w:r>
      <w:proofErr w:type="spellStart"/>
      <w:r w:rsidR="00A42EA2">
        <w:rPr>
          <w:lang w:val="en-US"/>
        </w:rPr>
        <w:lastRenderedPageBreak/>
        <w:t>HKEx</w:t>
      </w:r>
      <w:proofErr w:type="spellEnd"/>
      <w:r w:rsidR="00A42EA2">
        <w:rPr>
          <w:lang w:val="en-US"/>
        </w:rPr>
        <w:t xml:space="preserve"> about the plan</w:t>
      </w:r>
      <w:r w:rsidR="004E345D">
        <w:rPr>
          <w:lang w:val="en-US"/>
        </w:rPr>
        <w:t xml:space="preserve">. This will be one of the concerns </w:t>
      </w:r>
      <w:r w:rsidR="00A42EA2">
        <w:rPr>
          <w:lang w:val="en-US"/>
        </w:rPr>
        <w:t>in the market to decide</w:t>
      </w:r>
      <w:r w:rsidR="004E345D">
        <w:rPr>
          <w:lang w:val="en-US"/>
        </w:rPr>
        <w:t xml:space="preserve"> whether to </w:t>
      </w:r>
      <w:r w:rsidR="00A42EA2">
        <w:rPr>
          <w:lang w:val="en-US"/>
        </w:rPr>
        <w:t xml:space="preserve">invest to </w:t>
      </w:r>
      <w:r w:rsidR="004E345D">
        <w:rPr>
          <w:lang w:val="en-US"/>
        </w:rPr>
        <w:t>support</w:t>
      </w:r>
      <w:r w:rsidR="00A42EA2">
        <w:rPr>
          <w:lang w:val="en-US"/>
        </w:rPr>
        <w:t xml:space="preserve"> institutional clients with pre-funding and pre-delivery of stock arrangement </w:t>
      </w:r>
      <w:r w:rsidR="00D744BC">
        <w:rPr>
          <w:lang w:val="en-US"/>
        </w:rPr>
        <w:t xml:space="preserve">now </w:t>
      </w:r>
      <w:r w:rsidR="00A42EA2">
        <w:rPr>
          <w:lang w:val="en-US"/>
        </w:rPr>
        <w:t>or to wait</w:t>
      </w:r>
      <w:r w:rsidR="004E345D">
        <w:rPr>
          <w:lang w:val="en-US"/>
        </w:rPr>
        <w:t>.</w:t>
      </w:r>
    </w:p>
    <w:p w:rsidR="004E345D" w:rsidRDefault="004E345D" w:rsidP="00F77993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Commented that when role out DVP,</w:t>
      </w:r>
      <w:r w:rsidR="00D744BC">
        <w:rPr>
          <w:lang w:val="en-US"/>
        </w:rPr>
        <w:t xml:space="preserve"> it is likely be T+1 settlement with</w:t>
      </w:r>
      <w:r>
        <w:rPr>
          <w:lang w:val="en-US"/>
        </w:rPr>
        <w:t xml:space="preserve"> </w:t>
      </w:r>
      <w:r w:rsidR="00D744BC">
        <w:rPr>
          <w:lang w:val="en-US"/>
        </w:rPr>
        <w:t>option to support</w:t>
      </w:r>
      <w:r w:rsidR="00A06D7B">
        <w:rPr>
          <w:lang w:val="en-US"/>
        </w:rPr>
        <w:t xml:space="preserve"> receive against payment (</w:t>
      </w:r>
      <w:r>
        <w:rPr>
          <w:lang w:val="en-US"/>
        </w:rPr>
        <w:t>RVP</w:t>
      </w:r>
      <w:r w:rsidR="00A06D7B">
        <w:rPr>
          <w:lang w:val="en-US"/>
        </w:rPr>
        <w:t>)</w:t>
      </w:r>
      <w:r>
        <w:rPr>
          <w:lang w:val="en-US"/>
        </w:rPr>
        <w:t xml:space="preserve"> on T. Investor can receive stock on T. It means investor</w:t>
      </w:r>
      <w:r w:rsidR="00A06D7B">
        <w:rPr>
          <w:lang w:val="en-US"/>
        </w:rPr>
        <w:t>s</w:t>
      </w:r>
      <w:r>
        <w:rPr>
          <w:lang w:val="en-US"/>
        </w:rPr>
        <w:t xml:space="preserve"> should establish agreement</w:t>
      </w:r>
      <w:r w:rsidR="00A06D7B">
        <w:rPr>
          <w:lang w:val="en-US"/>
        </w:rPr>
        <w:t>s</w:t>
      </w:r>
      <w:r>
        <w:rPr>
          <w:lang w:val="en-US"/>
        </w:rPr>
        <w:t xml:space="preserve"> in how to issue the settlemen</w:t>
      </w:r>
      <w:r w:rsidR="00A06D7B">
        <w:rPr>
          <w:lang w:val="en-US"/>
        </w:rPr>
        <w:t>t instructions. Fund houses</w:t>
      </w:r>
      <w:r>
        <w:rPr>
          <w:lang w:val="en-US"/>
        </w:rPr>
        <w:t xml:space="preserve"> may not have concerns on T+1 settlement but hedge funds may.</w:t>
      </w:r>
      <w:r w:rsidR="00A06D7B">
        <w:rPr>
          <w:lang w:val="en-US"/>
        </w:rPr>
        <w:t xml:space="preserve"> Proper guidelines may need to set for different investment markets.</w:t>
      </w:r>
    </w:p>
    <w:p w:rsidR="004E345D" w:rsidRDefault="004E345D" w:rsidP="00F77993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Behind story</w:t>
      </w:r>
      <w:r w:rsidR="00D744BC">
        <w:rPr>
          <w:lang w:val="en-US"/>
        </w:rPr>
        <w:t xml:space="preserve"> of why to implement</w:t>
      </w:r>
      <w:r>
        <w:rPr>
          <w:lang w:val="en-US"/>
        </w:rPr>
        <w:t xml:space="preserve"> SHHKSC is </w:t>
      </w:r>
      <w:r w:rsidR="00D744BC">
        <w:rPr>
          <w:lang w:val="en-US"/>
        </w:rPr>
        <w:t xml:space="preserve">that </w:t>
      </w:r>
      <w:r>
        <w:rPr>
          <w:lang w:val="en-US"/>
        </w:rPr>
        <w:t>the current Chinese market is 80% retail business and China wants to liberalize the stock market and at</w:t>
      </w:r>
      <w:r w:rsidR="00D744BC">
        <w:rPr>
          <w:lang w:val="en-US"/>
        </w:rPr>
        <w:t>tract more international investors</w:t>
      </w:r>
      <w:r>
        <w:rPr>
          <w:lang w:val="en-US"/>
        </w:rPr>
        <w:t>.</w:t>
      </w:r>
    </w:p>
    <w:p w:rsidR="004E345D" w:rsidRDefault="00D744BC" w:rsidP="00F77993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Idea to s</w:t>
      </w:r>
      <w:r w:rsidR="004E345D">
        <w:rPr>
          <w:lang w:val="en-US"/>
        </w:rPr>
        <w:t>uggest China to follow Taiwan institutional broker (IB) model. However HK sub-custodian doesn’t have t</w:t>
      </w:r>
      <w:r>
        <w:rPr>
          <w:lang w:val="en-US"/>
        </w:rPr>
        <w:t>he cash management support but</w:t>
      </w:r>
      <w:r w:rsidR="004E345D">
        <w:rPr>
          <w:lang w:val="en-US"/>
        </w:rPr>
        <w:t xml:space="preserve"> Taiwan sub-custodian has.</w:t>
      </w:r>
    </w:p>
    <w:p w:rsidR="004E345D" w:rsidRDefault="000737C4" w:rsidP="00F77993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Broker delegate at our meeting will suggest ASIFMA to</w:t>
      </w:r>
      <w:r w:rsidR="00D744BC">
        <w:rPr>
          <w:lang w:val="en-US"/>
        </w:rPr>
        <w:t xml:space="preserve"> organize one day workshop that </w:t>
      </w:r>
      <w:r w:rsidR="004E345D">
        <w:rPr>
          <w:lang w:val="en-US"/>
        </w:rPr>
        <w:t>cover</w:t>
      </w:r>
      <w:r w:rsidR="00D744BC">
        <w:rPr>
          <w:lang w:val="en-US"/>
        </w:rPr>
        <w:t>s</w:t>
      </w:r>
      <w:r w:rsidR="004E345D">
        <w:rPr>
          <w:lang w:val="en-US"/>
        </w:rPr>
        <w:t xml:space="preserve"> </w:t>
      </w:r>
      <w:r>
        <w:rPr>
          <w:lang w:val="en-US"/>
        </w:rPr>
        <w:t>the concerns of</w:t>
      </w:r>
      <w:r w:rsidR="004E345D">
        <w:rPr>
          <w:lang w:val="en-US"/>
        </w:rPr>
        <w:t xml:space="preserve"> end-to-end flow of information. </w:t>
      </w:r>
      <w:r>
        <w:rPr>
          <w:lang w:val="en-US"/>
        </w:rPr>
        <w:t>Will propose ASIFMA to invite market player</w:t>
      </w:r>
      <w:r w:rsidR="00D744BC">
        <w:rPr>
          <w:lang w:val="en-US"/>
        </w:rPr>
        <w:t>s</w:t>
      </w:r>
      <w:r>
        <w:rPr>
          <w:lang w:val="en-US"/>
        </w:rPr>
        <w:t xml:space="preserve"> who plays different role</w:t>
      </w:r>
      <w:r w:rsidR="004E345D">
        <w:rPr>
          <w:lang w:val="en-US"/>
        </w:rPr>
        <w:t xml:space="preserve"> in the servicing chain</w:t>
      </w:r>
      <w:r w:rsidR="00F77993">
        <w:rPr>
          <w:lang w:val="en-US"/>
        </w:rPr>
        <w:t xml:space="preserve"> to participate</w:t>
      </w:r>
      <w:r w:rsidR="00D744BC">
        <w:rPr>
          <w:lang w:val="en-US"/>
        </w:rPr>
        <w:t xml:space="preserve"> and share their report to the market.</w:t>
      </w:r>
    </w:p>
    <w:p w:rsidR="00F77993" w:rsidRPr="00835C95" w:rsidRDefault="00F77993" w:rsidP="00F77993">
      <w:pPr>
        <w:pStyle w:val="ListParagraph"/>
        <w:autoSpaceDE w:val="0"/>
        <w:autoSpaceDN w:val="0"/>
        <w:adjustRightInd w:val="0"/>
        <w:spacing w:after="133" w:line="240" w:lineRule="auto"/>
        <w:rPr>
          <w:lang w:val="en-US"/>
        </w:rPr>
      </w:pPr>
    </w:p>
    <w:p w:rsidR="00F77993" w:rsidRDefault="00F77993" w:rsidP="00F779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>Pre-condition to have next meeting</w:t>
      </w:r>
    </w:p>
    <w:p w:rsidR="00F77993" w:rsidRDefault="00F77993" w:rsidP="00F77993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33" w:line="240" w:lineRule="auto"/>
        <w:rPr>
          <w:lang w:val="en-US"/>
        </w:rPr>
      </w:pPr>
      <w:r>
        <w:rPr>
          <w:lang w:val="en-US"/>
        </w:rPr>
        <w:t xml:space="preserve">There should have some </w:t>
      </w:r>
      <w:r w:rsidR="00D744BC">
        <w:rPr>
          <w:lang w:val="en-US"/>
        </w:rPr>
        <w:t xml:space="preserve">proposal of </w:t>
      </w:r>
      <w:r>
        <w:rPr>
          <w:lang w:val="en-US"/>
        </w:rPr>
        <w:t xml:space="preserve">agreeable steps between investors and brokers to handle SHHKSC trade before </w:t>
      </w:r>
      <w:r w:rsidR="00D744BC">
        <w:rPr>
          <w:lang w:val="en-US"/>
        </w:rPr>
        <w:t xml:space="preserve">the group to </w:t>
      </w:r>
      <w:r>
        <w:rPr>
          <w:lang w:val="en-US"/>
        </w:rPr>
        <w:t>discuss settlement</w:t>
      </w:r>
      <w:r w:rsidR="00D744BC">
        <w:rPr>
          <w:lang w:val="en-US"/>
        </w:rPr>
        <w:t xml:space="preserve"> practice</w:t>
      </w:r>
    </w:p>
    <w:p w:rsidR="00F77993" w:rsidRDefault="00CD1A39" w:rsidP="00CD1A3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Next meeting</w:t>
      </w:r>
    </w:p>
    <w:p w:rsidR="00CD1A39" w:rsidRDefault="00CD1A39" w:rsidP="00CD1A39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CD1A39">
        <w:rPr>
          <w:bCs/>
          <w:sz w:val="22"/>
          <w:szCs w:val="22"/>
        </w:rPr>
        <w:t>To be confirmed</w:t>
      </w:r>
      <w:r>
        <w:rPr>
          <w:bCs/>
          <w:sz w:val="22"/>
          <w:szCs w:val="22"/>
        </w:rPr>
        <w:t xml:space="preserve"> until pre-condition of next meeting met.</w:t>
      </w:r>
    </w:p>
    <w:p w:rsidR="00CD1A39" w:rsidRDefault="00CD1A39" w:rsidP="00CD1A39">
      <w:pPr>
        <w:pStyle w:val="Default"/>
        <w:rPr>
          <w:bCs/>
          <w:sz w:val="22"/>
          <w:szCs w:val="22"/>
        </w:rPr>
      </w:pPr>
    </w:p>
    <w:p w:rsidR="00CD1A39" w:rsidRDefault="00CD1A39" w:rsidP="00CD1A39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Reply from JPMC Asset Management trade support team: </w:t>
      </w:r>
    </w:p>
    <w:p w:rsidR="00CD1A39" w:rsidRDefault="00CD1A39" w:rsidP="00CD1A39">
      <w:pPr>
        <w:pStyle w:val="Default"/>
        <w:rPr>
          <w:bCs/>
          <w:sz w:val="22"/>
          <w:szCs w:val="22"/>
        </w:rPr>
      </w:pPr>
    </w:p>
    <w:p w:rsidR="00CD1A39" w:rsidRDefault="00CD1A39" w:rsidP="00CD1A39">
      <w:pPr>
        <w:rPr>
          <w:color w:val="1F497D"/>
          <w:lang w:val="en-US"/>
        </w:rPr>
      </w:pPr>
      <w:r>
        <w:rPr>
          <w:color w:val="1F497D"/>
          <w:lang w:val="en-US"/>
        </w:rPr>
        <w:t>+++ quote +++</w:t>
      </w:r>
    </w:p>
    <w:p w:rsidR="00CD1A39" w:rsidRDefault="00CD1A39" w:rsidP="00CD1A39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I’ve discussed the case with our Trade Support Team colleague on whether to suppress our settlement instruction for sale trade to global custodian after we make pre-delivery of stock, my colleague advised that we would prefer to send our settlement instruction as usual because of below </w:t>
      </w:r>
      <w:proofErr w:type="gramStart"/>
      <w:r>
        <w:rPr>
          <w:color w:val="1F497D"/>
          <w:lang w:val="en-US"/>
        </w:rPr>
        <w:t>reasons :</w:t>
      </w:r>
      <w:proofErr w:type="gramEnd"/>
    </w:p>
    <w:p w:rsidR="00CD1A39" w:rsidRDefault="00CD1A39" w:rsidP="00CD1A39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color w:val="1F497D"/>
          <w:lang w:val="en-US"/>
        </w:rPr>
      </w:pPr>
      <w:r>
        <w:rPr>
          <w:color w:val="1F497D"/>
          <w:lang w:val="en-US"/>
        </w:rPr>
        <w:t>Number of shares pre-delivered may not be the executed number of shares.</w:t>
      </w:r>
    </w:p>
    <w:p w:rsidR="00CD1A39" w:rsidRDefault="00CD1A39" w:rsidP="00CD1A39">
      <w:pPr>
        <w:pStyle w:val="ListParagraph"/>
        <w:numPr>
          <w:ilvl w:val="0"/>
          <w:numId w:val="34"/>
        </w:numPr>
        <w:spacing w:after="0" w:line="240" w:lineRule="auto"/>
        <w:contextualSpacing w:val="0"/>
        <w:rPr>
          <w:color w:val="1F497D"/>
          <w:lang w:val="en-US"/>
        </w:rPr>
      </w:pPr>
      <w:r>
        <w:rPr>
          <w:color w:val="1F497D"/>
          <w:lang w:val="en-US"/>
        </w:rPr>
        <w:t>We still need to report the trade details such as quantity, trade price, settlement amount and name of counterparty to the global custodian for settlement purpose.</w:t>
      </w:r>
    </w:p>
    <w:p w:rsidR="00CD1A39" w:rsidRPr="00CD1A39" w:rsidRDefault="00CD1A39" w:rsidP="00CD1A39">
      <w:pPr>
        <w:pStyle w:val="Default"/>
        <w:rPr>
          <w:bCs/>
          <w:sz w:val="22"/>
          <w:szCs w:val="22"/>
          <w:lang w:val="en-US"/>
        </w:rPr>
      </w:pPr>
    </w:p>
    <w:p w:rsidR="006667EF" w:rsidRDefault="00CD1A39">
      <w:r>
        <w:t>+++ end +++</w:t>
      </w:r>
    </w:p>
    <w:sectPr w:rsidR="006667EF" w:rsidSect="0098334E">
      <w:footerReference w:type="default" r:id="rId12"/>
      <w:pgSz w:w="11906" w:h="17338"/>
      <w:pgMar w:top="1880" w:right="1167" w:bottom="1270" w:left="163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7D" w:rsidRDefault="005D5B7D" w:rsidP="005D5B7D">
      <w:pPr>
        <w:spacing w:after="0" w:line="240" w:lineRule="auto"/>
      </w:pPr>
      <w:r>
        <w:separator/>
      </w:r>
    </w:p>
  </w:endnote>
  <w:endnote w:type="continuationSeparator" w:id="0">
    <w:p w:rsidR="005D5B7D" w:rsidRDefault="005D5B7D" w:rsidP="005D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473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B7D" w:rsidRDefault="005D5B7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B7D" w:rsidRDefault="005D5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7D" w:rsidRDefault="005D5B7D" w:rsidP="005D5B7D">
      <w:pPr>
        <w:spacing w:after="0" w:line="240" w:lineRule="auto"/>
      </w:pPr>
      <w:r>
        <w:separator/>
      </w:r>
    </w:p>
  </w:footnote>
  <w:footnote w:type="continuationSeparator" w:id="0">
    <w:p w:rsidR="005D5B7D" w:rsidRDefault="005D5B7D" w:rsidP="005D5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3071"/>
    <w:multiLevelType w:val="hybridMultilevel"/>
    <w:tmpl w:val="13C255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44FCA"/>
    <w:multiLevelType w:val="hybridMultilevel"/>
    <w:tmpl w:val="6A662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F3B4F"/>
    <w:multiLevelType w:val="hybridMultilevel"/>
    <w:tmpl w:val="E6C82332"/>
    <w:lvl w:ilvl="0" w:tplc="E2542F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15372"/>
    <w:multiLevelType w:val="multilevel"/>
    <w:tmpl w:val="055621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B44518C"/>
    <w:multiLevelType w:val="multilevel"/>
    <w:tmpl w:val="3F24A9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F526DE6"/>
    <w:multiLevelType w:val="hybridMultilevel"/>
    <w:tmpl w:val="E54078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2E91"/>
    <w:multiLevelType w:val="hybridMultilevel"/>
    <w:tmpl w:val="39BC3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7602"/>
    <w:multiLevelType w:val="hybridMultilevel"/>
    <w:tmpl w:val="56B4B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12B6B"/>
    <w:multiLevelType w:val="multilevel"/>
    <w:tmpl w:val="C5F0FD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580246B"/>
    <w:multiLevelType w:val="multilevel"/>
    <w:tmpl w:val="D0BE83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91757E4"/>
    <w:multiLevelType w:val="hybridMultilevel"/>
    <w:tmpl w:val="56B4B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F591D"/>
    <w:multiLevelType w:val="hybridMultilevel"/>
    <w:tmpl w:val="11400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71E9D"/>
    <w:multiLevelType w:val="multilevel"/>
    <w:tmpl w:val="398613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F83561B"/>
    <w:multiLevelType w:val="multilevel"/>
    <w:tmpl w:val="17543F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FE15C6A"/>
    <w:multiLevelType w:val="multilevel"/>
    <w:tmpl w:val="23F836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77219B2"/>
    <w:multiLevelType w:val="multilevel"/>
    <w:tmpl w:val="FF8A11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9C26887"/>
    <w:multiLevelType w:val="hybridMultilevel"/>
    <w:tmpl w:val="4FBAF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E7EAF"/>
    <w:multiLevelType w:val="multilevel"/>
    <w:tmpl w:val="AEBE55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516C555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17547E9"/>
    <w:multiLevelType w:val="hybridMultilevel"/>
    <w:tmpl w:val="014E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42506"/>
    <w:multiLevelType w:val="hybridMultilevel"/>
    <w:tmpl w:val="4C96AFC6"/>
    <w:lvl w:ilvl="0" w:tplc="7ACEB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BA3554"/>
    <w:multiLevelType w:val="multilevel"/>
    <w:tmpl w:val="1BA4BD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DB525B5"/>
    <w:multiLevelType w:val="hybridMultilevel"/>
    <w:tmpl w:val="95F8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E5300D"/>
    <w:multiLevelType w:val="multilevel"/>
    <w:tmpl w:val="C5F0FD8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06A08E4"/>
    <w:multiLevelType w:val="hybridMultilevel"/>
    <w:tmpl w:val="96A24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14E1"/>
    <w:multiLevelType w:val="hybridMultilevel"/>
    <w:tmpl w:val="66A8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800B5"/>
    <w:multiLevelType w:val="multilevel"/>
    <w:tmpl w:val="9552F8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62F6E13"/>
    <w:multiLevelType w:val="hybridMultilevel"/>
    <w:tmpl w:val="5F3CF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A01AEA"/>
    <w:multiLevelType w:val="multilevel"/>
    <w:tmpl w:val="912E1BB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E574ABA"/>
    <w:multiLevelType w:val="hybridMultilevel"/>
    <w:tmpl w:val="1A164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EB22C4"/>
    <w:multiLevelType w:val="hybridMultilevel"/>
    <w:tmpl w:val="C096B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D7E1A"/>
    <w:multiLevelType w:val="hybridMultilevel"/>
    <w:tmpl w:val="09729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D32CE"/>
    <w:multiLevelType w:val="multilevel"/>
    <w:tmpl w:val="A7448E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B6E0276"/>
    <w:multiLevelType w:val="hybridMultilevel"/>
    <w:tmpl w:val="285EFD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B3482"/>
    <w:multiLevelType w:val="multilevel"/>
    <w:tmpl w:val="57D4B4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8"/>
  </w:num>
  <w:num w:numId="5">
    <w:abstractNumId w:val="10"/>
  </w:num>
  <w:num w:numId="6">
    <w:abstractNumId w:val="23"/>
  </w:num>
  <w:num w:numId="7">
    <w:abstractNumId w:val="28"/>
  </w:num>
  <w:num w:numId="8">
    <w:abstractNumId w:val="6"/>
  </w:num>
  <w:num w:numId="9">
    <w:abstractNumId w:val="26"/>
  </w:num>
  <w:num w:numId="10">
    <w:abstractNumId w:val="31"/>
  </w:num>
  <w:num w:numId="11">
    <w:abstractNumId w:val="0"/>
  </w:num>
  <w:num w:numId="12">
    <w:abstractNumId w:val="33"/>
  </w:num>
  <w:num w:numId="13">
    <w:abstractNumId w:val="7"/>
  </w:num>
  <w:num w:numId="14">
    <w:abstractNumId w:val="24"/>
  </w:num>
  <w:num w:numId="15">
    <w:abstractNumId w:val="11"/>
  </w:num>
  <w:num w:numId="16">
    <w:abstractNumId w:val="1"/>
  </w:num>
  <w:num w:numId="17">
    <w:abstractNumId w:val="25"/>
  </w:num>
  <w:num w:numId="18">
    <w:abstractNumId w:val="19"/>
  </w:num>
  <w:num w:numId="19">
    <w:abstractNumId w:val="27"/>
  </w:num>
  <w:num w:numId="20">
    <w:abstractNumId w:val="22"/>
  </w:num>
  <w:num w:numId="21">
    <w:abstractNumId w:val="5"/>
  </w:num>
  <w:num w:numId="22">
    <w:abstractNumId w:val="29"/>
  </w:num>
  <w:num w:numId="23">
    <w:abstractNumId w:val="4"/>
  </w:num>
  <w:num w:numId="24">
    <w:abstractNumId w:val="14"/>
  </w:num>
  <w:num w:numId="25">
    <w:abstractNumId w:val="34"/>
  </w:num>
  <w:num w:numId="26">
    <w:abstractNumId w:val="21"/>
  </w:num>
  <w:num w:numId="27">
    <w:abstractNumId w:val="17"/>
  </w:num>
  <w:num w:numId="28">
    <w:abstractNumId w:val="32"/>
  </w:num>
  <w:num w:numId="29">
    <w:abstractNumId w:val="3"/>
  </w:num>
  <w:num w:numId="30">
    <w:abstractNumId w:val="9"/>
  </w:num>
  <w:num w:numId="31">
    <w:abstractNumId w:val="13"/>
  </w:num>
  <w:num w:numId="32">
    <w:abstractNumId w:val="12"/>
  </w:num>
  <w:num w:numId="33">
    <w:abstractNumId w:val="15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03"/>
    <w:rsid w:val="00003EE2"/>
    <w:rsid w:val="00023FDD"/>
    <w:rsid w:val="00024E15"/>
    <w:rsid w:val="00070202"/>
    <w:rsid w:val="000737C4"/>
    <w:rsid w:val="00075FF6"/>
    <w:rsid w:val="000B2852"/>
    <w:rsid w:val="000C5D7F"/>
    <w:rsid w:val="000C7A53"/>
    <w:rsid w:val="000F0244"/>
    <w:rsid w:val="00110696"/>
    <w:rsid w:val="00112800"/>
    <w:rsid w:val="00126B0A"/>
    <w:rsid w:val="001904DA"/>
    <w:rsid w:val="001E6588"/>
    <w:rsid w:val="001F174F"/>
    <w:rsid w:val="001F419F"/>
    <w:rsid w:val="00202003"/>
    <w:rsid w:val="002033D6"/>
    <w:rsid w:val="0022248C"/>
    <w:rsid w:val="00233706"/>
    <w:rsid w:val="00246A96"/>
    <w:rsid w:val="00251972"/>
    <w:rsid w:val="00265A19"/>
    <w:rsid w:val="00267A3C"/>
    <w:rsid w:val="00277489"/>
    <w:rsid w:val="002914DC"/>
    <w:rsid w:val="002E72C7"/>
    <w:rsid w:val="002F1FB6"/>
    <w:rsid w:val="002F53A3"/>
    <w:rsid w:val="003201D4"/>
    <w:rsid w:val="00321683"/>
    <w:rsid w:val="003312CD"/>
    <w:rsid w:val="00355FB1"/>
    <w:rsid w:val="003618CF"/>
    <w:rsid w:val="00371E01"/>
    <w:rsid w:val="00380245"/>
    <w:rsid w:val="00387264"/>
    <w:rsid w:val="00395946"/>
    <w:rsid w:val="003C04F9"/>
    <w:rsid w:val="0040517D"/>
    <w:rsid w:val="004109BD"/>
    <w:rsid w:val="00417378"/>
    <w:rsid w:val="00432D99"/>
    <w:rsid w:val="00463D7C"/>
    <w:rsid w:val="00471DBB"/>
    <w:rsid w:val="0048622E"/>
    <w:rsid w:val="004A3DD8"/>
    <w:rsid w:val="004A62B2"/>
    <w:rsid w:val="004A6CB5"/>
    <w:rsid w:val="004C52F2"/>
    <w:rsid w:val="004C588E"/>
    <w:rsid w:val="004D0AF5"/>
    <w:rsid w:val="004D5F32"/>
    <w:rsid w:val="004D73DC"/>
    <w:rsid w:val="004E345D"/>
    <w:rsid w:val="004F0673"/>
    <w:rsid w:val="004F24AF"/>
    <w:rsid w:val="00521738"/>
    <w:rsid w:val="00541583"/>
    <w:rsid w:val="00543C0A"/>
    <w:rsid w:val="00552FDF"/>
    <w:rsid w:val="00562A0B"/>
    <w:rsid w:val="005668E5"/>
    <w:rsid w:val="00573527"/>
    <w:rsid w:val="005A0965"/>
    <w:rsid w:val="005B4116"/>
    <w:rsid w:val="005B4A2B"/>
    <w:rsid w:val="005C6707"/>
    <w:rsid w:val="005D5B7D"/>
    <w:rsid w:val="005E57A9"/>
    <w:rsid w:val="005F53BA"/>
    <w:rsid w:val="005F68ED"/>
    <w:rsid w:val="0060048F"/>
    <w:rsid w:val="00604E48"/>
    <w:rsid w:val="00625158"/>
    <w:rsid w:val="00627362"/>
    <w:rsid w:val="006667EF"/>
    <w:rsid w:val="006751CB"/>
    <w:rsid w:val="00694BD2"/>
    <w:rsid w:val="00696CE6"/>
    <w:rsid w:val="006B60DE"/>
    <w:rsid w:val="006D2DDD"/>
    <w:rsid w:val="006E4203"/>
    <w:rsid w:val="006F3BB0"/>
    <w:rsid w:val="006F59C3"/>
    <w:rsid w:val="007114AD"/>
    <w:rsid w:val="00716B6F"/>
    <w:rsid w:val="0074471D"/>
    <w:rsid w:val="00755A55"/>
    <w:rsid w:val="0076071A"/>
    <w:rsid w:val="007634A8"/>
    <w:rsid w:val="00781C01"/>
    <w:rsid w:val="007945B4"/>
    <w:rsid w:val="00806292"/>
    <w:rsid w:val="0081158E"/>
    <w:rsid w:val="00812193"/>
    <w:rsid w:val="00814D2A"/>
    <w:rsid w:val="008347F2"/>
    <w:rsid w:val="00835C95"/>
    <w:rsid w:val="00842A1B"/>
    <w:rsid w:val="00850116"/>
    <w:rsid w:val="00863F5B"/>
    <w:rsid w:val="009352DF"/>
    <w:rsid w:val="00946B03"/>
    <w:rsid w:val="00966343"/>
    <w:rsid w:val="009E2B14"/>
    <w:rsid w:val="00A06D7B"/>
    <w:rsid w:val="00A11919"/>
    <w:rsid w:val="00A42EA2"/>
    <w:rsid w:val="00A53B27"/>
    <w:rsid w:val="00A9505B"/>
    <w:rsid w:val="00AA17F1"/>
    <w:rsid w:val="00AB7D0D"/>
    <w:rsid w:val="00AE0188"/>
    <w:rsid w:val="00B711D1"/>
    <w:rsid w:val="00B73E2B"/>
    <w:rsid w:val="00B7435A"/>
    <w:rsid w:val="00B75027"/>
    <w:rsid w:val="00BC2B0E"/>
    <w:rsid w:val="00BD62A0"/>
    <w:rsid w:val="00C200E0"/>
    <w:rsid w:val="00C51E72"/>
    <w:rsid w:val="00C61665"/>
    <w:rsid w:val="00C731A7"/>
    <w:rsid w:val="00C8402A"/>
    <w:rsid w:val="00C95610"/>
    <w:rsid w:val="00CB271E"/>
    <w:rsid w:val="00CB28E7"/>
    <w:rsid w:val="00CD1A39"/>
    <w:rsid w:val="00CD416B"/>
    <w:rsid w:val="00CF0BFC"/>
    <w:rsid w:val="00CF1EBA"/>
    <w:rsid w:val="00D744BC"/>
    <w:rsid w:val="00D7571F"/>
    <w:rsid w:val="00D82DA1"/>
    <w:rsid w:val="00D90C40"/>
    <w:rsid w:val="00D943CF"/>
    <w:rsid w:val="00DC183A"/>
    <w:rsid w:val="00DD2436"/>
    <w:rsid w:val="00DE7659"/>
    <w:rsid w:val="00DF69D5"/>
    <w:rsid w:val="00E535E7"/>
    <w:rsid w:val="00E601B5"/>
    <w:rsid w:val="00E839BC"/>
    <w:rsid w:val="00E919D7"/>
    <w:rsid w:val="00EA63D0"/>
    <w:rsid w:val="00EB3B36"/>
    <w:rsid w:val="00EC78E2"/>
    <w:rsid w:val="00EF1924"/>
    <w:rsid w:val="00F30BB8"/>
    <w:rsid w:val="00F5541A"/>
    <w:rsid w:val="00F77993"/>
    <w:rsid w:val="00F90A01"/>
    <w:rsid w:val="00FE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40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7D"/>
  </w:style>
  <w:style w:type="paragraph" w:styleId="Footer">
    <w:name w:val="footer"/>
    <w:basedOn w:val="Normal"/>
    <w:link w:val="FooterChar"/>
    <w:uiPriority w:val="99"/>
    <w:unhideWhenUsed/>
    <w:rsid w:val="005D5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2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40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B7D"/>
  </w:style>
  <w:style w:type="paragraph" w:styleId="Footer">
    <w:name w:val="footer"/>
    <w:basedOn w:val="Normal"/>
    <w:link w:val="FooterChar"/>
    <w:uiPriority w:val="99"/>
    <w:unhideWhenUsed/>
    <w:rsid w:val="005D5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src.gov.cn/pub/zjhpublic/zjh/201406/t20140613_256078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SWSDocument" ma:contentTypeID="0x0101004C9DECB2D12E4C3EA904DFA9AD5B12500047BC53AB85EC234289ECDF7FB9DE9E58" ma:contentTypeVersion="0" ma:contentTypeDescription="PlanetSwift Workspace Document" ma:contentTypeScope="" ma:versionID="e4fda630587039c92c29ab058520c93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64603056e991d76a99ddb354e90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iscus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iscuss" ma:index="8" nillable="true" ma:displayName="Discuss" ma:internalName="Discus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EFC454-F00E-4221-929B-B99577867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125461-6766-4F07-A1B1-11F74A26EE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0F22F-16B5-4CC4-A465-D0D6068E05D1}">
  <ds:schemaRefs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2258</Words>
  <Characters>12877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Sub-Group_August 10 2011</vt:lpstr>
    </vt:vector>
  </TitlesOfParts>
  <Company>SWIFT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Sub-Group_August 10 2011</dc:title>
  <dc:creator>loconnor</dc:creator>
  <cp:lastModifiedBy>FOO Cindy</cp:lastModifiedBy>
  <cp:revision>2</cp:revision>
  <dcterms:created xsi:type="dcterms:W3CDTF">2014-08-01T07:41:00Z</dcterms:created>
  <dcterms:modified xsi:type="dcterms:W3CDTF">2014-08-01T07:41:00Z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0x0101004C9DECB2D12E4C3EA904DFA9AD5B12500047BC53AB85EC234289ECDF7FB9DE9E58</vt:lpwstr>
  </property>
</Properties>
</file>