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07" w:rsidRPr="00B66959" w:rsidRDefault="00CF1412" w:rsidP="00CD6C07">
      <w:pPr>
        <w:pBdr>
          <w:bottom w:val="single" w:sz="6" w:space="1" w:color="auto"/>
        </w:pBdr>
        <w:rPr>
          <w:b/>
          <w:lang w:val="en-US"/>
        </w:rPr>
      </w:pPr>
      <w:r>
        <w:rPr>
          <w:b/>
          <w:lang w:val="en-US"/>
        </w:rPr>
        <w:t>APAC CA WG Meeting Minutes – 18</w:t>
      </w:r>
      <w:r w:rsidR="00CD6C07">
        <w:rPr>
          <w:b/>
          <w:vertAlign w:val="superscript"/>
          <w:lang w:val="en-US"/>
        </w:rPr>
        <w:t>th</w:t>
      </w:r>
      <w:r w:rsidR="00CD6C07">
        <w:rPr>
          <w:b/>
          <w:lang w:val="en-US"/>
        </w:rPr>
        <w:t xml:space="preserve"> </w:t>
      </w:r>
      <w:r>
        <w:rPr>
          <w:b/>
          <w:lang w:val="en-US"/>
        </w:rPr>
        <w:t>February 2014</w:t>
      </w:r>
      <w:r w:rsidR="00CD6C07" w:rsidRPr="00E36C3E">
        <w:rPr>
          <w:b/>
          <w:lang w:val="en-US"/>
        </w:rPr>
        <w:t xml:space="preserve"> </w:t>
      </w:r>
      <w:r w:rsidR="00CD6C07">
        <w:rPr>
          <w:lang w:val="en-US"/>
        </w:rPr>
        <w:t xml:space="preserve"> </w:t>
      </w:r>
    </w:p>
    <w:p w:rsidR="00CD6C07" w:rsidRDefault="00CD6C07" w:rsidP="00CD6C07">
      <w:pPr>
        <w:rPr>
          <w:lang w:val="en-US"/>
        </w:rPr>
      </w:pPr>
      <w:r>
        <w:rPr>
          <w:lang w:val="en-US"/>
        </w:rPr>
        <w:t xml:space="preserve">Time: </w:t>
      </w:r>
      <w:r>
        <w:rPr>
          <w:lang w:val="en-US"/>
        </w:rPr>
        <w:tab/>
        <w:t xml:space="preserve">2 – 3pm SGT </w:t>
      </w:r>
    </w:p>
    <w:p w:rsidR="00CD6C07" w:rsidRDefault="00CD6C07" w:rsidP="00CD6C07">
      <w:pPr>
        <w:rPr>
          <w:b/>
          <w:u w:val="single"/>
          <w:lang w:val="en-US"/>
        </w:rPr>
      </w:pPr>
      <w:r w:rsidRPr="00E36C3E">
        <w:rPr>
          <w:b/>
          <w:u w:val="single"/>
          <w:lang w:val="en-US"/>
        </w:rPr>
        <w:t>Attendees:</w:t>
      </w:r>
    </w:p>
    <w:p w:rsidR="00CD6C07" w:rsidRDefault="00CD6C07" w:rsidP="00CD6C07">
      <w:pPr>
        <w:rPr>
          <w:lang w:val="en-US"/>
        </w:rPr>
      </w:pPr>
      <w:r>
        <w:rPr>
          <w:lang w:val="en-US"/>
        </w:rPr>
        <w:t>Ken Lim</w:t>
      </w:r>
      <w:r>
        <w:rPr>
          <w:lang w:val="en-US"/>
        </w:rPr>
        <w:tab/>
      </w:r>
      <w:r>
        <w:rPr>
          <w:lang w:val="en-US"/>
        </w:rPr>
        <w:tab/>
      </w:r>
      <w:r>
        <w:rPr>
          <w:lang w:val="en-US"/>
        </w:rPr>
        <w:tab/>
      </w:r>
      <w:r>
        <w:rPr>
          <w:lang w:val="en-US"/>
        </w:rPr>
        <w:tab/>
        <w:t>Bank of America – Merrill Lynch</w:t>
      </w:r>
    </w:p>
    <w:p w:rsidR="00CD6C07" w:rsidRPr="00A436E4" w:rsidRDefault="00CD6C07" w:rsidP="00CD6C07">
      <w:pPr>
        <w:rPr>
          <w:lang w:val="en-US"/>
        </w:rPr>
      </w:pPr>
      <w:r w:rsidRPr="00A436E4">
        <w:rPr>
          <w:lang w:val="en-US"/>
        </w:rPr>
        <w:t>Cheryl Ma</w:t>
      </w:r>
      <w:r w:rsidRPr="00A436E4">
        <w:rPr>
          <w:lang w:val="en-US"/>
        </w:rPr>
        <w:tab/>
      </w:r>
      <w:r w:rsidRPr="00A436E4">
        <w:rPr>
          <w:lang w:val="en-US"/>
        </w:rPr>
        <w:tab/>
      </w:r>
      <w:r w:rsidRPr="00A436E4">
        <w:rPr>
          <w:lang w:val="en-US"/>
        </w:rPr>
        <w:tab/>
        <w:t>Citi</w:t>
      </w:r>
    </w:p>
    <w:p w:rsidR="00B53BA3" w:rsidRPr="00A436E4" w:rsidRDefault="00B53BA3" w:rsidP="00CD6C07">
      <w:pPr>
        <w:rPr>
          <w:lang w:val="en-US"/>
        </w:rPr>
      </w:pPr>
      <w:proofErr w:type="spellStart"/>
      <w:r w:rsidRPr="00A436E4">
        <w:rPr>
          <w:lang w:val="en-US"/>
        </w:rPr>
        <w:t>Rijil</w:t>
      </w:r>
      <w:proofErr w:type="spellEnd"/>
      <w:r w:rsidRPr="00A436E4">
        <w:rPr>
          <w:lang w:val="en-US"/>
        </w:rPr>
        <w:t xml:space="preserve"> Thomas</w:t>
      </w:r>
      <w:r w:rsidRPr="00A436E4">
        <w:rPr>
          <w:lang w:val="en-US"/>
        </w:rPr>
        <w:tab/>
      </w:r>
      <w:r w:rsidRPr="00A436E4">
        <w:rPr>
          <w:lang w:val="en-US"/>
        </w:rPr>
        <w:tab/>
      </w:r>
      <w:r w:rsidRPr="00A436E4">
        <w:rPr>
          <w:lang w:val="en-US"/>
        </w:rPr>
        <w:tab/>
        <w:t>Golden Source</w:t>
      </w:r>
    </w:p>
    <w:p w:rsidR="00C5664A" w:rsidRPr="00A436E4" w:rsidRDefault="00C5664A" w:rsidP="00CD6C07">
      <w:pPr>
        <w:rPr>
          <w:lang w:val="en-US"/>
        </w:rPr>
      </w:pPr>
      <w:r w:rsidRPr="00A436E4">
        <w:rPr>
          <w:lang w:val="en-US"/>
        </w:rPr>
        <w:t>Catherine Chiu</w:t>
      </w:r>
      <w:r w:rsidRPr="00A436E4">
        <w:rPr>
          <w:lang w:val="en-US"/>
        </w:rPr>
        <w:tab/>
      </w:r>
      <w:r w:rsidRPr="00A436E4">
        <w:rPr>
          <w:lang w:val="en-US"/>
        </w:rPr>
        <w:tab/>
      </w:r>
      <w:r w:rsidRPr="00A436E4">
        <w:rPr>
          <w:lang w:val="en-US"/>
        </w:rPr>
        <w:tab/>
        <w:t>HSBC</w:t>
      </w:r>
    </w:p>
    <w:p w:rsidR="00CD6C07" w:rsidRPr="00A436E4" w:rsidRDefault="00CD6C07" w:rsidP="00CD6C07">
      <w:pPr>
        <w:rPr>
          <w:lang w:val="en-US"/>
        </w:rPr>
      </w:pPr>
      <w:proofErr w:type="spellStart"/>
      <w:r w:rsidRPr="00A436E4">
        <w:rPr>
          <w:lang w:val="en-US"/>
        </w:rPr>
        <w:t>Prashant</w:t>
      </w:r>
      <w:proofErr w:type="spellEnd"/>
      <w:r w:rsidRPr="00A436E4">
        <w:rPr>
          <w:lang w:val="en-US"/>
        </w:rPr>
        <w:tab/>
      </w:r>
      <w:r w:rsidRPr="00A436E4">
        <w:rPr>
          <w:lang w:val="en-US"/>
        </w:rPr>
        <w:tab/>
      </w:r>
      <w:r w:rsidRPr="00A436E4">
        <w:rPr>
          <w:lang w:val="en-US"/>
        </w:rPr>
        <w:tab/>
        <w:t>Information Mosaic</w:t>
      </w:r>
    </w:p>
    <w:p w:rsidR="00CD6C07" w:rsidRPr="00A436E4" w:rsidRDefault="00CD6C07" w:rsidP="00CD6C07">
      <w:pPr>
        <w:rPr>
          <w:lang w:val="en-US"/>
        </w:rPr>
      </w:pPr>
      <w:proofErr w:type="spellStart"/>
      <w:r w:rsidRPr="00A436E4">
        <w:rPr>
          <w:lang w:val="en-US"/>
        </w:rPr>
        <w:t>Ankush</w:t>
      </w:r>
      <w:proofErr w:type="spellEnd"/>
      <w:r w:rsidRPr="00A436E4">
        <w:rPr>
          <w:lang w:val="en-US"/>
        </w:rPr>
        <w:t xml:space="preserve"> </w:t>
      </w:r>
      <w:proofErr w:type="spellStart"/>
      <w:r w:rsidRPr="00A436E4">
        <w:rPr>
          <w:lang w:val="en-US"/>
        </w:rPr>
        <w:t>Zutshi</w:t>
      </w:r>
      <w:proofErr w:type="spellEnd"/>
      <w:r w:rsidRPr="00A436E4">
        <w:rPr>
          <w:lang w:val="en-US"/>
        </w:rPr>
        <w:tab/>
      </w:r>
      <w:r w:rsidRPr="00A436E4">
        <w:rPr>
          <w:lang w:val="en-US"/>
        </w:rPr>
        <w:tab/>
      </w:r>
      <w:r w:rsidRPr="00A436E4">
        <w:rPr>
          <w:lang w:val="en-US"/>
        </w:rPr>
        <w:tab/>
        <w:t>Information Mosaic</w:t>
      </w:r>
    </w:p>
    <w:p w:rsidR="00C5664A" w:rsidRDefault="00C5664A" w:rsidP="00CD6C07">
      <w:pPr>
        <w:rPr>
          <w:lang w:val="en-US"/>
        </w:rPr>
      </w:pPr>
      <w:proofErr w:type="spellStart"/>
      <w:r w:rsidRPr="00C5664A">
        <w:rPr>
          <w:lang w:val="en-US"/>
        </w:rPr>
        <w:t>Madalene</w:t>
      </w:r>
      <w:proofErr w:type="spellEnd"/>
      <w:r w:rsidRPr="00C5664A">
        <w:rPr>
          <w:lang w:val="en-US"/>
        </w:rPr>
        <w:t xml:space="preserve"> Soon</w:t>
      </w:r>
      <w:r w:rsidRPr="00C5664A">
        <w:rPr>
          <w:lang w:val="en-US"/>
        </w:rPr>
        <w:tab/>
      </w:r>
      <w:r w:rsidRPr="00C5664A">
        <w:rPr>
          <w:lang w:val="en-US"/>
        </w:rPr>
        <w:tab/>
      </w:r>
      <w:r w:rsidRPr="00C5664A">
        <w:rPr>
          <w:lang w:val="en-US"/>
        </w:rPr>
        <w:tab/>
        <w:t>Interactive Data</w:t>
      </w:r>
    </w:p>
    <w:p w:rsidR="00B77613" w:rsidRDefault="00B77613" w:rsidP="00CD6C07">
      <w:pPr>
        <w:rPr>
          <w:lang w:val="en-US"/>
        </w:rPr>
      </w:pPr>
      <w:r w:rsidRPr="00B77613">
        <w:rPr>
          <w:lang w:val="en-US"/>
        </w:rPr>
        <w:t xml:space="preserve">Anton Von </w:t>
      </w:r>
      <w:proofErr w:type="spellStart"/>
      <w:r w:rsidRPr="00B77613">
        <w:rPr>
          <w:lang w:val="en-US"/>
        </w:rPr>
        <w:t>Aulock</w:t>
      </w:r>
      <w:proofErr w:type="spellEnd"/>
      <w:r>
        <w:rPr>
          <w:lang w:val="en-US"/>
        </w:rPr>
        <w:tab/>
      </w:r>
      <w:r>
        <w:rPr>
          <w:lang w:val="en-US"/>
        </w:rPr>
        <w:tab/>
        <w:t>Macquarie</w:t>
      </w:r>
    </w:p>
    <w:p w:rsidR="00B53BA3" w:rsidRDefault="00B53BA3" w:rsidP="00CD6C07">
      <w:pPr>
        <w:rPr>
          <w:lang w:val="en-US"/>
        </w:rPr>
      </w:pPr>
      <w:r>
        <w:rPr>
          <w:lang w:val="en-US"/>
        </w:rPr>
        <w:t>Tony Chen</w:t>
      </w:r>
      <w:r>
        <w:rPr>
          <w:lang w:val="en-US"/>
        </w:rPr>
        <w:tab/>
      </w:r>
      <w:r>
        <w:rPr>
          <w:lang w:val="en-US"/>
        </w:rPr>
        <w:tab/>
      </w:r>
      <w:r>
        <w:rPr>
          <w:lang w:val="en-US"/>
        </w:rPr>
        <w:tab/>
        <w:t>Morgan Stanley</w:t>
      </w:r>
    </w:p>
    <w:p w:rsidR="00B77613" w:rsidRPr="00C5664A" w:rsidRDefault="00B77613" w:rsidP="00CD6C07">
      <w:pPr>
        <w:rPr>
          <w:lang w:val="en-US"/>
        </w:rPr>
      </w:pPr>
      <w:r>
        <w:rPr>
          <w:lang w:val="en-US"/>
        </w:rPr>
        <w:t>Nicole Xu</w:t>
      </w:r>
      <w:r>
        <w:rPr>
          <w:lang w:val="en-US"/>
        </w:rPr>
        <w:tab/>
      </w:r>
      <w:r>
        <w:rPr>
          <w:lang w:val="en-US"/>
        </w:rPr>
        <w:tab/>
      </w:r>
      <w:r>
        <w:rPr>
          <w:lang w:val="en-US"/>
        </w:rPr>
        <w:tab/>
        <w:t>SIX-group</w:t>
      </w:r>
    </w:p>
    <w:p w:rsidR="00C5664A" w:rsidRPr="00B77613" w:rsidRDefault="00C5664A" w:rsidP="00CD6C07">
      <w:pPr>
        <w:rPr>
          <w:lang w:val="en-US"/>
        </w:rPr>
      </w:pPr>
      <w:r w:rsidRPr="00B77613">
        <w:rPr>
          <w:lang w:val="en-US"/>
        </w:rPr>
        <w:t xml:space="preserve">Jonathan </w:t>
      </w:r>
      <w:proofErr w:type="spellStart"/>
      <w:r w:rsidRPr="00B77613">
        <w:rPr>
          <w:lang w:val="en-US"/>
        </w:rPr>
        <w:t>Rodda</w:t>
      </w:r>
      <w:proofErr w:type="spellEnd"/>
      <w:r w:rsidRPr="00B77613">
        <w:rPr>
          <w:lang w:val="en-US"/>
        </w:rPr>
        <w:tab/>
      </w:r>
      <w:r w:rsidRPr="00B77613">
        <w:rPr>
          <w:lang w:val="en-US"/>
        </w:rPr>
        <w:tab/>
      </w:r>
      <w:r w:rsidRPr="00B77613">
        <w:rPr>
          <w:lang w:val="en-US"/>
        </w:rPr>
        <w:tab/>
        <w:t>State Street</w:t>
      </w:r>
      <w:bookmarkStart w:id="0" w:name="_GoBack"/>
      <w:bookmarkEnd w:id="0"/>
    </w:p>
    <w:p w:rsidR="00CD6C07" w:rsidRPr="00A436E4" w:rsidRDefault="00CD6C07" w:rsidP="00CD6C07">
      <w:pPr>
        <w:rPr>
          <w:lang w:val="en-US"/>
        </w:rPr>
      </w:pPr>
      <w:proofErr w:type="spellStart"/>
      <w:r w:rsidRPr="00A436E4">
        <w:rPr>
          <w:lang w:val="en-US"/>
        </w:rPr>
        <w:t>Janardhan</w:t>
      </w:r>
      <w:proofErr w:type="spellEnd"/>
      <w:r w:rsidRPr="00A436E4">
        <w:rPr>
          <w:lang w:val="en-US"/>
        </w:rPr>
        <w:t xml:space="preserve"> </w:t>
      </w:r>
      <w:proofErr w:type="spellStart"/>
      <w:r w:rsidRPr="00A436E4">
        <w:rPr>
          <w:lang w:val="en-US"/>
        </w:rPr>
        <w:t>Yalapalli</w:t>
      </w:r>
      <w:proofErr w:type="spellEnd"/>
      <w:r w:rsidRPr="00A436E4">
        <w:rPr>
          <w:lang w:val="en-US"/>
        </w:rPr>
        <w:tab/>
      </w:r>
      <w:r w:rsidRPr="00A436E4">
        <w:rPr>
          <w:lang w:val="en-US"/>
        </w:rPr>
        <w:tab/>
        <w:t>Thomson Reuters</w:t>
      </w:r>
    </w:p>
    <w:p w:rsidR="00CD6C07" w:rsidRDefault="00CD6C07" w:rsidP="00CD6C07">
      <w:pPr>
        <w:rPr>
          <w:lang w:val="en-US"/>
        </w:rPr>
      </w:pPr>
      <w:proofErr w:type="spellStart"/>
      <w:r w:rsidRPr="00A436E4">
        <w:rPr>
          <w:lang w:val="en-US"/>
        </w:rPr>
        <w:t>Nith</w:t>
      </w:r>
      <w:r w:rsidRPr="000B2377">
        <w:rPr>
          <w:lang w:val="en-US"/>
        </w:rPr>
        <w:t>in</w:t>
      </w:r>
      <w:proofErr w:type="spellEnd"/>
      <w:r w:rsidRPr="000B2377">
        <w:rPr>
          <w:lang w:val="en-US"/>
        </w:rPr>
        <w:t xml:space="preserve"> Krishnamurthy</w:t>
      </w:r>
      <w:r>
        <w:rPr>
          <w:lang w:val="en-US"/>
        </w:rPr>
        <w:tab/>
      </w:r>
      <w:r>
        <w:rPr>
          <w:lang w:val="en-US"/>
        </w:rPr>
        <w:tab/>
        <w:t>Thomson Reuters</w:t>
      </w:r>
    </w:p>
    <w:p w:rsidR="00C5664A" w:rsidRDefault="00C5664A" w:rsidP="00CD6C07">
      <w:pPr>
        <w:rPr>
          <w:lang w:val="en-US"/>
        </w:rPr>
      </w:pPr>
      <w:proofErr w:type="spellStart"/>
      <w:r w:rsidRPr="00C5664A">
        <w:rPr>
          <w:lang w:val="en-US"/>
        </w:rPr>
        <w:t>Gurumurthy</w:t>
      </w:r>
      <w:proofErr w:type="spellEnd"/>
      <w:r w:rsidRPr="00C5664A">
        <w:rPr>
          <w:lang w:val="en-US"/>
        </w:rPr>
        <w:t xml:space="preserve"> </w:t>
      </w:r>
      <w:proofErr w:type="spellStart"/>
      <w:r w:rsidRPr="00C5664A">
        <w:rPr>
          <w:lang w:val="en-US"/>
        </w:rPr>
        <w:t>Golla</w:t>
      </w:r>
      <w:proofErr w:type="spellEnd"/>
      <w:r>
        <w:rPr>
          <w:lang w:val="en-US"/>
        </w:rPr>
        <w:tab/>
      </w:r>
      <w:r>
        <w:rPr>
          <w:lang w:val="en-US"/>
        </w:rPr>
        <w:tab/>
        <w:t>Thomson Reuters</w:t>
      </w:r>
    </w:p>
    <w:p w:rsidR="00CD6C07" w:rsidRDefault="00CD6C07" w:rsidP="00CD6C07">
      <w:pPr>
        <w:rPr>
          <w:lang w:val="en-US"/>
        </w:rPr>
      </w:pPr>
      <w:r>
        <w:rPr>
          <w:lang w:val="en-US"/>
        </w:rPr>
        <w:t>Magdalene Goh</w:t>
      </w:r>
      <w:r>
        <w:rPr>
          <w:lang w:val="en-US"/>
        </w:rPr>
        <w:tab/>
      </w:r>
      <w:r>
        <w:rPr>
          <w:lang w:val="en-US"/>
        </w:rPr>
        <w:tab/>
      </w:r>
      <w:r>
        <w:rPr>
          <w:lang w:val="en-US"/>
        </w:rPr>
        <w:tab/>
        <w:t>SWIFT</w:t>
      </w:r>
    </w:p>
    <w:p w:rsidR="00CD6C07" w:rsidRDefault="00CD6C07" w:rsidP="00CD6C07">
      <w:pPr>
        <w:rPr>
          <w:lang w:val="en-US"/>
        </w:rPr>
      </w:pPr>
      <w:r>
        <w:rPr>
          <w:lang w:val="en-US"/>
        </w:rPr>
        <w:t xml:space="preserve">Mireia </w:t>
      </w:r>
      <w:proofErr w:type="spellStart"/>
      <w:r>
        <w:rPr>
          <w:lang w:val="en-US"/>
        </w:rPr>
        <w:t>Guisado-Parra</w:t>
      </w:r>
      <w:proofErr w:type="spellEnd"/>
      <w:r>
        <w:rPr>
          <w:lang w:val="en-US"/>
        </w:rPr>
        <w:tab/>
      </w:r>
      <w:r>
        <w:rPr>
          <w:lang w:val="en-US"/>
        </w:rPr>
        <w:tab/>
        <w:t>SWIFT</w:t>
      </w:r>
    </w:p>
    <w:p w:rsidR="00CD6C07" w:rsidRDefault="00CD6C07" w:rsidP="00CD6C07">
      <w:pPr>
        <w:rPr>
          <w:b/>
          <w:u w:val="single"/>
          <w:lang w:val="en-US"/>
        </w:rPr>
      </w:pPr>
      <w:r>
        <w:rPr>
          <w:b/>
          <w:u w:val="single"/>
          <w:lang w:val="en-US"/>
        </w:rPr>
        <w:br w:type="page"/>
      </w:r>
    </w:p>
    <w:p w:rsidR="00993BBB" w:rsidRPr="00993BBB" w:rsidRDefault="00C32FDA" w:rsidP="00993BBB">
      <w:pPr>
        <w:pStyle w:val="ListParagraph"/>
        <w:numPr>
          <w:ilvl w:val="0"/>
          <w:numId w:val="15"/>
        </w:numPr>
        <w:rPr>
          <w:b/>
          <w:u w:val="single"/>
          <w:lang w:val="en-US"/>
        </w:rPr>
      </w:pPr>
      <w:r w:rsidRPr="00C32FDA">
        <w:rPr>
          <w:b/>
          <w:u w:val="single"/>
          <w:lang w:val="en-US"/>
        </w:rPr>
        <w:lastRenderedPageBreak/>
        <w:t>RHTS/RHDI/EXRI Versus PRIO</w:t>
      </w:r>
      <w:r w:rsidR="00C05A93">
        <w:rPr>
          <w:b/>
          <w:u w:val="single"/>
          <w:lang w:val="en-US"/>
        </w:rPr>
        <w:t xml:space="preserve"> in TW market</w:t>
      </w:r>
    </w:p>
    <w:p w:rsidR="00C05A93" w:rsidRDefault="00C05A93" w:rsidP="0047415A">
      <w:pPr>
        <w:rPr>
          <w:b/>
          <w:u w:val="single"/>
          <w:lang w:val="en-US"/>
        </w:rPr>
      </w:pPr>
      <w:r>
        <w:rPr>
          <w:b/>
          <w:u w:val="single"/>
          <w:lang w:val="en-US"/>
        </w:rPr>
        <w:t>Review of action items:</w:t>
      </w:r>
    </w:p>
    <w:p w:rsidR="004E4B32" w:rsidRDefault="004E4B32" w:rsidP="0047415A">
      <w:pPr>
        <w:rPr>
          <w:lang w:val="en-US"/>
        </w:rPr>
      </w:pPr>
      <w:r>
        <w:rPr>
          <w:lang w:val="en-US"/>
        </w:rPr>
        <w:t>SWIFT reached out to existing NMPGs and obtained the following information on current non-renounceable rights practice:</w:t>
      </w:r>
    </w:p>
    <w:tbl>
      <w:tblPr>
        <w:tblStyle w:val="TableGrid"/>
        <w:tblW w:w="0" w:type="auto"/>
        <w:tblLook w:val="04A0" w:firstRow="1" w:lastRow="0" w:firstColumn="1" w:lastColumn="0" w:noHBand="0" w:noVBand="1"/>
      </w:tblPr>
      <w:tblGrid>
        <w:gridCol w:w="534"/>
        <w:gridCol w:w="9042"/>
      </w:tblGrid>
      <w:tr w:rsidR="00B32C97" w:rsidTr="00B32C97">
        <w:tc>
          <w:tcPr>
            <w:tcW w:w="534" w:type="dxa"/>
          </w:tcPr>
          <w:p w:rsidR="00B32C97" w:rsidRDefault="00B32C97" w:rsidP="007D0621">
            <w:pPr>
              <w:rPr>
                <w:lang w:val="en-US"/>
              </w:rPr>
            </w:pPr>
            <w:r>
              <w:rPr>
                <w:lang w:val="en-US"/>
              </w:rPr>
              <w:t>IN</w:t>
            </w:r>
          </w:p>
        </w:tc>
        <w:tc>
          <w:tcPr>
            <w:tcW w:w="9042" w:type="dxa"/>
          </w:tcPr>
          <w:p w:rsidR="00B32C97" w:rsidRDefault="00B32C97" w:rsidP="007D0621">
            <w:pPr>
              <w:rPr>
                <w:lang w:val="en-US"/>
              </w:rPr>
            </w:pPr>
            <w:r w:rsidRPr="00505A04">
              <w:rPr>
                <w:lang w:val="en-US"/>
              </w:rPr>
              <w:t>Rights forms in India are usually tradable as well as renounceable. Also in India we have an interim security, i.e. the rights application form which is though a physical instrument / security and hence no ISIN is allotted to this. Further a security code is also allotted by BSE to the rights form which is tradable.</w:t>
            </w:r>
            <w:r>
              <w:rPr>
                <w:lang w:val="en-US"/>
              </w:rPr>
              <w:t xml:space="preserve"> </w:t>
            </w:r>
            <w:r w:rsidRPr="00505A04">
              <w:rPr>
                <w:lang w:val="en-US"/>
              </w:rPr>
              <w:t xml:space="preserve">The Taiwan scenario seems way different and we (India) do not face the same issue as them.  In view of the same, we do not have any comments / </w:t>
            </w:r>
            <w:r>
              <w:rPr>
                <w:lang w:val="en-US"/>
              </w:rPr>
              <w:t>suggestions on the same.</w:t>
            </w:r>
          </w:p>
          <w:p w:rsidR="00B32C97" w:rsidRDefault="00B32C97" w:rsidP="007D0621">
            <w:pPr>
              <w:rPr>
                <w:lang w:val="en-US"/>
              </w:rPr>
            </w:pPr>
          </w:p>
        </w:tc>
      </w:tr>
      <w:tr w:rsidR="00B32C97" w:rsidTr="00B32C97">
        <w:tc>
          <w:tcPr>
            <w:tcW w:w="534" w:type="dxa"/>
          </w:tcPr>
          <w:p w:rsidR="00B32C97" w:rsidRDefault="00B32C97" w:rsidP="007D0621">
            <w:pPr>
              <w:rPr>
                <w:lang w:val="en-US"/>
              </w:rPr>
            </w:pPr>
            <w:r>
              <w:rPr>
                <w:lang w:val="en-US"/>
              </w:rPr>
              <w:t>HK</w:t>
            </w:r>
          </w:p>
        </w:tc>
        <w:tc>
          <w:tcPr>
            <w:tcW w:w="9042" w:type="dxa"/>
          </w:tcPr>
          <w:p w:rsidR="00B32C97" w:rsidRPr="00505A04" w:rsidRDefault="00B32C97" w:rsidP="007D0621">
            <w:pPr>
              <w:rPr>
                <w:lang w:val="en-US"/>
              </w:rPr>
            </w:pPr>
            <w:r>
              <w:rPr>
                <w:lang w:val="en-US"/>
              </w:rPr>
              <w:t>F</w:t>
            </w:r>
            <w:r w:rsidRPr="00505A04">
              <w:rPr>
                <w:lang w:val="en-US"/>
              </w:rPr>
              <w:t>or non-renounceable rights issue</w:t>
            </w:r>
            <w:r>
              <w:rPr>
                <w:lang w:val="en-US"/>
              </w:rPr>
              <w:t xml:space="preserve"> in HK</w:t>
            </w:r>
            <w:r w:rsidRPr="00505A04">
              <w:rPr>
                <w:lang w:val="en-US"/>
              </w:rPr>
              <w:t xml:space="preserve">, issue will not use the term ‘rights issue’, they will use the market term open offer or preferential offer and in MT 564, both of them will use PRIO. </w:t>
            </w:r>
          </w:p>
          <w:p w:rsidR="00B32C97" w:rsidRPr="00505A04" w:rsidRDefault="00B32C97" w:rsidP="007D0621">
            <w:pPr>
              <w:rPr>
                <w:lang w:val="en-US"/>
              </w:rPr>
            </w:pPr>
          </w:p>
          <w:p w:rsidR="00B32C97" w:rsidRDefault="00B32C97" w:rsidP="007D0621">
            <w:pPr>
              <w:rPr>
                <w:lang w:val="en-US"/>
              </w:rPr>
            </w:pPr>
            <w:r>
              <w:rPr>
                <w:lang w:val="en-US"/>
              </w:rPr>
              <w:t>I</w:t>
            </w:r>
            <w:r w:rsidRPr="00505A04">
              <w:rPr>
                <w:lang w:val="en-US"/>
              </w:rPr>
              <w:t xml:space="preserve">n HK, the CSD – CCASS which is one of the arms at HKEX will </w:t>
            </w:r>
            <w:r>
              <w:rPr>
                <w:lang w:val="en-US"/>
              </w:rPr>
              <w:t>issue a letter where</w:t>
            </w:r>
            <w:r w:rsidRPr="00505A04">
              <w:rPr>
                <w:lang w:val="en-US"/>
              </w:rPr>
              <w:t xml:space="preserve"> there is a reference in the letter. Market will put this reference in the intermediary securities block, field 35B as the identification of the instrument. This is to assist the book keeping process for the event.</w:t>
            </w:r>
          </w:p>
          <w:p w:rsidR="00B32C97" w:rsidRDefault="00B32C97" w:rsidP="007D0621">
            <w:pPr>
              <w:rPr>
                <w:lang w:val="en-US"/>
              </w:rPr>
            </w:pPr>
          </w:p>
        </w:tc>
      </w:tr>
      <w:tr w:rsidR="00B32C97" w:rsidTr="00B32C97">
        <w:tc>
          <w:tcPr>
            <w:tcW w:w="534" w:type="dxa"/>
          </w:tcPr>
          <w:p w:rsidR="00B32C97" w:rsidRDefault="00B32C97" w:rsidP="007D0621">
            <w:pPr>
              <w:rPr>
                <w:lang w:val="en-US"/>
              </w:rPr>
            </w:pPr>
            <w:r>
              <w:rPr>
                <w:lang w:val="en-US"/>
              </w:rPr>
              <w:t>AU</w:t>
            </w:r>
          </w:p>
        </w:tc>
        <w:tc>
          <w:tcPr>
            <w:tcW w:w="9042" w:type="dxa"/>
          </w:tcPr>
          <w:p w:rsidR="00B32C97" w:rsidRDefault="00782A32" w:rsidP="00E171D4">
            <w:pPr>
              <w:rPr>
                <w:lang w:val="en-US"/>
              </w:rPr>
            </w:pPr>
            <w:r>
              <w:rPr>
                <w:lang w:val="en-US"/>
              </w:rPr>
              <w:t xml:space="preserve">The approach for Australia is mixed. There is no market standard and various approaches are adopted. </w:t>
            </w:r>
          </w:p>
        </w:tc>
      </w:tr>
      <w:tr w:rsidR="00B32C97" w:rsidTr="00B32C97">
        <w:tc>
          <w:tcPr>
            <w:tcW w:w="534" w:type="dxa"/>
          </w:tcPr>
          <w:p w:rsidR="00B32C97" w:rsidRDefault="00B32C97" w:rsidP="007D0621">
            <w:pPr>
              <w:rPr>
                <w:lang w:val="en-US"/>
              </w:rPr>
            </w:pPr>
            <w:r>
              <w:rPr>
                <w:lang w:val="en-US"/>
              </w:rPr>
              <w:t>KR</w:t>
            </w:r>
          </w:p>
        </w:tc>
        <w:tc>
          <w:tcPr>
            <w:tcW w:w="9042" w:type="dxa"/>
          </w:tcPr>
          <w:p w:rsidR="00B32C97" w:rsidRDefault="00B32C97" w:rsidP="007D0621">
            <w:pPr>
              <w:rPr>
                <w:lang w:val="en-US"/>
              </w:rPr>
            </w:pPr>
            <w:r w:rsidRPr="00505A04">
              <w:rPr>
                <w:lang w:val="en-US"/>
              </w:rPr>
              <w:t xml:space="preserve">Using RHDI/EXRI for rights issue.  If rights cannot be sold, it will </w:t>
            </w:r>
            <w:proofErr w:type="gramStart"/>
            <w:r w:rsidRPr="00505A04">
              <w:rPr>
                <w:lang w:val="en-US"/>
              </w:rPr>
              <w:t>say :22F</w:t>
            </w:r>
            <w:proofErr w:type="gramEnd"/>
            <w:r w:rsidRPr="00505A04">
              <w:rPr>
                <w:lang w:val="en-US"/>
              </w:rPr>
              <w:t xml:space="preserve">::SELL//NREN.  No SELL option.  If no ISIN is available, internal code will be used.  These representations in the messages are also applicable when there is no ‘securities’ issued as ‘rights’.  </w:t>
            </w:r>
          </w:p>
          <w:p w:rsidR="00B32C97" w:rsidRDefault="00B32C97" w:rsidP="007D0621">
            <w:pPr>
              <w:rPr>
                <w:lang w:val="en-US"/>
              </w:rPr>
            </w:pPr>
          </w:p>
          <w:p w:rsidR="00B32C97" w:rsidRDefault="00B32C97" w:rsidP="007D0621">
            <w:pPr>
              <w:rPr>
                <w:lang w:val="en-US"/>
              </w:rPr>
            </w:pPr>
            <w:r>
              <w:rPr>
                <w:lang w:val="en-US"/>
              </w:rPr>
              <w:t xml:space="preserve">Additional comment from KR: </w:t>
            </w:r>
            <w:r w:rsidRPr="00505A04">
              <w:rPr>
                <w:lang w:val="en-US"/>
              </w:rPr>
              <w:t xml:space="preserve">the use of PRIO for non-renounceable rights may confuse the customer as it is a wide concept to cover all open offer rights.  </w:t>
            </w:r>
          </w:p>
          <w:p w:rsidR="00B32C97" w:rsidRDefault="00B32C97" w:rsidP="007D0621">
            <w:pPr>
              <w:rPr>
                <w:lang w:val="en-US"/>
              </w:rPr>
            </w:pPr>
          </w:p>
        </w:tc>
      </w:tr>
      <w:tr w:rsidR="00B32C97" w:rsidTr="00B32C97">
        <w:tc>
          <w:tcPr>
            <w:tcW w:w="534" w:type="dxa"/>
          </w:tcPr>
          <w:p w:rsidR="00B32C97" w:rsidRDefault="00B32C97" w:rsidP="007D0621">
            <w:pPr>
              <w:rPr>
                <w:lang w:val="en-US"/>
              </w:rPr>
            </w:pPr>
            <w:r>
              <w:rPr>
                <w:lang w:val="en-US"/>
              </w:rPr>
              <w:t>JP</w:t>
            </w:r>
          </w:p>
        </w:tc>
        <w:tc>
          <w:tcPr>
            <w:tcW w:w="9042" w:type="dxa"/>
          </w:tcPr>
          <w:p w:rsidR="00B32C97" w:rsidRDefault="00B32C97" w:rsidP="007D0621">
            <w:pPr>
              <w:rPr>
                <w:lang w:val="en-US"/>
              </w:rPr>
            </w:pPr>
            <w:r w:rsidRPr="00505A04">
              <w:rPr>
                <w:lang w:val="en-US"/>
              </w:rPr>
              <w:t xml:space="preserve">Similar to KR.  TSE uses dummy ISIN when ISIN will not be issued for rights.  </w:t>
            </w:r>
          </w:p>
          <w:p w:rsidR="00B32C97" w:rsidRDefault="00B32C97" w:rsidP="007D0621">
            <w:pPr>
              <w:rPr>
                <w:lang w:val="en-US"/>
              </w:rPr>
            </w:pPr>
          </w:p>
        </w:tc>
      </w:tr>
      <w:tr w:rsidR="00B32C97" w:rsidTr="00B32C97">
        <w:tc>
          <w:tcPr>
            <w:tcW w:w="534" w:type="dxa"/>
          </w:tcPr>
          <w:p w:rsidR="00B32C97" w:rsidRDefault="00B32C97" w:rsidP="007D0621">
            <w:pPr>
              <w:rPr>
                <w:lang w:val="en-US"/>
              </w:rPr>
            </w:pPr>
            <w:r>
              <w:rPr>
                <w:lang w:val="en-US"/>
              </w:rPr>
              <w:t>MY</w:t>
            </w:r>
          </w:p>
        </w:tc>
        <w:tc>
          <w:tcPr>
            <w:tcW w:w="9042" w:type="dxa"/>
          </w:tcPr>
          <w:p w:rsidR="00B32C97" w:rsidRPr="00505A04" w:rsidRDefault="00B32C97" w:rsidP="007D0621">
            <w:pPr>
              <w:rPr>
                <w:lang w:val="en-US"/>
              </w:rPr>
            </w:pPr>
            <w:r>
              <w:rPr>
                <w:lang w:val="en-US"/>
              </w:rPr>
              <w:t>Listed securities r</w:t>
            </w:r>
            <w:r w:rsidRPr="00505A04">
              <w:rPr>
                <w:lang w:val="en-US"/>
              </w:rPr>
              <w:t>ights</w:t>
            </w:r>
            <w:r>
              <w:rPr>
                <w:lang w:val="en-US"/>
              </w:rPr>
              <w:t xml:space="preserve"> issue in Malaysia can be both r</w:t>
            </w:r>
            <w:r w:rsidRPr="00505A04">
              <w:rPr>
                <w:lang w:val="en-US"/>
              </w:rPr>
              <w:t xml:space="preserve">enounceable and non-renounceable basis. </w:t>
            </w:r>
          </w:p>
          <w:p w:rsidR="00B32C97" w:rsidRPr="00505A04" w:rsidRDefault="00B32C97" w:rsidP="007D0621">
            <w:pPr>
              <w:rPr>
                <w:lang w:val="en-US"/>
              </w:rPr>
            </w:pPr>
          </w:p>
          <w:p w:rsidR="00B32C97" w:rsidRPr="00505A04" w:rsidRDefault="00B32C97" w:rsidP="007D0621">
            <w:pPr>
              <w:rPr>
                <w:lang w:val="en-US"/>
              </w:rPr>
            </w:pPr>
            <w:r w:rsidRPr="00505A04">
              <w:rPr>
                <w:lang w:val="en-US"/>
              </w:rPr>
              <w:t xml:space="preserve">Generally for a typical Rights Issue processed via RHDI/EXRI, - </w:t>
            </w:r>
          </w:p>
          <w:p w:rsidR="00B32C97" w:rsidRPr="00505A04" w:rsidRDefault="00B32C97" w:rsidP="007D0621">
            <w:pPr>
              <w:rPr>
                <w:lang w:val="en-US"/>
              </w:rPr>
            </w:pPr>
            <w:r w:rsidRPr="00505A04">
              <w:rPr>
                <w:lang w:val="en-US"/>
              </w:rPr>
              <w:t xml:space="preserve">a. Renounceable Rights Issue, interim securities code or ISIN code for Rights shares are available in the local market.   </w:t>
            </w:r>
          </w:p>
          <w:p w:rsidR="00B32C97" w:rsidRPr="00505A04" w:rsidRDefault="00B32C97" w:rsidP="007D0621">
            <w:pPr>
              <w:rPr>
                <w:lang w:val="en-US"/>
              </w:rPr>
            </w:pPr>
            <w:proofErr w:type="gramStart"/>
            <w:r w:rsidRPr="00505A04">
              <w:rPr>
                <w:lang w:val="en-US"/>
              </w:rPr>
              <w:t>b. Non-renounceable</w:t>
            </w:r>
            <w:proofErr w:type="gramEnd"/>
            <w:r w:rsidRPr="00505A04">
              <w:rPr>
                <w:lang w:val="en-US"/>
              </w:rPr>
              <w:t xml:space="preserve"> Rights issue, it is non -tradable or transferable on the Exchange. Thus, no ISIN code is made available for the Rights Shares. </w:t>
            </w:r>
          </w:p>
          <w:p w:rsidR="00B32C97" w:rsidRPr="00505A04" w:rsidRDefault="00B32C97" w:rsidP="007D0621">
            <w:pPr>
              <w:rPr>
                <w:lang w:val="en-US"/>
              </w:rPr>
            </w:pPr>
          </w:p>
          <w:p w:rsidR="00B32C97" w:rsidRPr="00505A04" w:rsidRDefault="00B32C97" w:rsidP="007D0621">
            <w:pPr>
              <w:rPr>
                <w:lang w:val="en-US"/>
              </w:rPr>
            </w:pPr>
            <w:r w:rsidRPr="00505A04">
              <w:rPr>
                <w:lang w:val="en-US"/>
              </w:rPr>
              <w:t xml:space="preserve">Further to Taiwan Market, Malaysia also have quite a number of event involving listing of New Companies that is processed via Priority Offer as the offer is open to : </w:t>
            </w:r>
          </w:p>
          <w:p w:rsidR="00B32C97" w:rsidRPr="00505A04" w:rsidRDefault="00B32C97" w:rsidP="007D0621">
            <w:pPr>
              <w:rPr>
                <w:lang w:val="en-US"/>
              </w:rPr>
            </w:pPr>
            <w:r w:rsidRPr="00505A04">
              <w:rPr>
                <w:lang w:val="en-US"/>
              </w:rPr>
              <w:t xml:space="preserve">a. Malaysia Public/Selected Investor or Identified Investor </w:t>
            </w:r>
          </w:p>
          <w:p w:rsidR="00B32C97" w:rsidRPr="00505A04" w:rsidRDefault="00B32C97" w:rsidP="007D0621">
            <w:pPr>
              <w:rPr>
                <w:lang w:val="en-US"/>
              </w:rPr>
            </w:pPr>
            <w:r w:rsidRPr="00505A04">
              <w:rPr>
                <w:lang w:val="en-US"/>
              </w:rPr>
              <w:t>b. existing shares holders of the group companies which is listed on the Exchange with limited new shares under the listing is reserved for application by the grou</w:t>
            </w:r>
            <w:r>
              <w:rPr>
                <w:lang w:val="en-US"/>
              </w:rPr>
              <w:t>p companies shareholders only.</w:t>
            </w:r>
          </w:p>
          <w:p w:rsidR="00B32C97" w:rsidRPr="00505A04" w:rsidRDefault="00B32C97" w:rsidP="007D0621">
            <w:pPr>
              <w:rPr>
                <w:lang w:val="en-US"/>
              </w:rPr>
            </w:pPr>
          </w:p>
          <w:p w:rsidR="00B32C97" w:rsidRPr="00505A04" w:rsidRDefault="00B32C97" w:rsidP="007D0621">
            <w:pPr>
              <w:rPr>
                <w:lang w:val="en-US"/>
              </w:rPr>
            </w:pPr>
            <w:r w:rsidRPr="00505A04">
              <w:rPr>
                <w:lang w:val="en-US"/>
              </w:rPr>
              <w:t>Item b is made on a non-renounceable basis, subject to entitlement date with specific or non- specific ratio. Upon subscription, t</w:t>
            </w:r>
            <w:r>
              <w:rPr>
                <w:lang w:val="en-US"/>
              </w:rPr>
              <w:t xml:space="preserve">he shareholders shall receive </w:t>
            </w:r>
            <w:r w:rsidRPr="00505A04">
              <w:rPr>
                <w:lang w:val="en-US"/>
              </w:rPr>
              <w:t>new shares to</w:t>
            </w:r>
            <w:r>
              <w:rPr>
                <w:lang w:val="en-US"/>
              </w:rPr>
              <w:t xml:space="preserve"> be</w:t>
            </w:r>
            <w:r w:rsidRPr="00505A04">
              <w:rPr>
                <w:lang w:val="en-US"/>
              </w:rPr>
              <w:t xml:space="preserve"> listed on the Exchange. </w:t>
            </w:r>
          </w:p>
          <w:p w:rsidR="00B32C97" w:rsidRPr="00505A04" w:rsidRDefault="00B32C97" w:rsidP="007D0621">
            <w:pPr>
              <w:rPr>
                <w:lang w:val="en-US"/>
              </w:rPr>
            </w:pPr>
            <w:r w:rsidRPr="00505A04">
              <w:rPr>
                <w:lang w:val="en-US"/>
              </w:rPr>
              <w:lastRenderedPageBreak/>
              <w:t>Due to many variation</w:t>
            </w:r>
            <w:r>
              <w:rPr>
                <w:lang w:val="en-US"/>
              </w:rPr>
              <w:t>s</w:t>
            </w:r>
            <w:r w:rsidRPr="00505A04">
              <w:rPr>
                <w:lang w:val="en-US"/>
              </w:rPr>
              <w:t xml:space="preserve"> of the Priority events and most mirror the common RHDI/EXRI event , some custodian may process this event as:- </w:t>
            </w:r>
          </w:p>
          <w:p w:rsidR="00B32C97" w:rsidRPr="00505A04" w:rsidRDefault="00B32C97" w:rsidP="007D0621">
            <w:pPr>
              <w:rPr>
                <w:lang w:val="en-US"/>
              </w:rPr>
            </w:pPr>
            <w:r w:rsidRPr="00505A04">
              <w:rPr>
                <w:lang w:val="en-US"/>
              </w:rPr>
              <w:t>a. Rights Issue event and further distribute a Dummy position to reflect the “privilege" given to the existing shareholders. Tag 22 of MT564 reflected as RHDI/PR</w:t>
            </w:r>
            <w:r>
              <w:rPr>
                <w:lang w:val="en-US"/>
              </w:rPr>
              <w:t>I</w:t>
            </w:r>
            <w:r w:rsidRPr="00505A04">
              <w:rPr>
                <w:lang w:val="en-US"/>
              </w:rPr>
              <w:t xml:space="preserve">O </w:t>
            </w:r>
          </w:p>
          <w:p w:rsidR="00B32C97" w:rsidRPr="00505A04" w:rsidRDefault="00B32C97" w:rsidP="007D0621">
            <w:pPr>
              <w:rPr>
                <w:lang w:val="en-US"/>
              </w:rPr>
            </w:pPr>
            <w:r w:rsidRPr="00505A04">
              <w:rPr>
                <w:lang w:val="en-US"/>
              </w:rPr>
              <w:t xml:space="preserve">b. Further process election via Priority Offer event (PRIO) since no. of shares offered is limited and restricted to certain group of shareholders as per item b above. </w:t>
            </w:r>
          </w:p>
          <w:p w:rsidR="00B32C97" w:rsidRPr="00505A04" w:rsidRDefault="00B32C97" w:rsidP="007D0621">
            <w:pPr>
              <w:rPr>
                <w:lang w:val="en-US"/>
              </w:rPr>
            </w:pPr>
          </w:p>
          <w:p w:rsidR="00B32C97" w:rsidRPr="00505A04" w:rsidRDefault="00B32C97" w:rsidP="007D0621">
            <w:pPr>
              <w:rPr>
                <w:lang w:val="en-US"/>
              </w:rPr>
            </w:pPr>
            <w:r>
              <w:rPr>
                <w:lang w:val="en-US"/>
              </w:rPr>
              <w:t>We understand there are</w:t>
            </w:r>
            <w:r w:rsidRPr="00505A04">
              <w:rPr>
                <w:lang w:val="en-US"/>
              </w:rPr>
              <w:t xml:space="preserve"> no </w:t>
            </w:r>
            <w:r>
              <w:rPr>
                <w:lang w:val="en-US"/>
              </w:rPr>
              <w:t>r</w:t>
            </w:r>
            <w:r w:rsidRPr="00505A04">
              <w:rPr>
                <w:lang w:val="en-US"/>
              </w:rPr>
              <w:t>ight</w:t>
            </w:r>
            <w:r>
              <w:rPr>
                <w:lang w:val="en-US"/>
              </w:rPr>
              <w:t>s</w:t>
            </w:r>
            <w:r w:rsidRPr="00505A04">
              <w:rPr>
                <w:lang w:val="en-US"/>
              </w:rPr>
              <w:t xml:space="preserve"> shares being distributed in the market thus creating a dummy position may cause reconciliation issues but the dummy position created in</w:t>
            </w:r>
            <w:r>
              <w:rPr>
                <w:lang w:val="en-US"/>
              </w:rPr>
              <w:t xml:space="preserve"> the custodian records reflect</w:t>
            </w:r>
            <w:r w:rsidRPr="00505A04">
              <w:rPr>
                <w:lang w:val="en-US"/>
              </w:rPr>
              <w:t xml:space="preserve"> the no.of new shares offered /privilege by the company to the entitled shareholders. And since this is non-renounceable </w:t>
            </w:r>
            <w:r>
              <w:rPr>
                <w:lang w:val="en-US"/>
              </w:rPr>
              <w:t>basis, no ISIN code is required</w:t>
            </w:r>
            <w:r w:rsidRPr="00505A04">
              <w:rPr>
                <w:lang w:val="en-US"/>
              </w:rPr>
              <w:t xml:space="preserve">. </w:t>
            </w:r>
          </w:p>
          <w:p w:rsidR="00B32C97" w:rsidRPr="00505A04" w:rsidRDefault="00B32C97" w:rsidP="007D0621">
            <w:pPr>
              <w:rPr>
                <w:lang w:val="en-US"/>
              </w:rPr>
            </w:pPr>
          </w:p>
          <w:p w:rsidR="00B32C97" w:rsidRDefault="00B32C97" w:rsidP="007D0621">
            <w:pPr>
              <w:rPr>
                <w:lang w:val="en-US"/>
              </w:rPr>
            </w:pPr>
            <w:r w:rsidRPr="00505A04">
              <w:rPr>
                <w:lang w:val="en-US"/>
              </w:rPr>
              <w:t xml:space="preserve">In view of the above, we hope SWIFT will consider creating an event that cater the above Priority Offer scenario and to allow the usage of RHDI/PRIO where ever appropriate.  </w:t>
            </w:r>
          </w:p>
          <w:p w:rsidR="00B32C97" w:rsidRDefault="00B32C97" w:rsidP="007D0621">
            <w:pPr>
              <w:rPr>
                <w:lang w:val="en-US"/>
              </w:rPr>
            </w:pPr>
          </w:p>
        </w:tc>
      </w:tr>
    </w:tbl>
    <w:p w:rsidR="004E4B32" w:rsidRDefault="004E4B32" w:rsidP="0047415A"/>
    <w:p w:rsidR="00AC52D0" w:rsidRDefault="00AC52D0" w:rsidP="0047415A">
      <w:r>
        <w:t>The following comments were noted:</w:t>
      </w:r>
    </w:p>
    <w:p w:rsidR="00AC52D0" w:rsidRDefault="00565DF9" w:rsidP="00394A04">
      <w:pPr>
        <w:pStyle w:val="ListParagraph"/>
        <w:numPr>
          <w:ilvl w:val="0"/>
          <w:numId w:val="22"/>
        </w:numPr>
      </w:pPr>
      <w:r>
        <w:t>Magdalene informed the group that her colleague in HK will follow up with TW. He is also investigating if there is any reference in the letter issued by the registrar of the listing company in TW as is currently practiced i</w:t>
      </w:r>
      <w:r w:rsidR="003B18D3">
        <w:t>n HK for the purpose of book keeping.</w:t>
      </w:r>
    </w:p>
    <w:p w:rsidR="00D82EB4" w:rsidRDefault="00D82EB4" w:rsidP="00D82EB4">
      <w:r>
        <w:t xml:space="preserve">In addition, Fidelity would like to confirm if the capital increase as announced by </w:t>
      </w:r>
      <w:proofErr w:type="spellStart"/>
      <w:r>
        <w:t>Wattana</w:t>
      </w:r>
      <w:proofErr w:type="spellEnd"/>
      <w:r>
        <w:t xml:space="preserve"> Capital should follow the same practice as recommended for Taiwanese non-renounceable rights issue where no intermediate security is distributed. Fidelity is seeing various vendors announcing the event ranging from RHDI/PRIO, PRIO and RHTS and hopes to obtain feedback from the group to harmonise the event interpretation of capital increase for the Thailand market. Fidelity is in agreement to announce the event as PRIO since there is no intermediate security distributed and RHTS no longer suited based on the new definition per SR2014 change request but they hoped to solicit SMPG input before advocating the change among their vendors. </w:t>
      </w:r>
    </w:p>
    <w:p w:rsidR="00D82EB4" w:rsidRPr="00B32C97" w:rsidRDefault="00D82EB4" w:rsidP="00D82EB4">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AcroExch.Document.11" ShapeID="_x0000_i1025" DrawAspect="Icon" ObjectID="_1458457012" r:id="rId10"/>
        </w:object>
      </w:r>
    </w:p>
    <w:p w:rsidR="00A436E4" w:rsidRPr="00D82EB4" w:rsidRDefault="00A436E4" w:rsidP="0047415A">
      <w:pPr>
        <w:rPr>
          <w:b/>
          <w:color w:val="00B050"/>
          <w:u w:val="single"/>
          <w:lang w:val="en-US"/>
        </w:rPr>
      </w:pPr>
      <w:r w:rsidRPr="00D82EB4">
        <w:rPr>
          <w:b/>
          <w:color w:val="00B050"/>
          <w:u w:val="single"/>
          <w:lang w:val="en-US"/>
        </w:rPr>
        <w:t>Decision:</w:t>
      </w:r>
    </w:p>
    <w:p w:rsidR="003B18D3" w:rsidRDefault="00D82EB4" w:rsidP="0047415A">
      <w:pPr>
        <w:rPr>
          <w:color w:val="00B050"/>
          <w:lang w:val="en-US"/>
        </w:rPr>
      </w:pPr>
      <w:r>
        <w:rPr>
          <w:color w:val="00B050"/>
          <w:lang w:val="en-US"/>
        </w:rPr>
        <w:t xml:space="preserve">Since the usage of PRIO is recommended by the SMPG, the group has no issues with Fidelity announcing the event as PRIO. </w:t>
      </w:r>
      <w:r w:rsidR="003B18D3">
        <w:rPr>
          <w:color w:val="00B050"/>
          <w:lang w:val="en-US"/>
        </w:rPr>
        <w:br w:type="page"/>
      </w:r>
    </w:p>
    <w:p w:rsidR="00993BBB" w:rsidRPr="0018788C" w:rsidRDefault="00792141" w:rsidP="00792141">
      <w:pPr>
        <w:pStyle w:val="Default"/>
        <w:numPr>
          <w:ilvl w:val="0"/>
          <w:numId w:val="15"/>
        </w:numPr>
        <w:rPr>
          <w:sz w:val="22"/>
          <w:szCs w:val="22"/>
          <w:u w:val="single"/>
        </w:rPr>
      </w:pPr>
      <w:r>
        <w:rPr>
          <w:b/>
          <w:bCs/>
          <w:sz w:val="22"/>
          <w:szCs w:val="22"/>
          <w:u w:val="single"/>
        </w:rPr>
        <w:lastRenderedPageBreak/>
        <w:t xml:space="preserve">Oversubscription of rights issuance event </w:t>
      </w:r>
    </w:p>
    <w:tbl>
      <w:tblPr>
        <w:tblW w:w="0" w:type="auto"/>
        <w:tblBorders>
          <w:top w:val="nil"/>
          <w:left w:val="nil"/>
          <w:bottom w:val="nil"/>
          <w:right w:val="nil"/>
        </w:tblBorders>
        <w:tblLayout w:type="fixed"/>
        <w:tblLook w:val="0000" w:firstRow="0" w:lastRow="0" w:firstColumn="0" w:lastColumn="0" w:noHBand="0" w:noVBand="0"/>
      </w:tblPr>
      <w:tblGrid>
        <w:gridCol w:w="9098"/>
      </w:tblGrid>
      <w:tr w:rsidR="00993BBB" w:rsidTr="00187F93">
        <w:trPr>
          <w:trHeight w:val="646"/>
        </w:trPr>
        <w:tc>
          <w:tcPr>
            <w:tcW w:w="9098" w:type="dxa"/>
          </w:tcPr>
          <w:p w:rsidR="00C26819" w:rsidRDefault="00C26819" w:rsidP="007E7FBA">
            <w:pPr>
              <w:pStyle w:val="Default"/>
              <w:rPr>
                <w:sz w:val="22"/>
                <w:szCs w:val="22"/>
              </w:rPr>
            </w:pPr>
          </w:p>
          <w:p w:rsidR="00C26819" w:rsidRDefault="00C05A93" w:rsidP="007E7FBA">
            <w:pPr>
              <w:pStyle w:val="Default"/>
              <w:rPr>
                <w:b/>
                <w:sz w:val="22"/>
                <w:szCs w:val="22"/>
                <w:u w:val="single"/>
              </w:rPr>
            </w:pPr>
            <w:r>
              <w:rPr>
                <w:b/>
                <w:sz w:val="22"/>
                <w:szCs w:val="22"/>
                <w:u w:val="single"/>
              </w:rPr>
              <w:t>Review of action items</w:t>
            </w:r>
            <w:r w:rsidR="00C26819">
              <w:rPr>
                <w:b/>
                <w:sz w:val="22"/>
                <w:szCs w:val="22"/>
                <w:u w:val="single"/>
              </w:rPr>
              <w:t>:</w:t>
            </w:r>
          </w:p>
          <w:p w:rsidR="00792141" w:rsidRDefault="00792141" w:rsidP="007E7FBA">
            <w:pPr>
              <w:pStyle w:val="Default"/>
              <w:rPr>
                <w:b/>
                <w:sz w:val="22"/>
                <w:szCs w:val="22"/>
                <w:u w:val="single"/>
              </w:rPr>
            </w:pPr>
          </w:p>
          <w:p w:rsidR="00792141" w:rsidRPr="00792141" w:rsidRDefault="00792141" w:rsidP="007E7FBA">
            <w:pPr>
              <w:pStyle w:val="Default"/>
              <w:rPr>
                <w:sz w:val="22"/>
                <w:szCs w:val="22"/>
              </w:rPr>
            </w:pPr>
            <w:r w:rsidRPr="00605612">
              <w:rPr>
                <w:rFonts w:asciiTheme="minorHAnsi" w:hAnsiTheme="minorHAnsi" w:cstheme="minorBidi"/>
                <w:color w:val="auto"/>
                <w:sz w:val="22"/>
                <w:szCs w:val="22"/>
              </w:rPr>
              <w:t>This issue was followed up and raised at the last APAC RMPG meeting. Some members in the APAC RMPG are also members of the ASIFMA and AGC group. They agreed to take this up with ASIFMA and AGC, to see if there is an interest to add this subject into their agendas for further discussion.</w:t>
            </w:r>
            <w:r>
              <w:rPr>
                <w:sz w:val="22"/>
                <w:szCs w:val="22"/>
              </w:rPr>
              <w:t xml:space="preserve"> </w:t>
            </w:r>
          </w:p>
        </w:tc>
      </w:tr>
    </w:tbl>
    <w:p w:rsidR="00C26819" w:rsidRDefault="00C26819" w:rsidP="00993BBB"/>
    <w:p w:rsidR="005140F6" w:rsidRPr="005140F6" w:rsidRDefault="00FC4900" w:rsidP="00A53D89">
      <w:pPr>
        <w:pStyle w:val="ListParagraph"/>
        <w:numPr>
          <w:ilvl w:val="0"/>
          <w:numId w:val="15"/>
        </w:numPr>
        <w:rPr>
          <w:lang w:val="en-US"/>
        </w:rPr>
      </w:pPr>
      <w:r>
        <w:rPr>
          <w:b/>
          <w:u w:val="single"/>
        </w:rPr>
        <w:t>Fully franked dividend</w:t>
      </w:r>
      <w:r w:rsidR="00781C1F">
        <w:rPr>
          <w:b/>
          <w:u w:val="single"/>
        </w:rPr>
        <w:t xml:space="preserve"> (</w:t>
      </w:r>
      <w:proofErr w:type="spellStart"/>
      <w:r w:rsidR="00781C1F">
        <w:rPr>
          <w:b/>
          <w:u w:val="single"/>
        </w:rPr>
        <w:t>Prashant</w:t>
      </w:r>
      <w:proofErr w:type="spellEnd"/>
      <w:r w:rsidR="00781C1F">
        <w:rPr>
          <w:b/>
          <w:u w:val="single"/>
        </w:rPr>
        <w:t>, Information Mosaic)</w:t>
      </w:r>
    </w:p>
    <w:p w:rsidR="00DC0E89" w:rsidRDefault="002C10DD" w:rsidP="0018788C">
      <w:pPr>
        <w:rPr>
          <w:lang w:val="en-US"/>
        </w:rPr>
      </w:pPr>
      <w:r>
        <w:rPr>
          <w:lang w:val="en-US"/>
        </w:rPr>
        <w:t xml:space="preserve">SWIFT defines FLFR as a qualifier as well as a rate type code. </w:t>
      </w:r>
      <w:r w:rsidR="00DC0E89">
        <w:rPr>
          <w:lang w:val="en-US"/>
        </w:rPr>
        <w:t xml:space="preserve">Questions were raised on how FLFR is used as a qualifier when it is most commonly used as a rate type code. </w:t>
      </w:r>
    </w:p>
    <w:p w:rsidR="00DC0E89" w:rsidRDefault="00DC0E89" w:rsidP="0018788C">
      <w:pPr>
        <w:rPr>
          <w:lang w:val="en-US"/>
        </w:rPr>
      </w:pPr>
      <w:r>
        <w:rPr>
          <w:lang w:val="en-US"/>
        </w:rPr>
        <w:t xml:space="preserve">Magdalene informed that this subject was also discussed at the last global SMPG tax working group meeting </w:t>
      </w:r>
      <w:r w:rsidR="00B1108B">
        <w:rPr>
          <w:lang w:val="en-US"/>
        </w:rPr>
        <w:t xml:space="preserve">and the group believes that indeed there seems to be a redundancy of the FLFR qualifier and it seems to be more logical to use FLFR as a rate type code. The group would like to consult Australian market experts / representatives on their opinion on the FLFR as a qualifier </w:t>
      </w:r>
      <w:proofErr w:type="spellStart"/>
      <w:r w:rsidR="00B1108B">
        <w:rPr>
          <w:lang w:val="en-US"/>
        </w:rPr>
        <w:t>vs</w:t>
      </w:r>
      <w:proofErr w:type="spellEnd"/>
      <w:r w:rsidR="00B1108B">
        <w:rPr>
          <w:lang w:val="en-US"/>
        </w:rPr>
        <w:t xml:space="preserve"> rate type code. </w:t>
      </w:r>
    </w:p>
    <w:p w:rsidR="00B1108B" w:rsidRDefault="00B1108B" w:rsidP="0018788C">
      <w:pPr>
        <w:rPr>
          <w:lang w:val="en-US"/>
        </w:rPr>
      </w:pPr>
      <w:r>
        <w:rPr>
          <w:lang w:val="en-US"/>
        </w:rPr>
        <w:t xml:space="preserve">Tony Chen (Morgan Stanley) stated that their custodian do use this FLFR code but would need to further investigate if this was used as a qualifier or a rate type code.  </w:t>
      </w:r>
    </w:p>
    <w:p w:rsidR="00C26819" w:rsidRPr="00B1108B" w:rsidRDefault="00C26819" w:rsidP="0018788C">
      <w:pPr>
        <w:rPr>
          <w:b/>
          <w:color w:val="FF0000"/>
          <w:u w:val="single"/>
          <w:lang w:val="en-US"/>
        </w:rPr>
      </w:pPr>
      <w:r w:rsidRPr="00B1108B">
        <w:rPr>
          <w:b/>
          <w:color w:val="FF0000"/>
          <w:u w:val="single"/>
          <w:lang w:val="en-US"/>
        </w:rPr>
        <w:t>Action:</w:t>
      </w:r>
    </w:p>
    <w:p w:rsidR="00B1108B" w:rsidRPr="00974883" w:rsidRDefault="00B1108B" w:rsidP="00B1108B">
      <w:pPr>
        <w:pStyle w:val="ListParagraph"/>
        <w:numPr>
          <w:ilvl w:val="1"/>
          <w:numId w:val="15"/>
        </w:numPr>
        <w:rPr>
          <w:color w:val="FF0000"/>
          <w:lang w:val="en-US"/>
        </w:rPr>
      </w:pPr>
      <w:r w:rsidRPr="00974883">
        <w:rPr>
          <w:color w:val="FF0000"/>
          <w:lang w:val="en-US"/>
        </w:rPr>
        <w:t>Tony to provide examples of the usage of FLFR with their custodians</w:t>
      </w:r>
      <w:r w:rsidR="004356EF" w:rsidRPr="00974883">
        <w:rPr>
          <w:color w:val="FF0000"/>
          <w:lang w:val="en-US"/>
        </w:rPr>
        <w:t>.</w:t>
      </w:r>
    </w:p>
    <w:p w:rsidR="0057088A" w:rsidRPr="00974883" w:rsidRDefault="00B1108B" w:rsidP="0018788C">
      <w:pPr>
        <w:pStyle w:val="ListParagraph"/>
        <w:numPr>
          <w:ilvl w:val="1"/>
          <w:numId w:val="15"/>
        </w:numPr>
        <w:rPr>
          <w:color w:val="FF0000"/>
          <w:lang w:val="en-US"/>
        </w:rPr>
      </w:pPr>
      <w:r w:rsidRPr="00974883">
        <w:rPr>
          <w:color w:val="FF0000"/>
          <w:lang w:val="en-US"/>
        </w:rPr>
        <w:t xml:space="preserve">Cheryl (Citi) to check with her </w:t>
      </w:r>
      <w:r w:rsidR="00911BB0">
        <w:rPr>
          <w:color w:val="FF0000"/>
          <w:lang w:val="en-US"/>
        </w:rPr>
        <w:t>team</w:t>
      </w:r>
      <w:r w:rsidRPr="00974883">
        <w:rPr>
          <w:color w:val="FF0000"/>
          <w:lang w:val="en-US"/>
        </w:rPr>
        <w:t xml:space="preserve"> in Australia on the usage of FLFR. </w:t>
      </w:r>
    </w:p>
    <w:p w:rsidR="003B18D3" w:rsidRDefault="003B18D3" w:rsidP="00B1108B">
      <w:pPr>
        <w:pStyle w:val="ListParagraph"/>
        <w:ind w:left="1440"/>
        <w:rPr>
          <w:lang w:val="en-US"/>
        </w:rPr>
      </w:pPr>
      <w:r>
        <w:rPr>
          <w:lang w:val="en-US"/>
        </w:rPr>
        <w:br w:type="page"/>
      </w:r>
    </w:p>
    <w:p w:rsidR="00DE74CB" w:rsidRPr="00DE74CB" w:rsidRDefault="00C05A93" w:rsidP="002C10DD">
      <w:pPr>
        <w:pStyle w:val="ListParagraph"/>
        <w:numPr>
          <w:ilvl w:val="0"/>
          <w:numId w:val="15"/>
        </w:numPr>
        <w:rPr>
          <w:b/>
          <w:u w:val="single"/>
          <w:lang w:val="en-US"/>
        </w:rPr>
      </w:pPr>
      <w:r>
        <w:rPr>
          <w:b/>
          <w:u w:val="single"/>
          <w:lang w:val="en-US"/>
        </w:rPr>
        <w:lastRenderedPageBreak/>
        <w:t xml:space="preserve">Reporting Multiple Breakdowns in a Single or Multiple Cash movement </w:t>
      </w:r>
      <w:r w:rsidR="00B0799D">
        <w:rPr>
          <w:b/>
          <w:u w:val="single"/>
          <w:lang w:val="en-US"/>
        </w:rPr>
        <w:t>(</w:t>
      </w:r>
      <w:proofErr w:type="spellStart"/>
      <w:r w:rsidR="00B0799D">
        <w:rPr>
          <w:b/>
          <w:u w:val="single"/>
          <w:lang w:val="en-US"/>
        </w:rPr>
        <w:t>Janardhan</w:t>
      </w:r>
      <w:proofErr w:type="spellEnd"/>
      <w:r w:rsidR="00B0799D">
        <w:rPr>
          <w:b/>
          <w:u w:val="single"/>
          <w:lang w:val="en-US"/>
        </w:rPr>
        <w:t>, Thomson Reuters)</w:t>
      </w:r>
    </w:p>
    <w:p w:rsidR="00A436E4" w:rsidRDefault="00C05A93" w:rsidP="00A436E4">
      <w:pPr>
        <w:rPr>
          <w:b/>
          <w:u w:val="single"/>
        </w:rPr>
      </w:pPr>
      <w:r>
        <w:rPr>
          <w:b/>
          <w:u w:val="single"/>
        </w:rPr>
        <w:t>Business c</w:t>
      </w:r>
      <w:r w:rsidR="00A436E4">
        <w:rPr>
          <w:b/>
          <w:u w:val="single"/>
        </w:rPr>
        <w:t>ontext:</w:t>
      </w:r>
    </w:p>
    <w:p w:rsidR="00FD5E86" w:rsidRDefault="00FD5E86" w:rsidP="00A436E4">
      <w:r>
        <w:t xml:space="preserve">How should the MT 564 be used if a dividend distribution is made up of multiple breakdowns (e.g. franking, interest income, tax differed </w:t>
      </w:r>
      <w:proofErr w:type="spellStart"/>
      <w:r>
        <w:t>etc</w:t>
      </w:r>
      <w:proofErr w:type="spellEnd"/>
      <w:r>
        <w:t xml:space="preserve">) – should it be reported as a single cash movement or multiple cash movement? </w:t>
      </w:r>
    </w:p>
    <w:p w:rsidR="00975948" w:rsidRDefault="00975948" w:rsidP="00A436E4">
      <w:r>
        <w:t xml:space="preserve">Attached example of an announcement with multiple breakdowns: </w:t>
      </w:r>
      <w:r>
        <w:br/>
      </w:r>
      <w:r w:rsidR="00EB2C92">
        <w:object w:dxaOrig="1530" w:dyaOrig="1002">
          <v:shape id="_x0000_i1026" type="#_x0000_t75" style="width:70.5pt;height:46.5pt" o:ole="">
            <v:imagedata r:id="rId11" o:title=""/>
          </v:shape>
          <o:OLEObject Type="Embed" ProgID="AcroExch.Document.11" ShapeID="_x0000_i1026" DrawAspect="Icon" ObjectID="_1458457013" r:id="rId12"/>
        </w:object>
      </w:r>
    </w:p>
    <w:p w:rsidR="002F2C03" w:rsidRDefault="002F2C03" w:rsidP="00A436E4">
      <w:r>
        <w:t xml:space="preserve">The following comments </w:t>
      </w:r>
      <w:r w:rsidR="008C6EEC">
        <w:t>were</w:t>
      </w:r>
      <w:r>
        <w:t xml:space="preserve"> noted:</w:t>
      </w:r>
    </w:p>
    <w:p w:rsidR="002F2C03" w:rsidRDefault="002F2C03" w:rsidP="00A436E4">
      <w:r>
        <w:t xml:space="preserve">Tony (Morgan Stanley): Their local custodian would usually send a specific code for the breakdown (e.g. fully franked, </w:t>
      </w:r>
      <w:proofErr w:type="spellStart"/>
      <w:r>
        <w:t>unfranked</w:t>
      </w:r>
      <w:proofErr w:type="spellEnd"/>
      <w:r>
        <w:t xml:space="preserve">, interest portion </w:t>
      </w:r>
      <w:proofErr w:type="spellStart"/>
      <w:r>
        <w:t>etc</w:t>
      </w:r>
      <w:proofErr w:type="spellEnd"/>
      <w:proofErr w:type="gramStart"/>
      <w:r>
        <w:t>) .</w:t>
      </w:r>
      <w:proofErr w:type="gramEnd"/>
      <w:r>
        <w:t xml:space="preserve"> There are however, multiple breakdowns and tax streams in Australia’s case therefore in most cases, if it i</w:t>
      </w:r>
      <w:r w:rsidR="007D6C95">
        <w:t xml:space="preserve">s tax free, the agent would park together all the breakdowns under the specific code for tax free. The agent would then mention in the narrative field the exact breakdowns as announced by the company. </w:t>
      </w:r>
    </w:p>
    <w:p w:rsidR="002F2C03" w:rsidRDefault="002F2C03" w:rsidP="00A436E4">
      <w:proofErr w:type="spellStart"/>
      <w:r>
        <w:t>Ankush</w:t>
      </w:r>
      <w:proofErr w:type="spellEnd"/>
      <w:r>
        <w:t xml:space="preserve"> (Information Mosaic):</w:t>
      </w:r>
      <w:r w:rsidR="008C6EEC">
        <w:t xml:space="preserve"> The current preferred way to report multiple breakdowns</w:t>
      </w:r>
      <w:r w:rsidR="00A85F10">
        <w:t xml:space="preserve"> announcement</w:t>
      </w:r>
      <w:r w:rsidR="008C6EEC">
        <w:t xml:space="preserve"> would be to use a single cash movement with different rate type codes. </w:t>
      </w:r>
      <w:r w:rsidR="00A07A23">
        <w:t xml:space="preserve">All these information might not be made available before the pay date and all information will only be available on pay date. </w:t>
      </w:r>
    </w:p>
    <w:p w:rsidR="00A07A23" w:rsidRDefault="002F2C03" w:rsidP="00A436E4">
      <w:r>
        <w:t>Ken (BAML):</w:t>
      </w:r>
      <w:r w:rsidR="00A07A23">
        <w:t xml:space="preserve"> Currently using self-cleared agent but information received from the agent is not immediately made available i.e. the breakdown will only be provided on pay date or pay date + 1.</w:t>
      </w:r>
    </w:p>
    <w:p w:rsidR="00E062C9" w:rsidRDefault="008E4406" w:rsidP="00A436E4">
      <w:r>
        <w:t>A q</w:t>
      </w:r>
      <w:r w:rsidR="002114E7">
        <w:t>uestion was also raised on the possibility to send multiple tax rates in the same cash movement.</w:t>
      </w:r>
      <w:r w:rsidR="00934752">
        <w:t xml:space="preserve"> </w:t>
      </w:r>
      <w:proofErr w:type="spellStart"/>
      <w:r w:rsidR="00934752">
        <w:t>Janardhan</w:t>
      </w:r>
      <w:proofErr w:type="spellEnd"/>
      <w:r w:rsidR="00934752">
        <w:t xml:space="preserve"> explained that </w:t>
      </w:r>
      <w:r w:rsidR="0019529D">
        <w:t>the</w:t>
      </w:r>
      <w:r w:rsidR="003B264C">
        <w:t>ir</w:t>
      </w:r>
      <w:r w:rsidR="0019529D">
        <w:t xml:space="preserve"> current practice is to send an MT 564 with one tax rate and one tax amount in a single cash movement, and a second tax rate with tax amount in a second cash movement. </w:t>
      </w:r>
      <w:r w:rsidR="00F458AE">
        <w:t xml:space="preserve">In the example shared by </w:t>
      </w:r>
      <w:proofErr w:type="spellStart"/>
      <w:r w:rsidR="00F458AE">
        <w:t>Janardhan</w:t>
      </w:r>
      <w:proofErr w:type="spellEnd"/>
      <w:r w:rsidR="00F458AE">
        <w:t>, t</w:t>
      </w:r>
      <w:r w:rsidR="00934752">
        <w:t>here are different tax rates for different</w:t>
      </w:r>
      <w:r w:rsidR="00450084">
        <w:t xml:space="preserve"> amounts</w:t>
      </w:r>
      <w:r w:rsidR="00934752">
        <w:t xml:space="preserve">, hence for each component, the tax rate is different and they are trying to report the tax rate for each component along with the amount for the component. </w:t>
      </w:r>
    </w:p>
    <w:p w:rsidR="00695045" w:rsidRDefault="00695045" w:rsidP="00A436E4">
      <w:r>
        <w:t xml:space="preserve">It was understood that from a processing point of view, it is possible to </w:t>
      </w:r>
      <w:r w:rsidR="007E5CB9">
        <w:t xml:space="preserve">apply different tax rates within one cash movement </w:t>
      </w:r>
      <w:r w:rsidR="008764F1">
        <w:t>however;</w:t>
      </w:r>
      <w:r w:rsidR="007E5CB9">
        <w:t xml:space="preserve"> this is a problem from the reporting perspective and should be further looked at. </w:t>
      </w:r>
    </w:p>
    <w:p w:rsidR="003B6151" w:rsidRPr="003B6151" w:rsidRDefault="002114E7" w:rsidP="00975948">
      <w:pPr>
        <w:rPr>
          <w:b/>
          <w:color w:val="FF0000"/>
          <w:u w:val="single"/>
          <w:lang w:val="en-US"/>
        </w:rPr>
      </w:pPr>
      <w:r w:rsidRPr="002114E7">
        <w:rPr>
          <w:b/>
          <w:color w:val="FF0000"/>
          <w:u w:val="single"/>
          <w:lang w:val="en-US"/>
        </w:rPr>
        <w:t>Action</w:t>
      </w:r>
    </w:p>
    <w:p w:rsidR="003B18D3" w:rsidRDefault="008764F1" w:rsidP="00975948">
      <w:pPr>
        <w:rPr>
          <w:color w:val="FF0000"/>
          <w:lang w:val="en-US"/>
        </w:rPr>
      </w:pPr>
      <w:r>
        <w:rPr>
          <w:color w:val="FF0000"/>
          <w:lang w:val="en-US"/>
        </w:rPr>
        <w:t>Magda</w:t>
      </w:r>
      <w:r w:rsidR="003B6151">
        <w:rPr>
          <w:color w:val="FF0000"/>
          <w:lang w:val="en-US"/>
        </w:rPr>
        <w:t xml:space="preserve">lene to gather more information within SWIFT and the SMPG Tax sub-group on the reporting issue of applying different tax rates within a single cash movement. </w:t>
      </w:r>
      <w:r w:rsidR="003B18D3">
        <w:rPr>
          <w:color w:val="FF0000"/>
          <w:lang w:val="en-US"/>
        </w:rPr>
        <w:br w:type="page"/>
      </w:r>
    </w:p>
    <w:p w:rsidR="001F2341" w:rsidRPr="003B6A9E" w:rsidRDefault="003B6A9E" w:rsidP="002C10DD">
      <w:pPr>
        <w:pStyle w:val="ListParagraph"/>
        <w:numPr>
          <w:ilvl w:val="0"/>
          <w:numId w:val="15"/>
        </w:numPr>
        <w:rPr>
          <w:b/>
          <w:u w:val="single"/>
          <w:lang w:val="en-US"/>
        </w:rPr>
      </w:pPr>
      <w:r w:rsidRPr="003B6A9E">
        <w:rPr>
          <w:b/>
          <w:u w:val="single"/>
          <w:lang w:val="en-US"/>
        </w:rPr>
        <w:lastRenderedPageBreak/>
        <w:t>P</w:t>
      </w:r>
      <w:r w:rsidR="001F2341" w:rsidRPr="003B6A9E">
        <w:rPr>
          <w:b/>
          <w:u w:val="single"/>
          <w:lang w:val="en-US"/>
        </w:rPr>
        <w:t xml:space="preserve">ossible events </w:t>
      </w:r>
      <w:r w:rsidRPr="003B6A9E">
        <w:rPr>
          <w:b/>
          <w:u w:val="single"/>
          <w:lang w:val="en-US"/>
        </w:rPr>
        <w:t xml:space="preserve">to use </w:t>
      </w:r>
      <w:r w:rsidR="001F2341" w:rsidRPr="003B6A9E">
        <w:rPr>
          <w:b/>
          <w:u w:val="single"/>
          <w:lang w:val="en-US"/>
        </w:rPr>
        <w:t>LTRD (Last Trading Date)?</w:t>
      </w:r>
      <w:r w:rsidR="005A7EF0" w:rsidRPr="003B6A9E">
        <w:rPr>
          <w:b/>
          <w:u w:val="single"/>
          <w:lang w:val="en-US"/>
        </w:rPr>
        <w:t xml:space="preserve"> (</w:t>
      </w:r>
      <w:proofErr w:type="spellStart"/>
      <w:r w:rsidR="005A7EF0" w:rsidRPr="003B6A9E">
        <w:rPr>
          <w:b/>
          <w:u w:val="single"/>
          <w:lang w:val="en-US"/>
        </w:rPr>
        <w:t>Janardhan</w:t>
      </w:r>
      <w:proofErr w:type="spellEnd"/>
      <w:r w:rsidR="005A7EF0" w:rsidRPr="003B6A9E">
        <w:rPr>
          <w:b/>
          <w:u w:val="single"/>
          <w:lang w:val="en-US"/>
        </w:rPr>
        <w:t>, Thomson Reuters)</w:t>
      </w:r>
    </w:p>
    <w:p w:rsidR="005A7EF0" w:rsidRDefault="003B6A9E" w:rsidP="003B6A9E">
      <w:pPr>
        <w:rPr>
          <w:b/>
          <w:u w:val="single"/>
          <w:lang w:val="en-US"/>
        </w:rPr>
      </w:pPr>
      <w:r>
        <w:rPr>
          <w:b/>
          <w:u w:val="single"/>
          <w:lang w:val="en-US"/>
        </w:rPr>
        <w:t>Business context:</w:t>
      </w:r>
    </w:p>
    <w:p w:rsidR="003B6A9E" w:rsidRPr="003B6A9E" w:rsidRDefault="003B6A9E" w:rsidP="003B6A9E">
      <w:pPr>
        <w:rPr>
          <w:lang w:val="en-US"/>
        </w:rPr>
      </w:pPr>
      <w:r>
        <w:rPr>
          <w:lang w:val="en-US"/>
        </w:rPr>
        <w:t>What are the possible events to use LTRD (Last Trading Date)?</w:t>
      </w:r>
    </w:p>
    <w:p w:rsidR="002114E7" w:rsidRDefault="00A877BF" w:rsidP="00A877BF">
      <w:pPr>
        <w:rPr>
          <w:lang w:val="en-US"/>
        </w:rPr>
      </w:pPr>
      <w:r>
        <w:rPr>
          <w:lang w:val="en-US"/>
        </w:rPr>
        <w:t>The following comments were noted:</w:t>
      </w:r>
      <w:r w:rsidR="002114E7">
        <w:rPr>
          <w:lang w:val="en-US"/>
        </w:rPr>
        <w:t xml:space="preserve"> </w:t>
      </w:r>
    </w:p>
    <w:p w:rsidR="00F32F9E" w:rsidRDefault="00A530A7" w:rsidP="00A877BF">
      <w:pPr>
        <w:pStyle w:val="ListParagraph"/>
        <w:numPr>
          <w:ilvl w:val="0"/>
          <w:numId w:val="21"/>
        </w:numPr>
        <w:rPr>
          <w:lang w:val="en-US"/>
        </w:rPr>
      </w:pPr>
      <w:r w:rsidRPr="00F32F9E">
        <w:rPr>
          <w:lang w:val="en-US"/>
        </w:rPr>
        <w:t xml:space="preserve">The LTRD definition refers to </w:t>
      </w:r>
      <w:proofErr w:type="spellStart"/>
      <w:r w:rsidRPr="00F32F9E">
        <w:rPr>
          <w:lang w:val="en-US"/>
        </w:rPr>
        <w:t>reorganisation</w:t>
      </w:r>
      <w:proofErr w:type="spellEnd"/>
      <w:r w:rsidRPr="00F32F9E">
        <w:rPr>
          <w:lang w:val="en-US"/>
        </w:rPr>
        <w:t xml:space="preserve"> therefore </w:t>
      </w:r>
      <w:r w:rsidR="00F32F9E" w:rsidRPr="00F32F9E">
        <w:rPr>
          <w:lang w:val="en-US"/>
        </w:rPr>
        <w:t xml:space="preserve">an example of a possible event to use LTRD is merger. </w:t>
      </w:r>
    </w:p>
    <w:p w:rsidR="00C718EF" w:rsidRDefault="00F32F9E" w:rsidP="00A877BF">
      <w:pPr>
        <w:pStyle w:val="ListParagraph"/>
        <w:numPr>
          <w:ilvl w:val="0"/>
          <w:numId w:val="21"/>
        </w:numPr>
        <w:rPr>
          <w:lang w:val="en-US"/>
        </w:rPr>
      </w:pPr>
      <w:r>
        <w:rPr>
          <w:lang w:val="en-US"/>
        </w:rPr>
        <w:t>There exists a trading period qualifier (TRDP) in the MT 564 for rights with intermediate securities.</w:t>
      </w:r>
    </w:p>
    <w:p w:rsidR="00C26819" w:rsidRDefault="00C718EF" w:rsidP="00532F4A">
      <w:pPr>
        <w:pStyle w:val="ListParagraph"/>
        <w:numPr>
          <w:ilvl w:val="0"/>
          <w:numId w:val="21"/>
        </w:numPr>
        <w:rPr>
          <w:lang w:val="en-US"/>
        </w:rPr>
      </w:pPr>
      <w:r>
        <w:rPr>
          <w:lang w:val="en-US"/>
        </w:rPr>
        <w:t xml:space="preserve">LTRD can be applicable in the event where there is a consolidation of stock split that results in a new ISIN for the security. </w:t>
      </w:r>
      <w:r w:rsidR="004E232D" w:rsidRPr="00F32F9E">
        <w:rPr>
          <w:lang w:val="en-US"/>
        </w:rPr>
        <w:t xml:space="preserve"> </w:t>
      </w:r>
    </w:p>
    <w:p w:rsidR="00532F4A" w:rsidRPr="00532F4A" w:rsidRDefault="00532F4A" w:rsidP="00532F4A">
      <w:pPr>
        <w:pStyle w:val="ListParagraph"/>
        <w:rPr>
          <w:lang w:val="en-US"/>
        </w:rPr>
      </w:pPr>
    </w:p>
    <w:p w:rsidR="001E3352" w:rsidRPr="0056743A" w:rsidRDefault="0056743A" w:rsidP="0056743A">
      <w:pPr>
        <w:pStyle w:val="ListParagraph"/>
        <w:numPr>
          <w:ilvl w:val="0"/>
          <w:numId w:val="15"/>
        </w:numPr>
        <w:rPr>
          <w:b/>
          <w:u w:val="single"/>
          <w:lang w:val="en-US"/>
        </w:rPr>
      </w:pPr>
      <w:r w:rsidRPr="0056743A">
        <w:rPr>
          <w:b/>
          <w:u w:val="single"/>
          <w:lang w:val="en-US"/>
        </w:rPr>
        <w:t>Dividend distribution with a range of pay dates</w:t>
      </w:r>
      <w:r w:rsidR="005A7EF0" w:rsidRPr="0056743A">
        <w:rPr>
          <w:b/>
          <w:u w:val="single"/>
          <w:lang w:val="en-US"/>
        </w:rPr>
        <w:t xml:space="preserve"> (</w:t>
      </w:r>
      <w:proofErr w:type="spellStart"/>
      <w:r w:rsidR="005A7EF0" w:rsidRPr="0056743A">
        <w:rPr>
          <w:b/>
          <w:u w:val="single"/>
          <w:lang w:val="en-US"/>
        </w:rPr>
        <w:t>Janardhan</w:t>
      </w:r>
      <w:proofErr w:type="spellEnd"/>
      <w:r w:rsidR="005A7EF0" w:rsidRPr="0056743A">
        <w:rPr>
          <w:b/>
          <w:u w:val="single"/>
          <w:lang w:val="en-US"/>
        </w:rPr>
        <w:t>, Thomson Reuters)</w:t>
      </w:r>
    </w:p>
    <w:p w:rsidR="00C26819" w:rsidRDefault="0056743A" w:rsidP="00FC60A4">
      <w:pPr>
        <w:rPr>
          <w:b/>
          <w:u w:val="single"/>
          <w:lang w:val="en-US"/>
        </w:rPr>
      </w:pPr>
      <w:r>
        <w:rPr>
          <w:b/>
          <w:u w:val="single"/>
          <w:lang w:val="en-US"/>
        </w:rPr>
        <w:t>Business context:</w:t>
      </w:r>
    </w:p>
    <w:p w:rsidR="00030DAF" w:rsidRDefault="00030DAF" w:rsidP="00550C48">
      <w:pPr>
        <w:rPr>
          <w:lang w:val="en-US"/>
        </w:rPr>
      </w:pPr>
      <w:r>
        <w:rPr>
          <w:lang w:val="en-US"/>
        </w:rPr>
        <w:t>The company announces a dividend distribution with a range of pay dates. How can this be managed in an MT 564?</w:t>
      </w:r>
    </w:p>
    <w:p w:rsidR="00030DAF" w:rsidRDefault="00030DAF" w:rsidP="00550C48">
      <w:pPr>
        <w:rPr>
          <w:lang w:val="en-US"/>
        </w:rPr>
      </w:pPr>
      <w:r>
        <w:rPr>
          <w:lang w:val="en-US"/>
        </w:rPr>
        <w:t>The following comments were noted</w:t>
      </w:r>
      <w:r w:rsidR="004E4B32">
        <w:rPr>
          <w:lang w:val="en-US"/>
        </w:rPr>
        <w:t xml:space="preserve"> and needs more clarity for further discussion</w:t>
      </w:r>
      <w:r>
        <w:rPr>
          <w:lang w:val="en-US"/>
        </w:rPr>
        <w:t>:</w:t>
      </w:r>
    </w:p>
    <w:p w:rsidR="004E4B32" w:rsidRDefault="004E4B32" w:rsidP="00030DAF">
      <w:pPr>
        <w:pStyle w:val="ListParagraph"/>
        <w:numPr>
          <w:ilvl w:val="0"/>
          <w:numId w:val="21"/>
        </w:numPr>
        <w:rPr>
          <w:lang w:val="en-US"/>
        </w:rPr>
      </w:pPr>
      <w:r>
        <w:rPr>
          <w:lang w:val="en-US"/>
        </w:rPr>
        <w:t xml:space="preserve">Is the pay date unknown, unconfirmed or announced in a range? </w:t>
      </w:r>
    </w:p>
    <w:p w:rsidR="00030DAF" w:rsidRDefault="004E4B32" w:rsidP="00030DAF">
      <w:pPr>
        <w:pStyle w:val="ListParagraph"/>
        <w:numPr>
          <w:ilvl w:val="0"/>
          <w:numId w:val="21"/>
        </w:numPr>
        <w:rPr>
          <w:lang w:val="en-US"/>
        </w:rPr>
      </w:pPr>
      <w:r>
        <w:rPr>
          <w:lang w:val="en-US"/>
        </w:rPr>
        <w:t xml:space="preserve">What markets are we looking at? </w:t>
      </w:r>
      <w:r w:rsidR="00030DAF">
        <w:rPr>
          <w:lang w:val="en-US"/>
        </w:rPr>
        <w:t>Ba</w:t>
      </w:r>
      <w:r>
        <w:rPr>
          <w:lang w:val="en-US"/>
        </w:rPr>
        <w:t>ngladesh and some European markets.</w:t>
      </w:r>
      <w:r w:rsidR="00030DAF">
        <w:rPr>
          <w:lang w:val="en-US"/>
        </w:rPr>
        <w:t xml:space="preserve"> </w:t>
      </w:r>
    </w:p>
    <w:p w:rsidR="00C26819" w:rsidRPr="004E4B32" w:rsidRDefault="00C26819" w:rsidP="004E4B32">
      <w:pPr>
        <w:rPr>
          <w:lang w:val="en-US"/>
        </w:rPr>
      </w:pPr>
      <w:r w:rsidRPr="004E4B32">
        <w:rPr>
          <w:b/>
          <w:color w:val="FF0000"/>
          <w:u w:val="single"/>
          <w:lang w:val="en-US"/>
        </w:rPr>
        <w:t>Action:</w:t>
      </w:r>
    </w:p>
    <w:p w:rsidR="00C26819" w:rsidRPr="00F006B9" w:rsidRDefault="00F006B9" w:rsidP="00F006B9">
      <w:pPr>
        <w:rPr>
          <w:color w:val="FF0000"/>
          <w:lang w:val="en-US"/>
        </w:rPr>
      </w:pPr>
      <w:proofErr w:type="spellStart"/>
      <w:proofErr w:type="gramStart"/>
      <w:r w:rsidRPr="00F006B9">
        <w:rPr>
          <w:color w:val="FF0000"/>
          <w:lang w:val="en-US"/>
        </w:rPr>
        <w:t>Janardhan</w:t>
      </w:r>
      <w:proofErr w:type="spellEnd"/>
      <w:r>
        <w:rPr>
          <w:color w:val="FF0000"/>
          <w:lang w:val="en-US"/>
        </w:rPr>
        <w:t xml:space="preserve"> to provide examples to the group for further discussion at the next meeting.</w:t>
      </w:r>
      <w:proofErr w:type="gramEnd"/>
    </w:p>
    <w:p w:rsidR="009440D8" w:rsidRPr="009440D8" w:rsidRDefault="00792141" w:rsidP="009440D8">
      <w:pPr>
        <w:pStyle w:val="ListParagraph"/>
        <w:numPr>
          <w:ilvl w:val="0"/>
          <w:numId w:val="15"/>
        </w:numPr>
        <w:rPr>
          <w:b/>
          <w:u w:val="single"/>
          <w:lang w:val="en-US"/>
        </w:rPr>
      </w:pPr>
      <w:r>
        <w:rPr>
          <w:b/>
          <w:u w:val="single"/>
          <w:lang w:val="en-US"/>
        </w:rPr>
        <w:t>Standards Forum APAC</w:t>
      </w:r>
    </w:p>
    <w:p w:rsidR="00DC604A" w:rsidRPr="00CA4AAC" w:rsidRDefault="00843269" w:rsidP="00CA4AAC">
      <w:pPr>
        <w:rPr>
          <w:b/>
          <w:u w:val="single"/>
          <w:lang w:val="en-US"/>
        </w:rPr>
      </w:pPr>
      <w:r>
        <w:rPr>
          <w:lang w:val="en-US"/>
        </w:rPr>
        <w:t xml:space="preserve">Magdalene informed the group that SWIFT is </w:t>
      </w:r>
      <w:proofErr w:type="spellStart"/>
      <w:r>
        <w:rPr>
          <w:lang w:val="en-US"/>
        </w:rPr>
        <w:t>organising</w:t>
      </w:r>
      <w:proofErr w:type="spellEnd"/>
      <w:r w:rsidR="00DC604A">
        <w:rPr>
          <w:lang w:val="en-US"/>
        </w:rPr>
        <w:t xml:space="preserve"> two Standards Forum in Asia this year. </w:t>
      </w:r>
    </w:p>
    <w:p w:rsidR="00DC604A" w:rsidRPr="00CA4AAC" w:rsidRDefault="00DC604A" w:rsidP="00CA4AAC">
      <w:pPr>
        <w:pStyle w:val="ListParagraph"/>
        <w:numPr>
          <w:ilvl w:val="1"/>
          <w:numId w:val="15"/>
        </w:numPr>
        <w:rPr>
          <w:lang w:val="en-US"/>
        </w:rPr>
      </w:pPr>
      <w:r w:rsidRPr="00CA4AAC">
        <w:rPr>
          <w:lang w:val="en-US"/>
        </w:rPr>
        <w:t>Singapore Standards Forum: 11 March 2014, 9am – 3.30pm.</w:t>
      </w:r>
    </w:p>
    <w:p w:rsidR="00DC604A" w:rsidRPr="00DC604A" w:rsidRDefault="00DC604A" w:rsidP="00DC604A">
      <w:pPr>
        <w:pStyle w:val="ListParagraph"/>
        <w:numPr>
          <w:ilvl w:val="1"/>
          <w:numId w:val="15"/>
        </w:numPr>
        <w:rPr>
          <w:lang w:val="en-US"/>
        </w:rPr>
      </w:pPr>
      <w:r w:rsidRPr="00DC604A">
        <w:rPr>
          <w:lang w:val="en-US"/>
        </w:rPr>
        <w:t>China (Beijing) Standards Forum</w:t>
      </w:r>
      <w:r>
        <w:rPr>
          <w:lang w:val="en-US"/>
        </w:rPr>
        <w:t>: End June, more details to follow in the near future.</w:t>
      </w:r>
    </w:p>
    <w:p w:rsidR="00DC604A" w:rsidRDefault="00DC604A" w:rsidP="00CA4AAC">
      <w:pPr>
        <w:rPr>
          <w:lang w:val="en-US"/>
        </w:rPr>
      </w:pPr>
      <w:r>
        <w:rPr>
          <w:lang w:val="en-US"/>
        </w:rPr>
        <w:t xml:space="preserve">In conjunction with the Singapore Standards Forum, we will also be </w:t>
      </w:r>
      <w:proofErr w:type="spellStart"/>
      <w:r>
        <w:rPr>
          <w:lang w:val="en-US"/>
        </w:rPr>
        <w:t>organising</w:t>
      </w:r>
      <w:proofErr w:type="spellEnd"/>
      <w:r>
        <w:rPr>
          <w:lang w:val="en-US"/>
        </w:rPr>
        <w:t xml:space="preserve"> a </w:t>
      </w:r>
      <w:proofErr w:type="spellStart"/>
      <w:r>
        <w:rPr>
          <w:lang w:val="en-US"/>
        </w:rPr>
        <w:t>customised</w:t>
      </w:r>
      <w:proofErr w:type="spellEnd"/>
      <w:r>
        <w:rPr>
          <w:lang w:val="en-US"/>
        </w:rPr>
        <w:t xml:space="preserve"> ISO 20022 training for the Singapore community</w:t>
      </w:r>
      <w:r w:rsidR="00166C90">
        <w:rPr>
          <w:lang w:val="en-US"/>
        </w:rPr>
        <w:t xml:space="preserve"> on 12</w:t>
      </w:r>
      <w:r w:rsidR="00166C90" w:rsidRPr="00166C90">
        <w:rPr>
          <w:vertAlign w:val="superscript"/>
          <w:lang w:val="en-US"/>
        </w:rPr>
        <w:t>th</w:t>
      </w:r>
      <w:r w:rsidR="00166C90">
        <w:rPr>
          <w:lang w:val="en-US"/>
        </w:rPr>
        <w:t xml:space="preserve"> March</w:t>
      </w:r>
      <w:r>
        <w:rPr>
          <w:lang w:val="en-US"/>
        </w:rPr>
        <w:t>. This training is targeted to participants interested in the details of ISO 20022 messages</w:t>
      </w:r>
      <w:r w:rsidR="00166C90">
        <w:rPr>
          <w:lang w:val="en-US"/>
        </w:rPr>
        <w:t xml:space="preserve"> and how it applies to the Singapore market</w:t>
      </w:r>
      <w:r>
        <w:rPr>
          <w:lang w:val="en-US"/>
        </w:rPr>
        <w:t xml:space="preserve">. </w:t>
      </w:r>
    </w:p>
    <w:p w:rsidR="00843269" w:rsidRPr="00843269" w:rsidRDefault="00843269" w:rsidP="00CA4AAC">
      <w:pPr>
        <w:rPr>
          <w:lang w:val="en-US"/>
        </w:rPr>
      </w:pPr>
      <w:r>
        <w:rPr>
          <w:lang w:val="en-US"/>
        </w:rPr>
        <w:t>Please email Magdalene (</w:t>
      </w:r>
      <w:hyperlink r:id="rId13" w:history="1">
        <w:r w:rsidRPr="00413D14">
          <w:rPr>
            <w:rStyle w:val="Hyperlink"/>
            <w:lang w:val="en-US"/>
          </w:rPr>
          <w:t>magdalene.goh@swift.com</w:t>
        </w:r>
      </w:hyperlink>
      <w:r w:rsidR="00C420DA">
        <w:rPr>
          <w:lang w:val="en-US"/>
        </w:rPr>
        <w:t xml:space="preserve">) for more information. </w:t>
      </w:r>
    </w:p>
    <w:sectPr w:rsidR="00843269" w:rsidRPr="008432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67" w:rsidRDefault="00485067" w:rsidP="00485067">
      <w:pPr>
        <w:spacing w:after="0" w:line="240" w:lineRule="auto"/>
      </w:pPr>
      <w:r>
        <w:separator/>
      </w:r>
    </w:p>
  </w:endnote>
  <w:endnote w:type="continuationSeparator" w:id="0">
    <w:p w:rsidR="00485067" w:rsidRDefault="00485067" w:rsidP="0048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67" w:rsidRDefault="00485067" w:rsidP="00485067">
      <w:pPr>
        <w:spacing w:after="0" w:line="240" w:lineRule="auto"/>
      </w:pPr>
      <w:r>
        <w:separator/>
      </w:r>
    </w:p>
  </w:footnote>
  <w:footnote w:type="continuationSeparator" w:id="0">
    <w:p w:rsidR="00485067" w:rsidRDefault="00485067" w:rsidP="0048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9C2"/>
    <w:multiLevelType w:val="hybridMultilevel"/>
    <w:tmpl w:val="F67C7758"/>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25C82"/>
    <w:multiLevelType w:val="hybridMultilevel"/>
    <w:tmpl w:val="634E1650"/>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83E12"/>
    <w:multiLevelType w:val="hybridMultilevel"/>
    <w:tmpl w:val="667E689C"/>
    <w:lvl w:ilvl="0" w:tplc="5A1E868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07C4A"/>
    <w:multiLevelType w:val="hybridMultilevel"/>
    <w:tmpl w:val="93BE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31FD9"/>
    <w:multiLevelType w:val="hybridMultilevel"/>
    <w:tmpl w:val="35E02E9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93829"/>
    <w:multiLevelType w:val="hybridMultilevel"/>
    <w:tmpl w:val="90547836"/>
    <w:lvl w:ilvl="0" w:tplc="BEB6D3F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E752BF"/>
    <w:multiLevelType w:val="hybridMultilevel"/>
    <w:tmpl w:val="8582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26377C"/>
    <w:multiLevelType w:val="hybridMultilevel"/>
    <w:tmpl w:val="21E0D6DC"/>
    <w:lvl w:ilvl="0" w:tplc="D43CA2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321D3"/>
    <w:multiLevelType w:val="hybridMultilevel"/>
    <w:tmpl w:val="9D24E588"/>
    <w:lvl w:ilvl="0" w:tplc="BEB6D3F2">
      <w:numFmt w:val="bullet"/>
      <w:lvlText w:val="-"/>
      <w:lvlJc w:val="left"/>
      <w:pPr>
        <w:ind w:left="720" w:hanging="360"/>
      </w:pPr>
      <w:rPr>
        <w:rFonts w:ascii="Calibri" w:eastAsiaTheme="minorEastAsia" w:hAnsi="Calibri" w:cs="Calibri"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D4AC2"/>
    <w:multiLevelType w:val="hybridMultilevel"/>
    <w:tmpl w:val="55F06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71639E"/>
    <w:multiLevelType w:val="hybridMultilevel"/>
    <w:tmpl w:val="9774AFD6"/>
    <w:lvl w:ilvl="0" w:tplc="BAD8A6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A2836"/>
    <w:multiLevelType w:val="hybridMultilevel"/>
    <w:tmpl w:val="B6BE455E"/>
    <w:lvl w:ilvl="0" w:tplc="BEB6D3F2">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B270B3"/>
    <w:multiLevelType w:val="hybridMultilevel"/>
    <w:tmpl w:val="BD4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90964"/>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54D61"/>
    <w:multiLevelType w:val="hybridMultilevel"/>
    <w:tmpl w:val="A52042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92184"/>
    <w:multiLevelType w:val="hybridMultilevel"/>
    <w:tmpl w:val="F976B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44929"/>
    <w:multiLevelType w:val="hybridMultilevel"/>
    <w:tmpl w:val="0150B8C0"/>
    <w:lvl w:ilvl="0" w:tplc="BEB6D3F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F44DF0"/>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E6862"/>
    <w:multiLevelType w:val="hybridMultilevel"/>
    <w:tmpl w:val="F2949D7A"/>
    <w:lvl w:ilvl="0" w:tplc="0409000F">
      <w:start w:val="1"/>
      <w:numFmt w:val="decimal"/>
      <w:lvlText w:val="%1."/>
      <w:lvlJc w:val="left"/>
      <w:pPr>
        <w:ind w:left="720" w:hanging="360"/>
      </w:pPr>
      <w:rPr>
        <w:rFonts w:hint="default"/>
      </w:rPr>
    </w:lvl>
    <w:lvl w:ilvl="1" w:tplc="BEB6D3F2">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C18C0"/>
    <w:multiLevelType w:val="hybridMultilevel"/>
    <w:tmpl w:val="4A0E833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B47AA"/>
    <w:multiLevelType w:val="hybridMultilevel"/>
    <w:tmpl w:val="A7A6007C"/>
    <w:lvl w:ilvl="0" w:tplc="BEB6D3F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257CC3"/>
    <w:multiLevelType w:val="hybridMultilevel"/>
    <w:tmpl w:val="2F8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1"/>
  </w:num>
  <w:num w:numId="4">
    <w:abstractNumId w:val="20"/>
  </w:num>
  <w:num w:numId="5">
    <w:abstractNumId w:val="16"/>
  </w:num>
  <w:num w:numId="6">
    <w:abstractNumId w:val="2"/>
  </w:num>
  <w:num w:numId="7">
    <w:abstractNumId w:val="14"/>
  </w:num>
  <w:num w:numId="8">
    <w:abstractNumId w:val="15"/>
  </w:num>
  <w:num w:numId="9">
    <w:abstractNumId w:val="4"/>
  </w:num>
  <w:num w:numId="10">
    <w:abstractNumId w:val="5"/>
  </w:num>
  <w:num w:numId="11">
    <w:abstractNumId w:val="19"/>
  </w:num>
  <w:num w:numId="12">
    <w:abstractNumId w:val="11"/>
  </w:num>
  <w:num w:numId="13">
    <w:abstractNumId w:val="0"/>
  </w:num>
  <w:num w:numId="14">
    <w:abstractNumId w:val="1"/>
  </w:num>
  <w:num w:numId="15">
    <w:abstractNumId w:val="13"/>
  </w:num>
  <w:num w:numId="16">
    <w:abstractNumId w:val="6"/>
  </w:num>
  <w:num w:numId="17">
    <w:abstractNumId w:val="18"/>
  </w:num>
  <w:num w:numId="18">
    <w:abstractNumId w:val="12"/>
  </w:num>
  <w:num w:numId="19">
    <w:abstractNumId w:val="17"/>
  </w:num>
  <w:num w:numId="20">
    <w:abstractNumId w:val="9"/>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3E"/>
    <w:rsid w:val="00001945"/>
    <w:rsid w:val="00004645"/>
    <w:rsid w:val="00005362"/>
    <w:rsid w:val="00006AB9"/>
    <w:rsid w:val="00010B84"/>
    <w:rsid w:val="00010BAF"/>
    <w:rsid w:val="00010D4E"/>
    <w:rsid w:val="00011874"/>
    <w:rsid w:val="0001339E"/>
    <w:rsid w:val="0001381D"/>
    <w:rsid w:val="00015250"/>
    <w:rsid w:val="00017C13"/>
    <w:rsid w:val="00020C18"/>
    <w:rsid w:val="00024F8F"/>
    <w:rsid w:val="00027C1E"/>
    <w:rsid w:val="00030DAF"/>
    <w:rsid w:val="000356BD"/>
    <w:rsid w:val="0003591F"/>
    <w:rsid w:val="000375CB"/>
    <w:rsid w:val="0004035B"/>
    <w:rsid w:val="000417A1"/>
    <w:rsid w:val="00044108"/>
    <w:rsid w:val="00046546"/>
    <w:rsid w:val="0005029A"/>
    <w:rsid w:val="00051C08"/>
    <w:rsid w:val="00053885"/>
    <w:rsid w:val="00053C89"/>
    <w:rsid w:val="0005781A"/>
    <w:rsid w:val="00065CED"/>
    <w:rsid w:val="00067F64"/>
    <w:rsid w:val="00071B11"/>
    <w:rsid w:val="0007205C"/>
    <w:rsid w:val="000729A0"/>
    <w:rsid w:val="0007426A"/>
    <w:rsid w:val="00075C80"/>
    <w:rsid w:val="000808D0"/>
    <w:rsid w:val="000878C7"/>
    <w:rsid w:val="000918C7"/>
    <w:rsid w:val="000A03C2"/>
    <w:rsid w:val="000A10E2"/>
    <w:rsid w:val="000A244E"/>
    <w:rsid w:val="000A6C7F"/>
    <w:rsid w:val="000B24DE"/>
    <w:rsid w:val="000C0A1D"/>
    <w:rsid w:val="000D558C"/>
    <w:rsid w:val="000E565D"/>
    <w:rsid w:val="000F1699"/>
    <w:rsid w:val="000F1C6E"/>
    <w:rsid w:val="000F531C"/>
    <w:rsid w:val="0010094E"/>
    <w:rsid w:val="00100D26"/>
    <w:rsid w:val="001010F9"/>
    <w:rsid w:val="001024C5"/>
    <w:rsid w:val="00107320"/>
    <w:rsid w:val="00107B8A"/>
    <w:rsid w:val="00107DEB"/>
    <w:rsid w:val="00116E04"/>
    <w:rsid w:val="001175F7"/>
    <w:rsid w:val="001208D8"/>
    <w:rsid w:val="001217BA"/>
    <w:rsid w:val="0012561F"/>
    <w:rsid w:val="0013270F"/>
    <w:rsid w:val="00132EE1"/>
    <w:rsid w:val="00133E4F"/>
    <w:rsid w:val="0013609B"/>
    <w:rsid w:val="00137857"/>
    <w:rsid w:val="001379D3"/>
    <w:rsid w:val="00140A99"/>
    <w:rsid w:val="0014289F"/>
    <w:rsid w:val="0014309F"/>
    <w:rsid w:val="00144D74"/>
    <w:rsid w:val="00144E13"/>
    <w:rsid w:val="001455A3"/>
    <w:rsid w:val="00147079"/>
    <w:rsid w:val="001474C2"/>
    <w:rsid w:val="00156667"/>
    <w:rsid w:val="001621D7"/>
    <w:rsid w:val="00164FC7"/>
    <w:rsid w:val="00165329"/>
    <w:rsid w:val="00165C48"/>
    <w:rsid w:val="00166109"/>
    <w:rsid w:val="00166C90"/>
    <w:rsid w:val="00177C40"/>
    <w:rsid w:val="0018163B"/>
    <w:rsid w:val="001826E9"/>
    <w:rsid w:val="0018788C"/>
    <w:rsid w:val="0019048C"/>
    <w:rsid w:val="00194F82"/>
    <w:rsid w:val="0019529D"/>
    <w:rsid w:val="00195B0D"/>
    <w:rsid w:val="001A458C"/>
    <w:rsid w:val="001B284F"/>
    <w:rsid w:val="001B3BAD"/>
    <w:rsid w:val="001B5872"/>
    <w:rsid w:val="001B5E3D"/>
    <w:rsid w:val="001C2E15"/>
    <w:rsid w:val="001C4A11"/>
    <w:rsid w:val="001C5CB9"/>
    <w:rsid w:val="001C6568"/>
    <w:rsid w:val="001C7451"/>
    <w:rsid w:val="001D02D6"/>
    <w:rsid w:val="001D27E3"/>
    <w:rsid w:val="001D6AB5"/>
    <w:rsid w:val="001D7F70"/>
    <w:rsid w:val="001E057D"/>
    <w:rsid w:val="001E0D52"/>
    <w:rsid w:val="001E3352"/>
    <w:rsid w:val="001E45E1"/>
    <w:rsid w:val="001F08D3"/>
    <w:rsid w:val="001F2341"/>
    <w:rsid w:val="001F56DB"/>
    <w:rsid w:val="001F6DC5"/>
    <w:rsid w:val="001F73B8"/>
    <w:rsid w:val="00200A79"/>
    <w:rsid w:val="00200B00"/>
    <w:rsid w:val="00202215"/>
    <w:rsid w:val="00205452"/>
    <w:rsid w:val="002101EF"/>
    <w:rsid w:val="00210C43"/>
    <w:rsid w:val="002114E7"/>
    <w:rsid w:val="00211C74"/>
    <w:rsid w:val="00214401"/>
    <w:rsid w:val="00221065"/>
    <w:rsid w:val="00222A92"/>
    <w:rsid w:val="002242F4"/>
    <w:rsid w:val="002246CA"/>
    <w:rsid w:val="00225439"/>
    <w:rsid w:val="00230B63"/>
    <w:rsid w:val="00230F6C"/>
    <w:rsid w:val="00233807"/>
    <w:rsid w:val="002356B0"/>
    <w:rsid w:val="002374A2"/>
    <w:rsid w:val="002415C4"/>
    <w:rsid w:val="00243DA7"/>
    <w:rsid w:val="00243E17"/>
    <w:rsid w:val="00244438"/>
    <w:rsid w:val="0024462C"/>
    <w:rsid w:val="00246BBF"/>
    <w:rsid w:val="00251141"/>
    <w:rsid w:val="0025444D"/>
    <w:rsid w:val="002549D4"/>
    <w:rsid w:val="002572BB"/>
    <w:rsid w:val="002572CC"/>
    <w:rsid w:val="00261404"/>
    <w:rsid w:val="00262ECB"/>
    <w:rsid w:val="00263D71"/>
    <w:rsid w:val="00265BB6"/>
    <w:rsid w:val="00267C7C"/>
    <w:rsid w:val="00267CAF"/>
    <w:rsid w:val="00270E87"/>
    <w:rsid w:val="00272AD3"/>
    <w:rsid w:val="00275313"/>
    <w:rsid w:val="002777A5"/>
    <w:rsid w:val="00280D0F"/>
    <w:rsid w:val="00280EE7"/>
    <w:rsid w:val="002835A4"/>
    <w:rsid w:val="00283794"/>
    <w:rsid w:val="00285D87"/>
    <w:rsid w:val="00287148"/>
    <w:rsid w:val="00292EC2"/>
    <w:rsid w:val="00295112"/>
    <w:rsid w:val="0029715B"/>
    <w:rsid w:val="002A07BA"/>
    <w:rsid w:val="002A16ED"/>
    <w:rsid w:val="002A17AE"/>
    <w:rsid w:val="002A4A59"/>
    <w:rsid w:val="002A5CF3"/>
    <w:rsid w:val="002A6B24"/>
    <w:rsid w:val="002B3FCE"/>
    <w:rsid w:val="002B6DE5"/>
    <w:rsid w:val="002B75C9"/>
    <w:rsid w:val="002C0910"/>
    <w:rsid w:val="002C10DD"/>
    <w:rsid w:val="002C1CC2"/>
    <w:rsid w:val="002C5B18"/>
    <w:rsid w:val="002C6189"/>
    <w:rsid w:val="002D07B4"/>
    <w:rsid w:val="002D1959"/>
    <w:rsid w:val="002D36E0"/>
    <w:rsid w:val="002D715E"/>
    <w:rsid w:val="002E02A1"/>
    <w:rsid w:val="002E22F7"/>
    <w:rsid w:val="002E3B18"/>
    <w:rsid w:val="002E73AE"/>
    <w:rsid w:val="002E7FA8"/>
    <w:rsid w:val="002F1263"/>
    <w:rsid w:val="002F1878"/>
    <w:rsid w:val="002F2C03"/>
    <w:rsid w:val="002F5221"/>
    <w:rsid w:val="002F5F3A"/>
    <w:rsid w:val="0030072A"/>
    <w:rsid w:val="0030090A"/>
    <w:rsid w:val="00300ECC"/>
    <w:rsid w:val="003133D8"/>
    <w:rsid w:val="00315EDC"/>
    <w:rsid w:val="00323CDB"/>
    <w:rsid w:val="003245E9"/>
    <w:rsid w:val="00324960"/>
    <w:rsid w:val="00331EEB"/>
    <w:rsid w:val="003322B2"/>
    <w:rsid w:val="00333341"/>
    <w:rsid w:val="00336791"/>
    <w:rsid w:val="003415D7"/>
    <w:rsid w:val="00341D7B"/>
    <w:rsid w:val="00345A13"/>
    <w:rsid w:val="00353618"/>
    <w:rsid w:val="003544A7"/>
    <w:rsid w:val="003553F3"/>
    <w:rsid w:val="00355C2F"/>
    <w:rsid w:val="003563DA"/>
    <w:rsid w:val="00357FE8"/>
    <w:rsid w:val="003604A6"/>
    <w:rsid w:val="003611BB"/>
    <w:rsid w:val="0036139F"/>
    <w:rsid w:val="00367781"/>
    <w:rsid w:val="00371A09"/>
    <w:rsid w:val="00372691"/>
    <w:rsid w:val="003822E0"/>
    <w:rsid w:val="00382521"/>
    <w:rsid w:val="00383385"/>
    <w:rsid w:val="0038560E"/>
    <w:rsid w:val="00394451"/>
    <w:rsid w:val="00394A04"/>
    <w:rsid w:val="00395C05"/>
    <w:rsid w:val="003A60B9"/>
    <w:rsid w:val="003A6471"/>
    <w:rsid w:val="003B18D3"/>
    <w:rsid w:val="003B1BD1"/>
    <w:rsid w:val="003B264C"/>
    <w:rsid w:val="003B3795"/>
    <w:rsid w:val="003B4E43"/>
    <w:rsid w:val="003B6151"/>
    <w:rsid w:val="003B6A9E"/>
    <w:rsid w:val="003C2ABA"/>
    <w:rsid w:val="003C42C7"/>
    <w:rsid w:val="003C66DC"/>
    <w:rsid w:val="003D368F"/>
    <w:rsid w:val="003D759B"/>
    <w:rsid w:val="003E3EBE"/>
    <w:rsid w:val="003E3F92"/>
    <w:rsid w:val="003E4BAD"/>
    <w:rsid w:val="003E5D68"/>
    <w:rsid w:val="003E6100"/>
    <w:rsid w:val="003E650B"/>
    <w:rsid w:val="003E77C0"/>
    <w:rsid w:val="003F377A"/>
    <w:rsid w:val="003F493D"/>
    <w:rsid w:val="003F7173"/>
    <w:rsid w:val="003F7DFE"/>
    <w:rsid w:val="00402F88"/>
    <w:rsid w:val="00410142"/>
    <w:rsid w:val="00411B64"/>
    <w:rsid w:val="00411D14"/>
    <w:rsid w:val="00415563"/>
    <w:rsid w:val="00416C77"/>
    <w:rsid w:val="004247C5"/>
    <w:rsid w:val="004251E0"/>
    <w:rsid w:val="00426AD5"/>
    <w:rsid w:val="00430764"/>
    <w:rsid w:val="004310C7"/>
    <w:rsid w:val="004356EF"/>
    <w:rsid w:val="0043779D"/>
    <w:rsid w:val="00440298"/>
    <w:rsid w:val="00442DD6"/>
    <w:rsid w:val="004451D7"/>
    <w:rsid w:val="004452B3"/>
    <w:rsid w:val="00446EC9"/>
    <w:rsid w:val="00450084"/>
    <w:rsid w:val="00450453"/>
    <w:rsid w:val="004559E3"/>
    <w:rsid w:val="00460517"/>
    <w:rsid w:val="00463406"/>
    <w:rsid w:val="0046602F"/>
    <w:rsid w:val="00467297"/>
    <w:rsid w:val="0046747D"/>
    <w:rsid w:val="00473BAE"/>
    <w:rsid w:val="0047415A"/>
    <w:rsid w:val="004841CF"/>
    <w:rsid w:val="00484401"/>
    <w:rsid w:val="00485067"/>
    <w:rsid w:val="00490771"/>
    <w:rsid w:val="00490D85"/>
    <w:rsid w:val="00492186"/>
    <w:rsid w:val="00492554"/>
    <w:rsid w:val="004940DF"/>
    <w:rsid w:val="004951A7"/>
    <w:rsid w:val="004979E5"/>
    <w:rsid w:val="004A2595"/>
    <w:rsid w:val="004A3E1E"/>
    <w:rsid w:val="004A4E17"/>
    <w:rsid w:val="004B6E58"/>
    <w:rsid w:val="004C25EA"/>
    <w:rsid w:val="004D02DD"/>
    <w:rsid w:val="004D105C"/>
    <w:rsid w:val="004D1D06"/>
    <w:rsid w:val="004D348D"/>
    <w:rsid w:val="004D3D86"/>
    <w:rsid w:val="004D6AD6"/>
    <w:rsid w:val="004D7C42"/>
    <w:rsid w:val="004E232D"/>
    <w:rsid w:val="004E2DF4"/>
    <w:rsid w:val="004E4B32"/>
    <w:rsid w:val="004E7005"/>
    <w:rsid w:val="004F0FA6"/>
    <w:rsid w:val="004F536C"/>
    <w:rsid w:val="004F7C47"/>
    <w:rsid w:val="0050083A"/>
    <w:rsid w:val="00502320"/>
    <w:rsid w:val="00505A04"/>
    <w:rsid w:val="00506693"/>
    <w:rsid w:val="005119C0"/>
    <w:rsid w:val="00511B69"/>
    <w:rsid w:val="005140F6"/>
    <w:rsid w:val="005210D2"/>
    <w:rsid w:val="005211F5"/>
    <w:rsid w:val="0053136F"/>
    <w:rsid w:val="0053241D"/>
    <w:rsid w:val="00532F4A"/>
    <w:rsid w:val="00536AC5"/>
    <w:rsid w:val="00537DEC"/>
    <w:rsid w:val="005413AB"/>
    <w:rsid w:val="00542806"/>
    <w:rsid w:val="00542CAF"/>
    <w:rsid w:val="00545533"/>
    <w:rsid w:val="005500A8"/>
    <w:rsid w:val="00550C48"/>
    <w:rsid w:val="00551A83"/>
    <w:rsid w:val="005560C7"/>
    <w:rsid w:val="005616C3"/>
    <w:rsid w:val="00563B73"/>
    <w:rsid w:val="0056499E"/>
    <w:rsid w:val="00565D0B"/>
    <w:rsid w:val="00565DF9"/>
    <w:rsid w:val="00566F17"/>
    <w:rsid w:val="00566F4E"/>
    <w:rsid w:val="0056743A"/>
    <w:rsid w:val="00567717"/>
    <w:rsid w:val="0057088A"/>
    <w:rsid w:val="00571B99"/>
    <w:rsid w:val="00574813"/>
    <w:rsid w:val="00574A56"/>
    <w:rsid w:val="00575A24"/>
    <w:rsid w:val="00577B40"/>
    <w:rsid w:val="00582C21"/>
    <w:rsid w:val="00584C96"/>
    <w:rsid w:val="00586C31"/>
    <w:rsid w:val="00587748"/>
    <w:rsid w:val="0059454C"/>
    <w:rsid w:val="005A0A54"/>
    <w:rsid w:val="005A0C92"/>
    <w:rsid w:val="005A34E2"/>
    <w:rsid w:val="005A7EF0"/>
    <w:rsid w:val="005B2EF1"/>
    <w:rsid w:val="005B4CE9"/>
    <w:rsid w:val="005C1FC9"/>
    <w:rsid w:val="005C4FDB"/>
    <w:rsid w:val="005D11B6"/>
    <w:rsid w:val="005D15F1"/>
    <w:rsid w:val="005D18E5"/>
    <w:rsid w:val="005D2B1B"/>
    <w:rsid w:val="005D33F4"/>
    <w:rsid w:val="005D4BED"/>
    <w:rsid w:val="005D5726"/>
    <w:rsid w:val="005D5DA1"/>
    <w:rsid w:val="005E0DE5"/>
    <w:rsid w:val="005E663B"/>
    <w:rsid w:val="005E7A11"/>
    <w:rsid w:val="005E7A1A"/>
    <w:rsid w:val="005F2AC6"/>
    <w:rsid w:val="005F499A"/>
    <w:rsid w:val="00601F2A"/>
    <w:rsid w:val="0060297E"/>
    <w:rsid w:val="00604B41"/>
    <w:rsid w:val="00605612"/>
    <w:rsid w:val="00605B2B"/>
    <w:rsid w:val="00606C3F"/>
    <w:rsid w:val="0061088A"/>
    <w:rsid w:val="006110A6"/>
    <w:rsid w:val="00612D13"/>
    <w:rsid w:val="00615957"/>
    <w:rsid w:val="006160D0"/>
    <w:rsid w:val="006228C8"/>
    <w:rsid w:val="00625008"/>
    <w:rsid w:val="00626F04"/>
    <w:rsid w:val="006271D6"/>
    <w:rsid w:val="00632101"/>
    <w:rsid w:val="00632A86"/>
    <w:rsid w:val="006360F8"/>
    <w:rsid w:val="00646413"/>
    <w:rsid w:val="006523B6"/>
    <w:rsid w:val="006564A1"/>
    <w:rsid w:val="00656A62"/>
    <w:rsid w:val="00661944"/>
    <w:rsid w:val="00665B0C"/>
    <w:rsid w:val="006667B7"/>
    <w:rsid w:val="006707A1"/>
    <w:rsid w:val="00672C30"/>
    <w:rsid w:val="00677767"/>
    <w:rsid w:val="006807E5"/>
    <w:rsid w:val="00680B94"/>
    <w:rsid w:val="006826EF"/>
    <w:rsid w:val="00684C07"/>
    <w:rsid w:val="00685359"/>
    <w:rsid w:val="0069057A"/>
    <w:rsid w:val="00692BBF"/>
    <w:rsid w:val="00693139"/>
    <w:rsid w:val="006947A2"/>
    <w:rsid w:val="00695045"/>
    <w:rsid w:val="006A4151"/>
    <w:rsid w:val="006A52AA"/>
    <w:rsid w:val="006A55D8"/>
    <w:rsid w:val="006C41D9"/>
    <w:rsid w:val="006C465D"/>
    <w:rsid w:val="006C7FF7"/>
    <w:rsid w:val="006D4B12"/>
    <w:rsid w:val="006D4C8D"/>
    <w:rsid w:val="006D777C"/>
    <w:rsid w:val="006E2BD3"/>
    <w:rsid w:val="006E6468"/>
    <w:rsid w:val="006E71E7"/>
    <w:rsid w:val="006E7506"/>
    <w:rsid w:val="006F2E6D"/>
    <w:rsid w:val="006F3DF3"/>
    <w:rsid w:val="006F3ED4"/>
    <w:rsid w:val="006F6A7A"/>
    <w:rsid w:val="0070254A"/>
    <w:rsid w:val="007026B1"/>
    <w:rsid w:val="0070321D"/>
    <w:rsid w:val="007064E0"/>
    <w:rsid w:val="007066F7"/>
    <w:rsid w:val="00715918"/>
    <w:rsid w:val="00715FBB"/>
    <w:rsid w:val="00722611"/>
    <w:rsid w:val="007236A9"/>
    <w:rsid w:val="00724724"/>
    <w:rsid w:val="0072792E"/>
    <w:rsid w:val="00733828"/>
    <w:rsid w:val="00734EE9"/>
    <w:rsid w:val="00735D43"/>
    <w:rsid w:val="0073644A"/>
    <w:rsid w:val="007404F8"/>
    <w:rsid w:val="007418B5"/>
    <w:rsid w:val="00741907"/>
    <w:rsid w:val="00743E2F"/>
    <w:rsid w:val="007462AC"/>
    <w:rsid w:val="00746BB5"/>
    <w:rsid w:val="00755CBC"/>
    <w:rsid w:val="00757038"/>
    <w:rsid w:val="007637CD"/>
    <w:rsid w:val="00764B00"/>
    <w:rsid w:val="00764BD4"/>
    <w:rsid w:val="00766129"/>
    <w:rsid w:val="007706F9"/>
    <w:rsid w:val="00770804"/>
    <w:rsid w:val="00770827"/>
    <w:rsid w:val="007735C6"/>
    <w:rsid w:val="00774F0A"/>
    <w:rsid w:val="00780B38"/>
    <w:rsid w:val="00781C1F"/>
    <w:rsid w:val="00782A32"/>
    <w:rsid w:val="00792141"/>
    <w:rsid w:val="00794147"/>
    <w:rsid w:val="00796777"/>
    <w:rsid w:val="007A5617"/>
    <w:rsid w:val="007B06D9"/>
    <w:rsid w:val="007B7919"/>
    <w:rsid w:val="007C0A9C"/>
    <w:rsid w:val="007C3366"/>
    <w:rsid w:val="007D1C4F"/>
    <w:rsid w:val="007D5F8C"/>
    <w:rsid w:val="007D6C95"/>
    <w:rsid w:val="007E17D6"/>
    <w:rsid w:val="007E2998"/>
    <w:rsid w:val="007E5CB9"/>
    <w:rsid w:val="007E7FBA"/>
    <w:rsid w:val="007F1195"/>
    <w:rsid w:val="007F3601"/>
    <w:rsid w:val="007F5C13"/>
    <w:rsid w:val="00802A57"/>
    <w:rsid w:val="00806604"/>
    <w:rsid w:val="00807578"/>
    <w:rsid w:val="00813CC5"/>
    <w:rsid w:val="008147A0"/>
    <w:rsid w:val="0081763B"/>
    <w:rsid w:val="00824B79"/>
    <w:rsid w:val="0082534F"/>
    <w:rsid w:val="00825472"/>
    <w:rsid w:val="00831FD2"/>
    <w:rsid w:val="00832D67"/>
    <w:rsid w:val="00834198"/>
    <w:rsid w:val="0084053D"/>
    <w:rsid w:val="00843269"/>
    <w:rsid w:val="00844406"/>
    <w:rsid w:val="00850118"/>
    <w:rsid w:val="00852495"/>
    <w:rsid w:val="00870A36"/>
    <w:rsid w:val="0087295B"/>
    <w:rsid w:val="00872F99"/>
    <w:rsid w:val="008764F1"/>
    <w:rsid w:val="00876D0B"/>
    <w:rsid w:val="00876F5E"/>
    <w:rsid w:val="00880706"/>
    <w:rsid w:val="00881B3A"/>
    <w:rsid w:val="00883778"/>
    <w:rsid w:val="00891C47"/>
    <w:rsid w:val="00892D7F"/>
    <w:rsid w:val="008931C1"/>
    <w:rsid w:val="008A1D50"/>
    <w:rsid w:val="008A53BD"/>
    <w:rsid w:val="008B0581"/>
    <w:rsid w:val="008B454A"/>
    <w:rsid w:val="008B4DD5"/>
    <w:rsid w:val="008B5D69"/>
    <w:rsid w:val="008B672B"/>
    <w:rsid w:val="008B7984"/>
    <w:rsid w:val="008B7A2B"/>
    <w:rsid w:val="008C07DE"/>
    <w:rsid w:val="008C0CC0"/>
    <w:rsid w:val="008C14B2"/>
    <w:rsid w:val="008C29B9"/>
    <w:rsid w:val="008C39B7"/>
    <w:rsid w:val="008C3CBE"/>
    <w:rsid w:val="008C6A6B"/>
    <w:rsid w:val="008C6EE1"/>
    <w:rsid w:val="008C6EEC"/>
    <w:rsid w:val="008D1555"/>
    <w:rsid w:val="008D43F2"/>
    <w:rsid w:val="008D6D41"/>
    <w:rsid w:val="008E2207"/>
    <w:rsid w:val="008E2549"/>
    <w:rsid w:val="008E4406"/>
    <w:rsid w:val="008E4EEC"/>
    <w:rsid w:val="008E605F"/>
    <w:rsid w:val="008F0D6B"/>
    <w:rsid w:val="008F17AA"/>
    <w:rsid w:val="008F2825"/>
    <w:rsid w:val="008F56A7"/>
    <w:rsid w:val="009008A9"/>
    <w:rsid w:val="00900F23"/>
    <w:rsid w:val="00901071"/>
    <w:rsid w:val="00901712"/>
    <w:rsid w:val="009017A4"/>
    <w:rsid w:val="00907FD7"/>
    <w:rsid w:val="009119E7"/>
    <w:rsid w:val="00911BB0"/>
    <w:rsid w:val="00911C53"/>
    <w:rsid w:val="009200E6"/>
    <w:rsid w:val="00923D93"/>
    <w:rsid w:val="009248F5"/>
    <w:rsid w:val="009272DD"/>
    <w:rsid w:val="00934752"/>
    <w:rsid w:val="00936DED"/>
    <w:rsid w:val="00940D80"/>
    <w:rsid w:val="0094115D"/>
    <w:rsid w:val="009414F4"/>
    <w:rsid w:val="00941751"/>
    <w:rsid w:val="00941833"/>
    <w:rsid w:val="00942B42"/>
    <w:rsid w:val="009440D8"/>
    <w:rsid w:val="00946336"/>
    <w:rsid w:val="009479C8"/>
    <w:rsid w:val="00951609"/>
    <w:rsid w:val="00957788"/>
    <w:rsid w:val="00966C02"/>
    <w:rsid w:val="0097036B"/>
    <w:rsid w:val="009705DC"/>
    <w:rsid w:val="00974555"/>
    <w:rsid w:val="00974883"/>
    <w:rsid w:val="009758E4"/>
    <w:rsid w:val="00975948"/>
    <w:rsid w:val="0097704D"/>
    <w:rsid w:val="009810C9"/>
    <w:rsid w:val="00990C81"/>
    <w:rsid w:val="00993BBB"/>
    <w:rsid w:val="00995C1C"/>
    <w:rsid w:val="00996B73"/>
    <w:rsid w:val="009A20E6"/>
    <w:rsid w:val="009A330A"/>
    <w:rsid w:val="009A459B"/>
    <w:rsid w:val="009A56F6"/>
    <w:rsid w:val="009B0D59"/>
    <w:rsid w:val="009B2083"/>
    <w:rsid w:val="009B226F"/>
    <w:rsid w:val="009B49CD"/>
    <w:rsid w:val="009C182C"/>
    <w:rsid w:val="009C5F18"/>
    <w:rsid w:val="009D6862"/>
    <w:rsid w:val="009E0AEE"/>
    <w:rsid w:val="009E23EF"/>
    <w:rsid w:val="009E3B9D"/>
    <w:rsid w:val="009E493C"/>
    <w:rsid w:val="009E558C"/>
    <w:rsid w:val="009F060E"/>
    <w:rsid w:val="009F6A42"/>
    <w:rsid w:val="009F7BAF"/>
    <w:rsid w:val="009F7C12"/>
    <w:rsid w:val="00A033EE"/>
    <w:rsid w:val="00A03E89"/>
    <w:rsid w:val="00A05645"/>
    <w:rsid w:val="00A060DD"/>
    <w:rsid w:val="00A0668C"/>
    <w:rsid w:val="00A07A23"/>
    <w:rsid w:val="00A11110"/>
    <w:rsid w:val="00A13AC4"/>
    <w:rsid w:val="00A17B7A"/>
    <w:rsid w:val="00A31E00"/>
    <w:rsid w:val="00A35E38"/>
    <w:rsid w:val="00A37535"/>
    <w:rsid w:val="00A41CF7"/>
    <w:rsid w:val="00A436E4"/>
    <w:rsid w:val="00A44556"/>
    <w:rsid w:val="00A4573A"/>
    <w:rsid w:val="00A470DF"/>
    <w:rsid w:val="00A473F3"/>
    <w:rsid w:val="00A52304"/>
    <w:rsid w:val="00A52F56"/>
    <w:rsid w:val="00A530A7"/>
    <w:rsid w:val="00A5316B"/>
    <w:rsid w:val="00A53173"/>
    <w:rsid w:val="00A53D89"/>
    <w:rsid w:val="00A53F34"/>
    <w:rsid w:val="00A54AE8"/>
    <w:rsid w:val="00A56513"/>
    <w:rsid w:val="00A56CA1"/>
    <w:rsid w:val="00A6212F"/>
    <w:rsid w:val="00A63187"/>
    <w:rsid w:val="00A63672"/>
    <w:rsid w:val="00A6552C"/>
    <w:rsid w:val="00A7448A"/>
    <w:rsid w:val="00A7456A"/>
    <w:rsid w:val="00A776BD"/>
    <w:rsid w:val="00A823EB"/>
    <w:rsid w:val="00A83B0C"/>
    <w:rsid w:val="00A84E39"/>
    <w:rsid w:val="00A85F10"/>
    <w:rsid w:val="00A8722E"/>
    <w:rsid w:val="00A877BF"/>
    <w:rsid w:val="00A91BED"/>
    <w:rsid w:val="00A935BB"/>
    <w:rsid w:val="00A96DCD"/>
    <w:rsid w:val="00AA721D"/>
    <w:rsid w:val="00AB228E"/>
    <w:rsid w:val="00AB2529"/>
    <w:rsid w:val="00AB3252"/>
    <w:rsid w:val="00AB68C5"/>
    <w:rsid w:val="00AB7885"/>
    <w:rsid w:val="00AC4793"/>
    <w:rsid w:val="00AC52D0"/>
    <w:rsid w:val="00AC5803"/>
    <w:rsid w:val="00AD225A"/>
    <w:rsid w:val="00AD3A9B"/>
    <w:rsid w:val="00AE17F0"/>
    <w:rsid w:val="00AE2BAA"/>
    <w:rsid w:val="00AE6C59"/>
    <w:rsid w:val="00AE70B5"/>
    <w:rsid w:val="00AF0083"/>
    <w:rsid w:val="00AF4ACE"/>
    <w:rsid w:val="00B01734"/>
    <w:rsid w:val="00B0799D"/>
    <w:rsid w:val="00B1108B"/>
    <w:rsid w:val="00B1480A"/>
    <w:rsid w:val="00B16117"/>
    <w:rsid w:val="00B165AE"/>
    <w:rsid w:val="00B200D3"/>
    <w:rsid w:val="00B201E2"/>
    <w:rsid w:val="00B20A41"/>
    <w:rsid w:val="00B219E8"/>
    <w:rsid w:val="00B26C0B"/>
    <w:rsid w:val="00B32C97"/>
    <w:rsid w:val="00B343DE"/>
    <w:rsid w:val="00B360DB"/>
    <w:rsid w:val="00B36917"/>
    <w:rsid w:val="00B42101"/>
    <w:rsid w:val="00B44A64"/>
    <w:rsid w:val="00B45885"/>
    <w:rsid w:val="00B512D4"/>
    <w:rsid w:val="00B53BA3"/>
    <w:rsid w:val="00B57EE7"/>
    <w:rsid w:val="00B60113"/>
    <w:rsid w:val="00B629B2"/>
    <w:rsid w:val="00B632A2"/>
    <w:rsid w:val="00B66959"/>
    <w:rsid w:val="00B701A1"/>
    <w:rsid w:val="00B72DB8"/>
    <w:rsid w:val="00B7377F"/>
    <w:rsid w:val="00B77613"/>
    <w:rsid w:val="00B82054"/>
    <w:rsid w:val="00B8420E"/>
    <w:rsid w:val="00B93AF0"/>
    <w:rsid w:val="00B94CAD"/>
    <w:rsid w:val="00B95247"/>
    <w:rsid w:val="00BA27D5"/>
    <w:rsid w:val="00BB0849"/>
    <w:rsid w:val="00BB16BB"/>
    <w:rsid w:val="00BB2475"/>
    <w:rsid w:val="00BB7B08"/>
    <w:rsid w:val="00BC2FC2"/>
    <w:rsid w:val="00BC4E9F"/>
    <w:rsid w:val="00BD264F"/>
    <w:rsid w:val="00BD4D06"/>
    <w:rsid w:val="00BD640A"/>
    <w:rsid w:val="00BD6632"/>
    <w:rsid w:val="00BD684A"/>
    <w:rsid w:val="00BE1D3E"/>
    <w:rsid w:val="00BE3C6A"/>
    <w:rsid w:val="00BE42FA"/>
    <w:rsid w:val="00BE63EF"/>
    <w:rsid w:val="00BF19E1"/>
    <w:rsid w:val="00BF261B"/>
    <w:rsid w:val="00C00BAA"/>
    <w:rsid w:val="00C02CBA"/>
    <w:rsid w:val="00C02CBB"/>
    <w:rsid w:val="00C04C5B"/>
    <w:rsid w:val="00C05A93"/>
    <w:rsid w:val="00C07C94"/>
    <w:rsid w:val="00C10685"/>
    <w:rsid w:val="00C11A22"/>
    <w:rsid w:val="00C20FF1"/>
    <w:rsid w:val="00C239EB"/>
    <w:rsid w:val="00C26819"/>
    <w:rsid w:val="00C31FEE"/>
    <w:rsid w:val="00C32FDA"/>
    <w:rsid w:val="00C333AA"/>
    <w:rsid w:val="00C335D8"/>
    <w:rsid w:val="00C34A16"/>
    <w:rsid w:val="00C36ACE"/>
    <w:rsid w:val="00C370E7"/>
    <w:rsid w:val="00C37679"/>
    <w:rsid w:val="00C41E74"/>
    <w:rsid w:val="00C420DA"/>
    <w:rsid w:val="00C44A67"/>
    <w:rsid w:val="00C52A0D"/>
    <w:rsid w:val="00C5664A"/>
    <w:rsid w:val="00C56B65"/>
    <w:rsid w:val="00C60765"/>
    <w:rsid w:val="00C64B62"/>
    <w:rsid w:val="00C65622"/>
    <w:rsid w:val="00C711E9"/>
    <w:rsid w:val="00C718EF"/>
    <w:rsid w:val="00C7457B"/>
    <w:rsid w:val="00C77A91"/>
    <w:rsid w:val="00C8596B"/>
    <w:rsid w:val="00C920E9"/>
    <w:rsid w:val="00C92D0F"/>
    <w:rsid w:val="00C951E1"/>
    <w:rsid w:val="00CA4AAC"/>
    <w:rsid w:val="00CA5EB5"/>
    <w:rsid w:val="00CB0169"/>
    <w:rsid w:val="00CB0296"/>
    <w:rsid w:val="00CB0D45"/>
    <w:rsid w:val="00CB0FC4"/>
    <w:rsid w:val="00CB1D8D"/>
    <w:rsid w:val="00CB21D5"/>
    <w:rsid w:val="00CB245A"/>
    <w:rsid w:val="00CB67BF"/>
    <w:rsid w:val="00CB79D5"/>
    <w:rsid w:val="00CC5BFB"/>
    <w:rsid w:val="00CC7556"/>
    <w:rsid w:val="00CD5011"/>
    <w:rsid w:val="00CD6C07"/>
    <w:rsid w:val="00CD7C27"/>
    <w:rsid w:val="00CE5C81"/>
    <w:rsid w:val="00CF1412"/>
    <w:rsid w:val="00CF2FBA"/>
    <w:rsid w:val="00CF40C3"/>
    <w:rsid w:val="00CF537F"/>
    <w:rsid w:val="00CF6620"/>
    <w:rsid w:val="00CF6ADF"/>
    <w:rsid w:val="00D012E2"/>
    <w:rsid w:val="00D03CA5"/>
    <w:rsid w:val="00D04BAA"/>
    <w:rsid w:val="00D12675"/>
    <w:rsid w:val="00D1329D"/>
    <w:rsid w:val="00D1605A"/>
    <w:rsid w:val="00D20819"/>
    <w:rsid w:val="00D34967"/>
    <w:rsid w:val="00D4369B"/>
    <w:rsid w:val="00D45214"/>
    <w:rsid w:val="00D562A4"/>
    <w:rsid w:val="00D56D32"/>
    <w:rsid w:val="00D6094C"/>
    <w:rsid w:val="00D6221B"/>
    <w:rsid w:val="00D63DCA"/>
    <w:rsid w:val="00D67AD4"/>
    <w:rsid w:val="00D7083C"/>
    <w:rsid w:val="00D80076"/>
    <w:rsid w:val="00D82EB4"/>
    <w:rsid w:val="00D83D1A"/>
    <w:rsid w:val="00D90BB0"/>
    <w:rsid w:val="00D95B02"/>
    <w:rsid w:val="00DA1F4E"/>
    <w:rsid w:val="00DA206F"/>
    <w:rsid w:val="00DA5A58"/>
    <w:rsid w:val="00DA791C"/>
    <w:rsid w:val="00DA7C7F"/>
    <w:rsid w:val="00DC0E89"/>
    <w:rsid w:val="00DC4288"/>
    <w:rsid w:val="00DC604A"/>
    <w:rsid w:val="00DC7FDD"/>
    <w:rsid w:val="00DD10EF"/>
    <w:rsid w:val="00DD1DEA"/>
    <w:rsid w:val="00DD7F3E"/>
    <w:rsid w:val="00DE3040"/>
    <w:rsid w:val="00DE74CB"/>
    <w:rsid w:val="00DE7AB3"/>
    <w:rsid w:val="00DF7413"/>
    <w:rsid w:val="00E0023E"/>
    <w:rsid w:val="00E0066E"/>
    <w:rsid w:val="00E03155"/>
    <w:rsid w:val="00E04A48"/>
    <w:rsid w:val="00E062C9"/>
    <w:rsid w:val="00E160CC"/>
    <w:rsid w:val="00E1719C"/>
    <w:rsid w:val="00E171D4"/>
    <w:rsid w:val="00E179A4"/>
    <w:rsid w:val="00E254FA"/>
    <w:rsid w:val="00E2612B"/>
    <w:rsid w:val="00E264AC"/>
    <w:rsid w:val="00E2686A"/>
    <w:rsid w:val="00E312E0"/>
    <w:rsid w:val="00E341F3"/>
    <w:rsid w:val="00E3496F"/>
    <w:rsid w:val="00E36C3E"/>
    <w:rsid w:val="00E4106E"/>
    <w:rsid w:val="00E420AC"/>
    <w:rsid w:val="00E424FD"/>
    <w:rsid w:val="00E429BC"/>
    <w:rsid w:val="00E51BA8"/>
    <w:rsid w:val="00E557D1"/>
    <w:rsid w:val="00E5651E"/>
    <w:rsid w:val="00E601E0"/>
    <w:rsid w:val="00E6102B"/>
    <w:rsid w:val="00E61A1E"/>
    <w:rsid w:val="00E63C8F"/>
    <w:rsid w:val="00E64F28"/>
    <w:rsid w:val="00E70855"/>
    <w:rsid w:val="00E800C7"/>
    <w:rsid w:val="00E82505"/>
    <w:rsid w:val="00E901BE"/>
    <w:rsid w:val="00E92258"/>
    <w:rsid w:val="00E944C6"/>
    <w:rsid w:val="00EA515D"/>
    <w:rsid w:val="00EB2C92"/>
    <w:rsid w:val="00EB368C"/>
    <w:rsid w:val="00EB4813"/>
    <w:rsid w:val="00EB5867"/>
    <w:rsid w:val="00EC1A20"/>
    <w:rsid w:val="00EC2A9A"/>
    <w:rsid w:val="00EC53CF"/>
    <w:rsid w:val="00ED5D14"/>
    <w:rsid w:val="00ED5F6B"/>
    <w:rsid w:val="00EF03C5"/>
    <w:rsid w:val="00EF40DF"/>
    <w:rsid w:val="00EF51A5"/>
    <w:rsid w:val="00EF53B3"/>
    <w:rsid w:val="00EF6B62"/>
    <w:rsid w:val="00EF7FE6"/>
    <w:rsid w:val="00F006B9"/>
    <w:rsid w:val="00F0223E"/>
    <w:rsid w:val="00F040E3"/>
    <w:rsid w:val="00F07D30"/>
    <w:rsid w:val="00F168F6"/>
    <w:rsid w:val="00F16DD9"/>
    <w:rsid w:val="00F17176"/>
    <w:rsid w:val="00F24B29"/>
    <w:rsid w:val="00F266CC"/>
    <w:rsid w:val="00F313A1"/>
    <w:rsid w:val="00F32F9E"/>
    <w:rsid w:val="00F3588C"/>
    <w:rsid w:val="00F35F58"/>
    <w:rsid w:val="00F3636A"/>
    <w:rsid w:val="00F43477"/>
    <w:rsid w:val="00F455DC"/>
    <w:rsid w:val="00F458AE"/>
    <w:rsid w:val="00F578B4"/>
    <w:rsid w:val="00F62933"/>
    <w:rsid w:val="00F63298"/>
    <w:rsid w:val="00F6678C"/>
    <w:rsid w:val="00F7020A"/>
    <w:rsid w:val="00F7070A"/>
    <w:rsid w:val="00F70809"/>
    <w:rsid w:val="00F72D81"/>
    <w:rsid w:val="00F7432D"/>
    <w:rsid w:val="00F75C81"/>
    <w:rsid w:val="00F8225B"/>
    <w:rsid w:val="00F83B51"/>
    <w:rsid w:val="00F85E1E"/>
    <w:rsid w:val="00F871F5"/>
    <w:rsid w:val="00F87410"/>
    <w:rsid w:val="00F917E5"/>
    <w:rsid w:val="00F94B2E"/>
    <w:rsid w:val="00FA0036"/>
    <w:rsid w:val="00FA5ABB"/>
    <w:rsid w:val="00FA6BEB"/>
    <w:rsid w:val="00FB2D5F"/>
    <w:rsid w:val="00FB30A0"/>
    <w:rsid w:val="00FB565B"/>
    <w:rsid w:val="00FB696C"/>
    <w:rsid w:val="00FB788C"/>
    <w:rsid w:val="00FB7EE8"/>
    <w:rsid w:val="00FC113D"/>
    <w:rsid w:val="00FC1C34"/>
    <w:rsid w:val="00FC1CDD"/>
    <w:rsid w:val="00FC4900"/>
    <w:rsid w:val="00FC60A4"/>
    <w:rsid w:val="00FD05A5"/>
    <w:rsid w:val="00FD3B99"/>
    <w:rsid w:val="00FD416B"/>
    <w:rsid w:val="00FD5238"/>
    <w:rsid w:val="00FD5E86"/>
    <w:rsid w:val="00FE2646"/>
    <w:rsid w:val="00FE2CF0"/>
    <w:rsid w:val="00FE3678"/>
    <w:rsid w:val="00FE3FCA"/>
    <w:rsid w:val="00FE6AEB"/>
    <w:rsid w:val="00FF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3E"/>
    <w:pPr>
      <w:ind w:left="720"/>
      <w:contextualSpacing/>
    </w:pPr>
  </w:style>
  <w:style w:type="character" w:styleId="Hyperlink">
    <w:name w:val="Hyperlink"/>
    <w:basedOn w:val="DefaultParagraphFont"/>
    <w:uiPriority w:val="99"/>
    <w:unhideWhenUsed/>
    <w:rsid w:val="00FE2CF0"/>
    <w:rPr>
      <w:color w:val="0000FF" w:themeColor="hyperlink"/>
      <w:u w:val="single"/>
    </w:rPr>
  </w:style>
  <w:style w:type="paragraph" w:styleId="BalloonText">
    <w:name w:val="Balloon Text"/>
    <w:basedOn w:val="Normal"/>
    <w:link w:val="BalloonTextChar"/>
    <w:uiPriority w:val="99"/>
    <w:semiHidden/>
    <w:unhideWhenUsed/>
    <w:rsid w:val="0090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1"/>
    <w:rPr>
      <w:rFonts w:ascii="Tahoma" w:hAnsi="Tahoma" w:cs="Tahoma"/>
      <w:sz w:val="16"/>
      <w:szCs w:val="16"/>
      <w:lang w:val="en-GB"/>
    </w:rPr>
  </w:style>
  <w:style w:type="paragraph" w:styleId="Header">
    <w:name w:val="header"/>
    <w:basedOn w:val="Normal"/>
    <w:link w:val="HeaderChar"/>
    <w:uiPriority w:val="99"/>
    <w:unhideWhenUsed/>
    <w:rsid w:val="0048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67"/>
    <w:rPr>
      <w:lang w:val="en-GB"/>
    </w:rPr>
  </w:style>
  <w:style w:type="paragraph" w:styleId="Footer">
    <w:name w:val="footer"/>
    <w:basedOn w:val="Normal"/>
    <w:link w:val="FooterChar"/>
    <w:uiPriority w:val="99"/>
    <w:unhideWhenUsed/>
    <w:rsid w:val="0048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67"/>
    <w:rPr>
      <w:lang w:val="en-GB"/>
    </w:rPr>
  </w:style>
  <w:style w:type="table" w:styleId="TableGrid">
    <w:name w:val="Table Grid"/>
    <w:basedOn w:val="TableNormal"/>
    <w:uiPriority w:val="59"/>
    <w:rsid w:val="0050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8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3E"/>
    <w:pPr>
      <w:ind w:left="720"/>
      <w:contextualSpacing/>
    </w:pPr>
  </w:style>
  <w:style w:type="character" w:styleId="Hyperlink">
    <w:name w:val="Hyperlink"/>
    <w:basedOn w:val="DefaultParagraphFont"/>
    <w:uiPriority w:val="99"/>
    <w:unhideWhenUsed/>
    <w:rsid w:val="00FE2CF0"/>
    <w:rPr>
      <w:color w:val="0000FF" w:themeColor="hyperlink"/>
      <w:u w:val="single"/>
    </w:rPr>
  </w:style>
  <w:style w:type="paragraph" w:styleId="BalloonText">
    <w:name w:val="Balloon Text"/>
    <w:basedOn w:val="Normal"/>
    <w:link w:val="BalloonTextChar"/>
    <w:uiPriority w:val="99"/>
    <w:semiHidden/>
    <w:unhideWhenUsed/>
    <w:rsid w:val="0090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1"/>
    <w:rPr>
      <w:rFonts w:ascii="Tahoma" w:hAnsi="Tahoma" w:cs="Tahoma"/>
      <w:sz w:val="16"/>
      <w:szCs w:val="16"/>
      <w:lang w:val="en-GB"/>
    </w:rPr>
  </w:style>
  <w:style w:type="paragraph" w:styleId="Header">
    <w:name w:val="header"/>
    <w:basedOn w:val="Normal"/>
    <w:link w:val="HeaderChar"/>
    <w:uiPriority w:val="99"/>
    <w:unhideWhenUsed/>
    <w:rsid w:val="0048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67"/>
    <w:rPr>
      <w:lang w:val="en-GB"/>
    </w:rPr>
  </w:style>
  <w:style w:type="paragraph" w:styleId="Footer">
    <w:name w:val="footer"/>
    <w:basedOn w:val="Normal"/>
    <w:link w:val="FooterChar"/>
    <w:uiPriority w:val="99"/>
    <w:unhideWhenUsed/>
    <w:rsid w:val="0048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67"/>
    <w:rPr>
      <w:lang w:val="en-GB"/>
    </w:rPr>
  </w:style>
  <w:style w:type="table" w:styleId="TableGrid">
    <w:name w:val="Table Grid"/>
    <w:basedOn w:val="TableNormal"/>
    <w:uiPriority w:val="59"/>
    <w:rsid w:val="0050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8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dalene.goh@swif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1D30-4335-4E3C-AB55-723F2904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Magdalene</dc:creator>
  <cp:lastModifiedBy>GOH Magdalene</cp:lastModifiedBy>
  <cp:revision>69</cp:revision>
  <cp:lastPrinted>2013-07-15T01:43:00Z</cp:lastPrinted>
  <dcterms:created xsi:type="dcterms:W3CDTF">2014-02-19T05:20:00Z</dcterms:created>
  <dcterms:modified xsi:type="dcterms:W3CDTF">2014-04-08T02:10:00Z</dcterms:modified>
</cp:coreProperties>
</file>