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1D" w:rsidRDefault="00BD3CCA" w:rsidP="00E61285">
      <w:pPr>
        <w:pStyle w:val="Title"/>
        <w:tabs>
          <w:tab w:val="center" w:pos="4890"/>
          <w:tab w:val="left" w:pos="8864"/>
        </w:tabs>
        <w:spacing w:after="120"/>
        <w:jc w:val="both"/>
        <w:rPr>
          <w:rFonts w:cs="Arial"/>
          <w:b/>
          <w:bCs/>
          <w:sz w:val="40"/>
          <w:szCs w:val="40"/>
        </w:rPr>
      </w:pPr>
      <w:bookmarkStart w:id="0" w:name="Check3"/>
      <w:r>
        <w:rPr>
          <w:rFonts w:cs="Arial"/>
          <w:b/>
          <w:bCs/>
          <w:noProof/>
          <w:sz w:val="40"/>
          <w:szCs w:val="40"/>
          <w:lang w:val="sv-SE"/>
        </w:rPr>
        <w:t xml:space="preserve">OSAKA Japan - </w:t>
      </w:r>
      <w:r>
        <w:rPr>
          <w:rFonts w:cs="Arial"/>
          <w:b/>
          <w:bCs/>
          <w:sz w:val="40"/>
          <w:szCs w:val="40"/>
          <w:lang w:val="sv-SE"/>
        </w:rPr>
        <w:t>SMPG meeting: Nov. 5  – 7, 2012</w:t>
      </w:r>
      <w:r w:rsidR="0005501C" w:rsidRPr="0068202E">
        <w:rPr>
          <w:rFonts w:cs="Arial"/>
          <w:b/>
          <w:bCs/>
          <w:color w:val="FFFFFF"/>
          <w:sz w:val="40"/>
          <w:szCs w:val="40"/>
        </w:rPr>
        <w:fldChar w:fldCharType="begin">
          <w:ffData>
            <w:name w:val="Check3"/>
            <w:enabled/>
            <w:calcOnExit w:val="0"/>
            <w:checkBox>
              <w:sizeAuto/>
              <w:default w:val="0"/>
              <w:checked w:val="0"/>
            </w:checkBox>
          </w:ffData>
        </w:fldChar>
      </w:r>
      <w:r w:rsidR="00867797" w:rsidRPr="0068202E">
        <w:rPr>
          <w:rFonts w:cs="Arial"/>
          <w:b/>
          <w:bCs/>
          <w:color w:val="FFFFFF"/>
          <w:sz w:val="40"/>
          <w:szCs w:val="40"/>
        </w:rPr>
        <w:instrText xml:space="preserve"> FORMCHECKBOX </w:instrText>
      </w:r>
      <w:r w:rsidR="0005501C" w:rsidRPr="0068202E">
        <w:rPr>
          <w:rFonts w:cs="Arial"/>
          <w:b/>
          <w:bCs/>
          <w:color w:val="FFFFFF"/>
          <w:sz w:val="40"/>
          <w:szCs w:val="40"/>
        </w:rPr>
      </w:r>
      <w:r w:rsidR="0005501C" w:rsidRPr="0068202E">
        <w:rPr>
          <w:rFonts w:cs="Arial"/>
          <w:b/>
          <w:bCs/>
          <w:color w:val="FFFFFF"/>
          <w:sz w:val="40"/>
          <w:szCs w:val="40"/>
        </w:rPr>
        <w:fldChar w:fldCharType="end"/>
      </w:r>
      <w:bookmarkEnd w:id="0"/>
    </w:p>
    <w:tbl>
      <w:tblPr>
        <w:tblW w:w="5044" w:type="dxa"/>
        <w:tblInd w:w="43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44"/>
      </w:tblGrid>
      <w:tr w:rsidR="00867797" w:rsidRPr="007B2B7D" w:rsidTr="00FA545F">
        <w:trPr>
          <w:trHeight w:val="368"/>
        </w:trPr>
        <w:tc>
          <w:tcPr>
            <w:tcW w:w="5044" w:type="dxa"/>
            <w:tcBorders>
              <w:top w:val="single" w:sz="4" w:space="0" w:color="auto"/>
            </w:tcBorders>
          </w:tcPr>
          <w:p w:rsidR="00867797" w:rsidRPr="00E64B02" w:rsidRDefault="008A7BC3" w:rsidP="00AF750B">
            <w:pPr>
              <w:rPr>
                <w:rFonts w:cs="Arial"/>
                <w:noProof/>
                <w:color w:val="000080"/>
                <w:sz w:val="32"/>
                <w:szCs w:val="3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0;text-align:left;margin-left:-221.45pt;margin-top:7.6pt;width:213.75pt;height:182.25pt;z-index:251656704;visibility:visible">
                  <v:imagedata r:id="rId8" o:title=""/>
                </v:shape>
              </w:pict>
            </w:r>
            <w:r w:rsidR="00867797" w:rsidRPr="00E64B02">
              <w:rPr>
                <w:rFonts w:cs="Arial"/>
                <w:noProof/>
                <w:color w:val="000080"/>
                <w:sz w:val="32"/>
                <w:szCs w:val="32"/>
                <w:lang w:val="en-GB"/>
              </w:rPr>
              <w:t xml:space="preserve"> </w:t>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Pr>
                <w:rFonts w:cs="Arial"/>
                <w:noProof/>
                <w:color w:val="000080"/>
                <w:sz w:val="32"/>
                <w:szCs w:val="32"/>
                <w:lang w:val="en-GB"/>
              </w:rPr>
              <w:tab/>
            </w:r>
            <w:r w:rsidR="00867797" w:rsidRPr="00E64B02">
              <w:rPr>
                <w:rFonts w:cs="Arial"/>
                <w:noProof/>
                <w:color w:val="000080"/>
                <w:sz w:val="32"/>
                <w:szCs w:val="32"/>
                <w:lang w:val="en-GB"/>
              </w:rPr>
              <w:t xml:space="preserve"> </w:t>
            </w:r>
          </w:p>
          <w:p w:rsidR="00FA545F" w:rsidRDefault="00FA545F" w:rsidP="00FA545F">
            <w:pPr>
              <w:rPr>
                <w:rFonts w:cs="Arial"/>
                <w:b/>
                <w:color w:val="0000FF"/>
                <w:sz w:val="28"/>
                <w:szCs w:val="28"/>
              </w:rPr>
            </w:pPr>
            <w:r>
              <w:rPr>
                <w:rStyle w:val="Strong"/>
                <w:rFonts w:cs="Arial"/>
                <w:color w:val="0000FF"/>
                <w:szCs w:val="32"/>
              </w:rPr>
              <w:t>Namba Parks Conference Room</w:t>
            </w:r>
          </w:p>
          <w:p w:rsidR="00FA545F" w:rsidRDefault="00FA545F" w:rsidP="00FA545F">
            <w:pPr>
              <w:rPr>
                <w:rStyle w:val="Strong"/>
                <w:rFonts w:ascii="Arial" w:hAnsi="Arial" w:cs="Arial"/>
                <w:lang w:eastAsia="ja-JP"/>
              </w:rPr>
            </w:pPr>
            <w:r>
              <w:rPr>
                <w:rStyle w:val="Strong"/>
                <w:rFonts w:cs="Arial"/>
                <w:color w:val="0000FF"/>
                <w:sz w:val="28"/>
                <w:szCs w:val="28"/>
              </w:rPr>
              <w:t>Parks Tower 7th Floor</w:t>
            </w:r>
          </w:p>
          <w:p w:rsidR="00FA545F" w:rsidRDefault="00FA545F" w:rsidP="00FA545F">
            <w:pPr>
              <w:rPr>
                <w:rStyle w:val="Strong"/>
                <w:rFonts w:cs="Arial"/>
                <w:b w:val="0"/>
                <w:color w:val="0000FF"/>
                <w:sz w:val="28"/>
                <w:szCs w:val="28"/>
                <w:lang w:eastAsia="ja-JP"/>
              </w:rPr>
            </w:pPr>
            <w:r>
              <w:rPr>
                <w:rStyle w:val="Strong"/>
                <w:rFonts w:cs="Arial"/>
                <w:color w:val="0000FF"/>
                <w:sz w:val="28"/>
                <w:szCs w:val="28"/>
              </w:rPr>
              <w:t xml:space="preserve">2-10-70Nambanaka Naniwa-ku </w:t>
            </w:r>
          </w:p>
          <w:p w:rsidR="00BA37A4" w:rsidRDefault="00FA545F" w:rsidP="00FA545F">
            <w:pPr>
              <w:rPr>
                <w:rFonts w:cs="Arial"/>
                <w:color w:val="0000FF"/>
                <w:sz w:val="28"/>
                <w:szCs w:val="28"/>
                <w:lang w:val="sv-SE"/>
              </w:rPr>
            </w:pPr>
            <w:r>
              <w:rPr>
                <w:rStyle w:val="Strong"/>
                <w:rFonts w:cs="Arial"/>
                <w:color w:val="0000FF"/>
                <w:sz w:val="28"/>
                <w:szCs w:val="28"/>
                <w:lang w:val="sv-SE"/>
              </w:rPr>
              <w:t>Osaka City</w:t>
            </w:r>
            <w:r>
              <w:rPr>
                <w:rFonts w:cs="Arial"/>
                <w:b/>
                <w:color w:val="0000FF"/>
                <w:sz w:val="28"/>
                <w:szCs w:val="28"/>
                <w:lang w:val="sv-SE"/>
              </w:rPr>
              <w:t xml:space="preserve">, </w:t>
            </w:r>
            <w:r>
              <w:rPr>
                <w:rFonts w:cs="Arial"/>
                <w:color w:val="0000FF"/>
                <w:sz w:val="28"/>
                <w:szCs w:val="28"/>
                <w:lang w:val="sv-SE"/>
              </w:rPr>
              <w:t>Japan</w:t>
            </w:r>
          </w:p>
          <w:p w:rsidR="00FA545F" w:rsidRPr="00DE2F9C" w:rsidRDefault="00FA545F" w:rsidP="00FA545F">
            <w:pPr>
              <w:rPr>
                <w:rFonts w:cs="Arial"/>
                <w:noProof/>
                <w:color w:val="000080"/>
                <w:sz w:val="32"/>
                <w:szCs w:val="32"/>
                <w:lang w:val="en-GB"/>
              </w:rPr>
            </w:pPr>
          </w:p>
          <w:p w:rsidR="00FA545F" w:rsidRDefault="00FA545F" w:rsidP="00FA545F">
            <w:pPr>
              <w:pStyle w:val="Header"/>
              <w:jc w:val="center"/>
              <w:rPr>
                <w:b/>
                <w:sz w:val="36"/>
                <w:szCs w:val="36"/>
                <w:lang w:val="sv-SE" w:eastAsia="ja-JP"/>
              </w:rPr>
            </w:pPr>
            <w:r>
              <w:rPr>
                <w:b/>
                <w:sz w:val="36"/>
                <w:szCs w:val="36"/>
                <w:lang w:val="sv-SE" w:eastAsia="ja-JP"/>
              </w:rPr>
              <w:t>Sponsered</w:t>
            </w:r>
            <w:r>
              <w:rPr>
                <w:rFonts w:ascii="MS Gothic" w:eastAsia="MS Gothic" w:hAnsi="MS Gothic" w:cs="MS Gothic" w:hint="eastAsia"/>
                <w:b/>
                <w:sz w:val="36"/>
                <w:szCs w:val="36"/>
                <w:lang w:val="sv-SE" w:eastAsia="ja-JP"/>
              </w:rPr>
              <w:t xml:space="preserve">　</w:t>
            </w:r>
            <w:r>
              <w:rPr>
                <w:b/>
                <w:sz w:val="36"/>
                <w:szCs w:val="36"/>
                <w:lang w:val="sv-SE" w:eastAsia="ja-JP"/>
              </w:rPr>
              <w:t>by</w:t>
            </w:r>
          </w:p>
          <w:p w:rsidR="00867797" w:rsidRPr="00DE2F9C" w:rsidRDefault="00FA545F" w:rsidP="00FA545F">
            <w:pPr>
              <w:rPr>
                <w:rFonts w:cs="Arial"/>
                <w:noProof/>
                <w:color w:val="000080"/>
                <w:sz w:val="32"/>
                <w:szCs w:val="32"/>
                <w:lang w:val="en-GB"/>
              </w:rPr>
            </w:pPr>
            <w:r>
              <w:rPr>
                <w:b/>
                <w:sz w:val="56"/>
                <w:szCs w:val="56"/>
                <w:lang w:val="sv-SE" w:eastAsia="ja-JP"/>
              </w:rPr>
              <w:t>ISITC-Japan</w:t>
            </w:r>
          </w:p>
        </w:tc>
      </w:tr>
      <w:tr w:rsidR="00867797" w:rsidRPr="007B2B7D" w:rsidTr="00FA545F">
        <w:trPr>
          <w:trHeight w:val="52"/>
        </w:trPr>
        <w:tc>
          <w:tcPr>
            <w:tcW w:w="5044" w:type="dxa"/>
            <w:tcBorders>
              <w:bottom w:val="single" w:sz="4" w:space="0" w:color="auto"/>
            </w:tcBorders>
            <w:vAlign w:val="center"/>
          </w:tcPr>
          <w:p w:rsidR="00867797" w:rsidRPr="00DE2F9C" w:rsidRDefault="00867797" w:rsidP="007B6097">
            <w:pPr>
              <w:spacing w:before="240" w:after="240"/>
              <w:jc w:val="center"/>
              <w:rPr>
                <w:rFonts w:cs="Arial"/>
                <w:b/>
                <w:color w:val="333333"/>
                <w:sz w:val="24"/>
                <w:szCs w:val="24"/>
                <w:lang w:val="en-GB"/>
              </w:rPr>
            </w:pPr>
          </w:p>
        </w:tc>
      </w:tr>
    </w:tbl>
    <w:p w:rsidR="00867797" w:rsidRPr="00DE2F9C" w:rsidRDefault="00867797" w:rsidP="0068202E">
      <w:pPr>
        <w:rPr>
          <w:b/>
          <w:bCs/>
          <w:color w:val="FF0000"/>
          <w:lang w:val="en-GB"/>
        </w:rPr>
      </w:pPr>
    </w:p>
    <w:p w:rsidR="00867797" w:rsidRDefault="00867797" w:rsidP="00017B3C">
      <w:pPr>
        <w:spacing w:before="120"/>
        <w:rPr>
          <w:lang w:val="en-GB"/>
        </w:rPr>
      </w:pPr>
      <w:r w:rsidRPr="00B14FDC">
        <w:rPr>
          <w:b/>
          <w:lang w:val="en-GB"/>
        </w:rPr>
        <w:t>Dress code</w:t>
      </w:r>
      <w:r>
        <w:rPr>
          <w:b/>
          <w:lang w:val="en-GB"/>
        </w:rPr>
        <w:t xml:space="preserve">: </w:t>
      </w:r>
      <w:r w:rsidRPr="00754FFA">
        <w:rPr>
          <w:lang w:val="en-GB"/>
        </w:rPr>
        <w:t>Business casual</w:t>
      </w:r>
    </w:p>
    <w:p w:rsidR="00A17C1F" w:rsidRDefault="00A17C1F" w:rsidP="00017B3C">
      <w:pPr>
        <w:spacing w:before="120"/>
        <w:rPr>
          <w:lang w:val="en-GB"/>
        </w:rPr>
      </w:pPr>
    </w:p>
    <w:tbl>
      <w:tblPr>
        <w:tblW w:w="0" w:type="auto"/>
        <w:tblLayout w:type="fixed"/>
        <w:tblCellMar>
          <w:left w:w="0" w:type="dxa"/>
          <w:right w:w="0" w:type="dxa"/>
        </w:tblCellMar>
        <w:tblLook w:val="00A0" w:firstRow="1" w:lastRow="0" w:firstColumn="1" w:lastColumn="0" w:noHBand="0" w:noVBand="0"/>
      </w:tblPr>
      <w:tblGrid>
        <w:gridCol w:w="198"/>
        <w:gridCol w:w="12"/>
        <w:gridCol w:w="1710"/>
        <w:gridCol w:w="2545"/>
        <w:gridCol w:w="1133"/>
        <w:gridCol w:w="1413"/>
        <w:gridCol w:w="2515"/>
        <w:gridCol w:w="32"/>
        <w:gridCol w:w="30"/>
      </w:tblGrid>
      <w:tr w:rsidR="00A17C1F" w:rsidTr="00A17C1F">
        <w:trPr>
          <w:cantSplit/>
        </w:trPr>
        <w:tc>
          <w:tcPr>
            <w:tcW w:w="9558" w:type="dxa"/>
            <w:gridSpan w:val="8"/>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hideMark/>
          </w:tcPr>
          <w:p w:rsidR="00A17C1F" w:rsidRDefault="00A17C1F">
            <w:pPr>
              <w:spacing w:before="40" w:after="20"/>
              <w:rPr>
                <w:rFonts w:cs="Arial"/>
                <w:sz w:val="28"/>
                <w:szCs w:val="28"/>
              </w:rPr>
            </w:pPr>
            <w:r>
              <w:rPr>
                <w:sz w:val="28"/>
                <w:szCs w:val="28"/>
              </w:rPr>
              <w:t xml:space="preserve">Monday 5th of </w:t>
            </w:r>
            <w:r>
              <w:rPr>
                <w:sz w:val="28"/>
                <w:szCs w:val="28"/>
                <w:lang w:eastAsia="ja-JP"/>
              </w:rPr>
              <w:t>November</w:t>
            </w:r>
          </w:p>
        </w:tc>
        <w:tc>
          <w:tcPr>
            <w:tcW w:w="30" w:type="dxa"/>
            <w:vAlign w:val="center"/>
            <w:hideMark/>
          </w:tcPr>
          <w:p w:rsidR="00A17C1F" w:rsidRDefault="00A17C1F">
            <w:pPr>
              <w:spacing w:before="40" w:after="40"/>
              <w:rPr>
                <w:rFonts w:ascii="Calibri" w:hAnsi="Calibri"/>
                <w:szCs w:val="22"/>
              </w:rPr>
            </w:pPr>
            <w:r>
              <w:t> </w:t>
            </w:r>
          </w:p>
        </w:tc>
      </w:tr>
      <w:tr w:rsidR="00A17C1F" w:rsidTr="00A17C1F">
        <w:trPr>
          <w:cantSplit/>
        </w:trPr>
        <w:tc>
          <w:tcPr>
            <w:tcW w:w="9558" w:type="dxa"/>
            <w:gridSpan w:val="8"/>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Morning</w:t>
            </w:r>
          </w:p>
        </w:tc>
        <w:tc>
          <w:tcPr>
            <w:tcW w:w="30" w:type="dxa"/>
            <w:vAlign w:val="center"/>
            <w:hideMark/>
          </w:tcPr>
          <w:p w:rsidR="00A17C1F" w:rsidRDefault="00A17C1F">
            <w:pPr>
              <w:spacing w:before="40" w:after="40"/>
              <w:rPr>
                <w:rFonts w:ascii="Calibri" w:hAnsi="Calibri"/>
                <w:szCs w:val="22"/>
              </w:rPr>
            </w:pPr>
            <w:r>
              <w:t> </w:t>
            </w:r>
          </w:p>
        </w:tc>
      </w:tr>
      <w:tr w:rsidR="00A17C1F" w:rsidTr="00A17C1F">
        <w:trPr>
          <w:gridAfter w:val="1"/>
          <w:wAfter w:w="30" w:type="dxa"/>
          <w:cantSplit/>
        </w:trPr>
        <w:tc>
          <w:tcPr>
            <w:tcW w:w="210" w:type="dxa"/>
            <w:gridSpan w:val="2"/>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09:00 – 09:30</w:t>
            </w:r>
          </w:p>
        </w:tc>
        <w:tc>
          <w:tcPr>
            <w:tcW w:w="76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pStyle w:val="BlockText"/>
              <w:shd w:val="clear" w:color="auto" w:fill="FFFFFF"/>
              <w:spacing w:after="20"/>
              <w:jc w:val="left"/>
              <w:rPr>
                <w:sz w:val="20"/>
              </w:rPr>
            </w:pPr>
            <w:r>
              <w:rPr>
                <w:sz w:val="20"/>
              </w:rPr>
              <w:t>Welcome Coffee + Registration</w:t>
            </w:r>
          </w:p>
        </w:tc>
      </w:tr>
      <w:tr w:rsidR="00A17C1F" w:rsidTr="00A17C1F">
        <w:trPr>
          <w:gridAfter w:val="1"/>
          <w:wAfter w:w="30" w:type="dxa"/>
          <w:cantSplit/>
        </w:trPr>
        <w:tc>
          <w:tcPr>
            <w:tcW w:w="210" w:type="dxa"/>
            <w:gridSpan w:val="2"/>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09:30 – 10:45</w:t>
            </w:r>
          </w:p>
        </w:tc>
        <w:tc>
          <w:tcPr>
            <w:tcW w:w="76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b/>
                <w:color w:val="0000FF"/>
                <w:sz w:val="20"/>
              </w:rPr>
            </w:pPr>
            <w:r>
              <w:rPr>
                <w:rFonts w:cs="Arial"/>
                <w:b/>
                <w:color w:val="0000FF"/>
                <w:sz w:val="20"/>
              </w:rPr>
              <w:t>General Session</w:t>
            </w:r>
          </w:p>
          <w:p w:rsidR="00A17C1F" w:rsidRDefault="00A17C1F">
            <w:pPr>
              <w:spacing w:before="40" w:after="20"/>
              <w:rPr>
                <w:rFonts w:cs="Arial"/>
                <w:sz w:val="20"/>
              </w:rPr>
            </w:pPr>
            <w:r>
              <w:rPr>
                <w:rFonts w:cs="Arial"/>
                <w:sz w:val="20"/>
              </w:rPr>
              <w:t>1. Welcome address (Karla Mc Kenna – SMPG Chair)</w:t>
            </w:r>
          </w:p>
          <w:p w:rsidR="00A17C1F" w:rsidRDefault="00A17C1F">
            <w:pPr>
              <w:spacing w:before="40" w:after="20"/>
              <w:rPr>
                <w:rFonts w:cs="Arial"/>
                <w:sz w:val="20"/>
              </w:rPr>
            </w:pPr>
            <w:r>
              <w:rPr>
                <w:rFonts w:cs="Arial"/>
                <w:sz w:val="20"/>
              </w:rPr>
              <w:t>2. Meeting schedule overview (Jacques Littré – General Secretary)</w:t>
            </w:r>
          </w:p>
          <w:p w:rsidR="00A17C1F" w:rsidRPr="00A17C1F" w:rsidRDefault="00A17C1F">
            <w:pPr>
              <w:spacing w:before="40" w:after="20"/>
              <w:rPr>
                <w:rFonts w:cs="Arial"/>
                <w:color w:val="000000"/>
                <w:sz w:val="20"/>
                <w:lang w:eastAsia="ja-JP"/>
              </w:rPr>
            </w:pPr>
            <w:r w:rsidRPr="00A17C1F">
              <w:rPr>
                <w:rFonts w:cs="Arial"/>
                <w:color w:val="000000"/>
                <w:sz w:val="20"/>
              </w:rPr>
              <w:t xml:space="preserve">3. </w:t>
            </w:r>
            <w:r>
              <w:rPr>
                <w:rFonts w:cs="Arial"/>
                <w:sz w:val="20"/>
                <w:lang w:eastAsia="ja-JP"/>
              </w:rPr>
              <w:t>Growing use of ISO standards and their impact in Asia</w:t>
            </w:r>
            <w:r w:rsidRPr="00A17C1F">
              <w:rPr>
                <w:rFonts w:cs="Arial"/>
                <w:color w:val="000000"/>
                <w:sz w:val="20"/>
              </w:rPr>
              <w:t xml:space="preserve"> (</w:t>
            </w:r>
            <w:r w:rsidRPr="00A17C1F">
              <w:rPr>
                <w:rFonts w:cs="Arial"/>
                <w:color w:val="000000"/>
                <w:sz w:val="20"/>
                <w:lang w:eastAsia="ja-JP"/>
              </w:rPr>
              <w:t>Mr. Tomo Yamadera, BOJ)</w:t>
            </w:r>
          </w:p>
          <w:p w:rsidR="00A17C1F" w:rsidRPr="00A17C1F" w:rsidRDefault="00A17C1F">
            <w:pPr>
              <w:spacing w:before="40" w:after="20"/>
              <w:rPr>
                <w:rFonts w:cs="Arial"/>
                <w:color w:val="000000"/>
                <w:sz w:val="20"/>
                <w:lang w:eastAsia="ja-JP"/>
              </w:rPr>
            </w:pPr>
            <w:r w:rsidRPr="00A17C1F">
              <w:rPr>
                <w:rFonts w:cs="Arial"/>
                <w:color w:val="000000"/>
                <w:sz w:val="20"/>
                <w:lang w:eastAsia="ja-JP"/>
              </w:rPr>
              <w:t xml:space="preserve">4. </w:t>
            </w:r>
            <w:r>
              <w:rPr>
                <w:rFonts w:cs="Arial"/>
                <w:sz w:val="20"/>
                <w:lang w:eastAsia="ja-JP"/>
              </w:rPr>
              <w:t>Corporate Action Information Services ISO 20022</w:t>
            </w:r>
            <w:r w:rsidRPr="00A17C1F">
              <w:rPr>
                <w:rFonts w:cs="Arial"/>
                <w:color w:val="000000"/>
                <w:sz w:val="20"/>
                <w:lang w:eastAsia="ja-JP"/>
              </w:rPr>
              <w:t xml:space="preserve"> </w:t>
            </w:r>
            <w:r>
              <w:rPr>
                <w:rFonts w:cs="Arial"/>
                <w:sz w:val="20"/>
                <w:lang w:eastAsia="ja-JP"/>
              </w:rPr>
              <w:t xml:space="preserve">Enhancement </w:t>
            </w:r>
            <w:r w:rsidRPr="00A17C1F">
              <w:rPr>
                <w:rFonts w:cs="Arial"/>
                <w:color w:val="000000"/>
                <w:sz w:val="20"/>
                <w:lang w:eastAsia="ja-JP"/>
              </w:rPr>
              <w:t xml:space="preserve">(Mr. Yukimori, JASDEC &amp;  Mr. Ochi, Tokyo-Stock Exchange) </w:t>
            </w:r>
          </w:p>
          <w:p w:rsidR="00A17C1F" w:rsidRDefault="00A17C1F">
            <w:pPr>
              <w:spacing w:before="40" w:after="20"/>
              <w:rPr>
                <w:rFonts w:cs="Arial"/>
                <w:color w:val="FF0000"/>
                <w:sz w:val="20"/>
                <w:lang w:eastAsia="ja-JP"/>
              </w:rPr>
            </w:pPr>
            <w:r w:rsidRPr="00A17C1F">
              <w:rPr>
                <w:rFonts w:cs="Arial"/>
                <w:color w:val="000000"/>
                <w:sz w:val="20"/>
                <w:lang w:eastAsia="ja-JP"/>
              </w:rPr>
              <w:t>5. ABMF Update (Asian Development Bank)</w:t>
            </w:r>
          </w:p>
        </w:tc>
      </w:tr>
      <w:tr w:rsidR="00A17C1F" w:rsidTr="00A17C1F">
        <w:trPr>
          <w:gridAfter w:val="1"/>
          <w:wAfter w:w="30" w:type="dxa"/>
          <w:cantSplit/>
        </w:trPr>
        <w:tc>
          <w:tcPr>
            <w:tcW w:w="210" w:type="dxa"/>
            <w:gridSpan w:val="2"/>
            <w:shd w:val="clear" w:color="auto" w:fill="FFFFFF"/>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10:45 – 11:00</w:t>
            </w:r>
          </w:p>
        </w:tc>
        <w:tc>
          <w:tcPr>
            <w:tcW w:w="7638"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sz w:val="20"/>
              </w:rPr>
            </w:pPr>
            <w:r>
              <w:rPr>
                <w:sz w:val="20"/>
              </w:rPr>
              <w:t>Coffee Break</w:t>
            </w:r>
          </w:p>
        </w:tc>
      </w:tr>
      <w:tr w:rsidR="00A17C1F" w:rsidTr="00A17C1F">
        <w:trPr>
          <w:gridAfter w:val="1"/>
          <w:wAfter w:w="30" w:type="dxa"/>
          <w:cantSplit/>
        </w:trPr>
        <w:tc>
          <w:tcPr>
            <w:tcW w:w="210" w:type="dxa"/>
            <w:gridSpan w:val="2"/>
            <w:tcBorders>
              <w:top w:val="nil"/>
              <w:left w:val="nil"/>
              <w:bottom w:val="single" w:sz="8" w:space="0" w:color="auto"/>
              <w:right w:val="nil"/>
            </w:tcBorders>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11:00 – 12:30</w:t>
            </w:r>
          </w:p>
        </w:tc>
        <w:tc>
          <w:tcPr>
            <w:tcW w:w="763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b/>
                <w:color w:val="0000FF"/>
                <w:sz w:val="20"/>
              </w:rPr>
            </w:pPr>
            <w:r>
              <w:rPr>
                <w:rFonts w:cs="Arial"/>
                <w:b/>
                <w:color w:val="0000FF"/>
                <w:sz w:val="20"/>
              </w:rPr>
              <w:t>General Session (Continued)</w:t>
            </w:r>
          </w:p>
          <w:p w:rsidR="00A17C1F" w:rsidRDefault="00A17C1F">
            <w:pPr>
              <w:spacing w:before="40" w:after="20"/>
              <w:jc w:val="left"/>
              <w:rPr>
                <w:rFonts w:cs="Arial"/>
                <w:sz w:val="20"/>
              </w:rPr>
            </w:pPr>
            <w:r>
              <w:rPr>
                <w:rFonts w:cs="Arial"/>
                <w:sz w:val="20"/>
              </w:rPr>
              <w:t>6. APAC Regional MPGs status (Taketoshi Mori, BTMU &amp; Jonathan Rhoda, Statestreet &amp; Alex Kech, SWIFT)</w:t>
            </w:r>
          </w:p>
          <w:p w:rsidR="00A17C1F" w:rsidRDefault="00A17C1F">
            <w:pPr>
              <w:spacing w:before="40" w:after="20"/>
              <w:jc w:val="left"/>
              <w:rPr>
                <w:rFonts w:cs="Arial"/>
                <w:sz w:val="20"/>
              </w:rPr>
            </w:pPr>
            <w:r>
              <w:rPr>
                <w:rFonts w:cs="Arial"/>
                <w:sz w:val="20"/>
              </w:rPr>
              <w:t>7. MyStandards – Status of Market Practices Contents (Jacques Littré, SWIFT)</w:t>
            </w:r>
          </w:p>
          <w:p w:rsidR="00A17C1F" w:rsidRPr="00A17C1F" w:rsidRDefault="00A17C1F">
            <w:pPr>
              <w:pStyle w:val="PlainText"/>
              <w:spacing w:before="40" w:after="20"/>
              <w:rPr>
                <w:rFonts w:ascii="Arial" w:hAnsi="Arial" w:cs="Arial"/>
                <w:color w:val="000000"/>
              </w:rPr>
            </w:pPr>
            <w:r w:rsidRPr="00A17C1F">
              <w:rPr>
                <w:rFonts w:ascii="Arial" w:hAnsi="Arial" w:cs="Arial"/>
                <w:color w:val="000000"/>
              </w:rPr>
              <w:t>8. LEI (CICI) Impact on Existing SWIFT messages (Karla Mc Kenna, SMPG Chair &amp; Rudolf Siebelt, SMPG vice-Chair)</w:t>
            </w:r>
          </w:p>
        </w:tc>
      </w:tr>
      <w:tr w:rsidR="00A17C1F" w:rsidTr="00A17C1F">
        <w:trPr>
          <w:gridAfter w:val="1"/>
          <w:wAfter w:w="30" w:type="dxa"/>
          <w:cantSplit/>
        </w:trPr>
        <w:tc>
          <w:tcPr>
            <w:tcW w:w="198" w:type="dxa"/>
            <w:vAlign w:val="center"/>
            <w:hideMark/>
          </w:tcPr>
          <w:p w:rsidR="00A17C1F" w:rsidRDefault="00A17C1F">
            <w:pPr>
              <w:spacing w:before="40" w:after="20"/>
              <w:rPr>
                <w:rFonts w:ascii="Calibri" w:hAnsi="Calibri"/>
                <w:sz w:val="24"/>
                <w:szCs w:val="24"/>
              </w:rPr>
            </w:pPr>
            <w:r>
              <w:t> </w:t>
            </w:r>
          </w:p>
        </w:tc>
        <w:tc>
          <w:tcPr>
            <w:tcW w:w="1722"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12:30 – 13:30</w:t>
            </w:r>
          </w:p>
        </w:tc>
        <w:tc>
          <w:tcPr>
            <w:tcW w:w="7638"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Lunch</w:t>
            </w:r>
          </w:p>
        </w:tc>
      </w:tr>
      <w:tr w:rsidR="00A17C1F" w:rsidTr="00A17C1F">
        <w:trPr>
          <w:gridAfter w:val="1"/>
          <w:wAfter w:w="30" w:type="dxa"/>
          <w:cantSplit/>
        </w:trPr>
        <w:tc>
          <w:tcPr>
            <w:tcW w:w="9526" w:type="dxa"/>
            <w:gridSpan w:val="7"/>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 xml:space="preserve">Afternoon </w:t>
            </w:r>
          </w:p>
        </w:tc>
        <w:tc>
          <w:tcPr>
            <w:tcW w:w="32" w:type="dxa"/>
            <w:vAlign w:val="center"/>
          </w:tcPr>
          <w:p w:rsidR="00A17C1F" w:rsidRDefault="00A17C1F">
            <w:pPr>
              <w:spacing w:before="40" w:after="20"/>
              <w:rPr>
                <w:rFonts w:ascii="Calibri" w:hAnsi="Calibri"/>
                <w:szCs w:val="22"/>
              </w:rPr>
            </w:pPr>
          </w:p>
        </w:tc>
      </w:tr>
      <w:tr w:rsidR="00A17C1F" w:rsidTr="00E61285">
        <w:trPr>
          <w:gridAfter w:val="1"/>
          <w:wAfter w:w="30" w:type="dxa"/>
          <w:cantSplit/>
        </w:trPr>
        <w:tc>
          <w:tcPr>
            <w:tcW w:w="210" w:type="dxa"/>
            <w:gridSpan w:val="2"/>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13:30 – 15:15</w:t>
            </w:r>
          </w:p>
        </w:tc>
        <w:tc>
          <w:tcPr>
            <w:tcW w:w="2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pStyle w:val="BlockText"/>
              <w:shd w:val="clear" w:color="auto" w:fill="FFFFFF"/>
              <w:spacing w:after="20"/>
              <w:jc w:val="left"/>
              <w:rPr>
                <w:b/>
                <w:color w:val="0000FF"/>
                <w:sz w:val="20"/>
                <w:u w:val="single"/>
              </w:rPr>
            </w:pPr>
            <w:r>
              <w:rPr>
                <w:b/>
                <w:color w:val="0000FF"/>
                <w:sz w:val="20"/>
                <w:u w:val="single"/>
              </w:rPr>
              <w:t>Orientation Session</w:t>
            </w:r>
          </w:p>
          <w:p w:rsidR="00A17C1F" w:rsidRDefault="00A17C1F">
            <w:pPr>
              <w:pStyle w:val="BlockText"/>
              <w:shd w:val="clear" w:color="auto" w:fill="FFFFFF"/>
              <w:spacing w:after="20"/>
              <w:jc w:val="left"/>
              <w:rPr>
                <w:color w:val="0000FF"/>
                <w:sz w:val="20"/>
              </w:rPr>
            </w:pPr>
            <w:r>
              <w:rPr>
                <w:color w:val="0000FF"/>
                <w:sz w:val="20"/>
              </w:rPr>
              <w:t>For APAC NMPGs convenors and Observers</w:t>
            </w:r>
          </w:p>
        </w:tc>
        <w:tc>
          <w:tcPr>
            <w:tcW w:w="2546" w:type="dxa"/>
            <w:gridSpan w:val="2"/>
            <w:tcBorders>
              <w:top w:val="nil"/>
              <w:left w:val="nil"/>
              <w:bottom w:val="single" w:sz="8" w:space="0" w:color="auto"/>
              <w:right w:val="single" w:sz="8" w:space="0" w:color="auto"/>
            </w:tcBorders>
            <w:shd w:val="clear" w:color="auto" w:fill="auto"/>
            <w:vAlign w:val="center"/>
            <w:hideMark/>
          </w:tcPr>
          <w:p w:rsidR="00A17C1F" w:rsidRDefault="00A17C1F">
            <w:pPr>
              <w:pStyle w:val="BlockText"/>
              <w:shd w:val="clear" w:color="auto" w:fill="FFFFFF"/>
              <w:spacing w:after="20"/>
              <w:jc w:val="center"/>
              <w:rPr>
                <w:rFonts w:cs="Arial"/>
                <w:sz w:val="20"/>
              </w:rPr>
            </w:pPr>
            <w:r w:rsidRPr="00E61285">
              <w:rPr>
                <w:color w:val="0000FF"/>
                <w:sz w:val="20"/>
              </w:rPr>
              <w:t>Corporate Action WG</w:t>
            </w:r>
          </w:p>
        </w:tc>
        <w:tc>
          <w:tcPr>
            <w:tcW w:w="2547" w:type="dxa"/>
            <w:gridSpan w:val="2"/>
            <w:tcBorders>
              <w:top w:val="nil"/>
              <w:left w:val="nil"/>
              <w:bottom w:val="single" w:sz="8" w:space="0" w:color="auto"/>
              <w:right w:val="single" w:sz="8" w:space="0" w:color="auto"/>
            </w:tcBorders>
            <w:shd w:val="clear" w:color="auto" w:fill="00B0F0"/>
            <w:vAlign w:val="center"/>
            <w:hideMark/>
          </w:tcPr>
          <w:p w:rsidR="00A17C1F" w:rsidRPr="00196F68" w:rsidRDefault="00A17C1F">
            <w:pPr>
              <w:pStyle w:val="BlockText"/>
              <w:shd w:val="clear" w:color="auto" w:fill="FFFFFF"/>
              <w:spacing w:after="20"/>
              <w:jc w:val="center"/>
              <w:rPr>
                <w:color w:val="0000FF"/>
                <w:sz w:val="20"/>
              </w:rPr>
            </w:pPr>
            <w:r>
              <w:rPr>
                <w:color w:val="0000FF"/>
                <w:sz w:val="20"/>
              </w:rPr>
              <w:t>Settlement and Reconciliation WG</w:t>
            </w:r>
          </w:p>
        </w:tc>
      </w:tr>
      <w:tr w:rsidR="00A17C1F" w:rsidTr="00A17C1F">
        <w:trPr>
          <w:gridAfter w:val="1"/>
          <w:wAfter w:w="30" w:type="dxa"/>
          <w:cantSplit/>
        </w:trPr>
        <w:tc>
          <w:tcPr>
            <w:tcW w:w="210" w:type="dxa"/>
            <w:gridSpan w:val="2"/>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15:15 – 15:30</w:t>
            </w:r>
          </w:p>
        </w:tc>
        <w:tc>
          <w:tcPr>
            <w:tcW w:w="7638"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Coffee Break</w:t>
            </w:r>
          </w:p>
        </w:tc>
      </w:tr>
      <w:tr w:rsidR="00A17C1F" w:rsidTr="00E61285">
        <w:trPr>
          <w:gridAfter w:val="1"/>
          <w:wAfter w:w="30" w:type="dxa"/>
          <w:cantSplit/>
          <w:trHeight w:val="506"/>
        </w:trPr>
        <w:tc>
          <w:tcPr>
            <w:tcW w:w="210" w:type="dxa"/>
            <w:gridSpan w:val="2"/>
            <w:vAlign w:val="center"/>
            <w:hideMark/>
          </w:tcPr>
          <w:p w:rsidR="00A17C1F" w:rsidRDefault="00A17C1F">
            <w:pPr>
              <w:spacing w:before="40" w:after="20"/>
              <w:rPr>
                <w:rFonts w:ascii="Calibri" w:hAnsi="Calibri"/>
                <w:sz w:val="24"/>
                <w:szCs w:val="24"/>
              </w:rPr>
            </w:pPr>
            <w:r>
              <w:t> </w:t>
            </w:r>
          </w:p>
        </w:tc>
        <w:tc>
          <w:tcPr>
            <w:tcW w:w="1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15:30 – 17:30</w:t>
            </w:r>
          </w:p>
        </w:tc>
        <w:tc>
          <w:tcPr>
            <w:tcW w:w="36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pStyle w:val="BlockText"/>
              <w:shd w:val="clear" w:color="auto" w:fill="FFFFFF"/>
              <w:spacing w:after="20"/>
              <w:jc w:val="center"/>
              <w:rPr>
                <w:color w:val="0000FF"/>
                <w:sz w:val="20"/>
              </w:rPr>
            </w:pPr>
            <w:r>
              <w:rPr>
                <w:color w:val="0000FF"/>
                <w:sz w:val="20"/>
              </w:rPr>
              <w:t>Corporate Action WG</w:t>
            </w:r>
          </w:p>
        </w:tc>
        <w:tc>
          <w:tcPr>
            <w:tcW w:w="3960" w:type="dxa"/>
            <w:gridSpan w:val="3"/>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after="20"/>
              <w:jc w:val="center"/>
              <w:rPr>
                <w:color w:val="0000FF"/>
                <w:sz w:val="20"/>
              </w:rPr>
            </w:pPr>
            <w:r>
              <w:rPr>
                <w:color w:val="0000FF"/>
                <w:sz w:val="20"/>
              </w:rPr>
              <w:t>Settlement and Reconciliation WG</w:t>
            </w:r>
          </w:p>
        </w:tc>
      </w:tr>
    </w:tbl>
    <w:p w:rsidR="00A17C1F" w:rsidRDefault="00A17C1F" w:rsidP="00017B3C">
      <w:pPr>
        <w:spacing w:before="120"/>
        <w:rPr>
          <w:lang w:val="en-GB"/>
        </w:rPr>
      </w:pPr>
    </w:p>
    <w:p w:rsidR="00A17C1F" w:rsidRDefault="00A17C1F" w:rsidP="00017B3C">
      <w:pPr>
        <w:spacing w:before="120"/>
        <w:rPr>
          <w:b/>
          <w:lang w:val="en-GB"/>
        </w:rPr>
      </w:pPr>
    </w:p>
    <w:p w:rsidR="00A17C1F" w:rsidRPr="00B14FDC" w:rsidRDefault="00A17C1F" w:rsidP="00017B3C">
      <w:pPr>
        <w:spacing w:before="120"/>
        <w:rPr>
          <w:b/>
          <w:lang w:val="en-GB"/>
        </w:rPr>
      </w:pPr>
    </w:p>
    <w:tbl>
      <w:tblPr>
        <w:tblW w:w="0" w:type="auto"/>
        <w:tblCellMar>
          <w:left w:w="0" w:type="dxa"/>
          <w:right w:w="0" w:type="dxa"/>
        </w:tblCellMar>
        <w:tblLook w:val="00A0" w:firstRow="1" w:lastRow="0" w:firstColumn="1" w:lastColumn="0" w:noHBand="0" w:noVBand="0"/>
      </w:tblPr>
      <w:tblGrid>
        <w:gridCol w:w="105"/>
        <w:gridCol w:w="1701"/>
        <w:gridCol w:w="3792"/>
        <w:gridCol w:w="42"/>
        <w:gridCol w:w="3834"/>
      </w:tblGrid>
      <w:tr w:rsidR="00A17C1F" w:rsidTr="00A17C1F">
        <w:trPr>
          <w:cantSplit/>
          <w:trHeight w:val="391"/>
        </w:trPr>
        <w:tc>
          <w:tcPr>
            <w:tcW w:w="9474" w:type="dxa"/>
            <w:gridSpan w:val="5"/>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hideMark/>
          </w:tcPr>
          <w:p w:rsidR="00A17C1F" w:rsidRDefault="00A17C1F">
            <w:pPr>
              <w:spacing w:beforeLines="40" w:before="96" w:afterLines="20" w:after="48"/>
              <w:rPr>
                <w:rFonts w:cs="Arial"/>
                <w:sz w:val="28"/>
                <w:szCs w:val="28"/>
              </w:rPr>
            </w:pPr>
            <w:r>
              <w:rPr>
                <w:sz w:val="28"/>
                <w:szCs w:val="28"/>
              </w:rPr>
              <w:t xml:space="preserve">Tuesday 6th of </w:t>
            </w:r>
            <w:r>
              <w:rPr>
                <w:sz w:val="28"/>
                <w:szCs w:val="28"/>
                <w:lang w:eastAsia="ja-JP"/>
              </w:rPr>
              <w:t>November</w:t>
            </w:r>
          </w:p>
        </w:tc>
      </w:tr>
      <w:tr w:rsidR="00A17C1F" w:rsidTr="00A17C1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 xml:space="preserve">Morning </w:t>
            </w:r>
          </w:p>
        </w:tc>
      </w:tr>
      <w:tr w:rsidR="00A17C1F" w:rsidTr="00E61285">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09:00 – 10:45</w:t>
            </w:r>
          </w:p>
        </w:tc>
        <w:tc>
          <w:tcPr>
            <w:tcW w:w="3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Pr>
        <w:tc>
          <w:tcPr>
            <w:tcW w:w="105" w:type="dxa"/>
            <w:shd w:val="clear" w:color="auto" w:fill="FFFFFF"/>
            <w:vAlign w:val="center"/>
            <w:hideMark/>
          </w:tcPr>
          <w:p w:rsidR="00A17C1F" w:rsidRDefault="00A17C1F">
            <w:pPr>
              <w:spacing w:before="40" w:after="20"/>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rFonts w:cs="Arial"/>
                <w:sz w:val="20"/>
              </w:rPr>
            </w:pPr>
            <w:r>
              <w:rPr>
                <w:rFonts w:cs="Arial"/>
                <w:sz w:val="20"/>
              </w:rPr>
              <w:t>10:45 – 11:00</w:t>
            </w:r>
          </w:p>
        </w:tc>
        <w:tc>
          <w:tcPr>
            <w:tcW w:w="7668"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40" w:after="20"/>
              <w:rPr>
                <w:sz w:val="20"/>
              </w:rPr>
            </w:pPr>
            <w:r>
              <w:rPr>
                <w:sz w:val="20"/>
              </w:rPr>
              <w:t>Coffee Break</w:t>
            </w:r>
          </w:p>
        </w:tc>
      </w:tr>
      <w:tr w:rsidR="00A17C1F" w:rsidTr="00E61285">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11:00 – 12:30</w:t>
            </w:r>
          </w:p>
        </w:tc>
        <w:tc>
          <w:tcPr>
            <w:tcW w:w="3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Pr>
        <w:tc>
          <w:tcPr>
            <w:tcW w:w="105" w:type="dxa"/>
            <w:tcBorders>
              <w:top w:val="nil"/>
              <w:left w:val="nil"/>
              <w:bottom w:val="double" w:sz="4" w:space="0" w:color="auto"/>
              <w:right w:val="nil"/>
            </w:tcBorders>
            <w:shd w:val="clear" w:color="auto" w:fill="FFFFFF"/>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12:30 – 13:30</w:t>
            </w:r>
          </w:p>
        </w:tc>
        <w:tc>
          <w:tcPr>
            <w:tcW w:w="7668"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Lunch</w:t>
            </w:r>
          </w:p>
        </w:tc>
      </w:tr>
      <w:tr w:rsidR="00A17C1F" w:rsidTr="00A17C1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 xml:space="preserve">Afternoon </w:t>
            </w:r>
          </w:p>
        </w:tc>
      </w:tr>
      <w:tr w:rsidR="00A17C1F" w:rsidTr="00E61285">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13:30 – 15:15</w:t>
            </w:r>
          </w:p>
        </w:tc>
        <w:tc>
          <w:tcPr>
            <w:tcW w:w="383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34" w:type="dxa"/>
            <w:tcBorders>
              <w:top w:val="nil"/>
              <w:left w:val="nil"/>
              <w:bottom w:val="single" w:sz="8" w:space="0" w:color="auto"/>
              <w:right w:val="single" w:sz="8" w:space="0" w:color="auto"/>
            </w:tcBorders>
            <w:shd w:val="clear" w:color="auto" w:fill="00B0F0"/>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Height w:val="132"/>
        </w:trPr>
        <w:tc>
          <w:tcPr>
            <w:tcW w:w="105" w:type="dxa"/>
            <w:shd w:val="clear" w:color="auto" w:fill="FFFFFF"/>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15:15 – 15:30</w:t>
            </w:r>
          </w:p>
        </w:tc>
        <w:tc>
          <w:tcPr>
            <w:tcW w:w="7668" w:type="dxa"/>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Coffee Break</w:t>
            </w:r>
          </w:p>
        </w:tc>
      </w:tr>
      <w:tr w:rsidR="00A17C1F" w:rsidTr="00E61285">
        <w:trPr>
          <w:cantSplit/>
          <w:trHeight w:val="132"/>
        </w:trPr>
        <w:tc>
          <w:tcPr>
            <w:tcW w:w="105" w:type="dxa"/>
            <w:tcBorders>
              <w:top w:val="nil"/>
              <w:left w:val="nil"/>
              <w:bottom w:val="double" w:sz="4" w:space="0" w:color="auto"/>
              <w:right w:val="nil"/>
            </w:tcBorders>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15:30 – 17:30</w:t>
            </w:r>
          </w:p>
        </w:tc>
        <w:tc>
          <w:tcPr>
            <w:tcW w:w="3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76" w:type="dxa"/>
            <w:gridSpan w:val="2"/>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Pr>
        <w:tc>
          <w:tcPr>
            <w:tcW w:w="947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Evening</w:t>
            </w:r>
          </w:p>
        </w:tc>
      </w:tr>
      <w:tr w:rsidR="00A17C1F" w:rsidTr="00A17C1F">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sz w:val="20"/>
              </w:rPr>
              <w:t>1</w:t>
            </w:r>
            <w:r>
              <w:rPr>
                <w:sz w:val="20"/>
                <w:lang w:eastAsia="ja-JP"/>
              </w:rPr>
              <w:t>7</w:t>
            </w:r>
            <w:r>
              <w:rPr>
                <w:sz w:val="20"/>
              </w:rPr>
              <w:t>:</w:t>
            </w:r>
            <w:r>
              <w:rPr>
                <w:sz w:val="20"/>
                <w:lang w:eastAsia="ja-JP"/>
              </w:rPr>
              <w:t>3</w:t>
            </w:r>
            <w:r>
              <w:rPr>
                <w:sz w:val="20"/>
              </w:rPr>
              <w:t xml:space="preserve">0 – </w:t>
            </w:r>
            <w:r>
              <w:rPr>
                <w:sz w:val="20"/>
                <w:lang w:eastAsia="ja-JP"/>
              </w:rPr>
              <w:t>21:00</w:t>
            </w:r>
          </w:p>
        </w:tc>
        <w:tc>
          <w:tcPr>
            <w:tcW w:w="7668" w:type="dxa"/>
            <w:gridSpan w:val="3"/>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rFonts w:cs="Arial"/>
                <w:b/>
                <w:sz w:val="28"/>
                <w:szCs w:val="28"/>
                <w:lang w:eastAsia="ja-JP"/>
              </w:rPr>
            </w:pPr>
            <w:r>
              <w:rPr>
                <w:rFonts w:cs="Arial"/>
                <w:b/>
                <w:sz w:val="28"/>
                <w:szCs w:val="28"/>
                <w:lang w:eastAsia="ja-JP"/>
              </w:rPr>
              <w:t>- SMPG Event Offered by the hosts -</w:t>
            </w:r>
          </w:p>
          <w:p w:rsidR="00A17C1F" w:rsidRDefault="00A17C1F">
            <w:pPr>
              <w:pStyle w:val="BlockText"/>
              <w:shd w:val="clear" w:color="auto" w:fill="FFFFFF"/>
              <w:spacing w:beforeLines="40" w:before="96" w:afterLines="20" w:after="48"/>
              <w:jc w:val="center"/>
              <w:rPr>
                <w:rFonts w:cs="Arial"/>
                <w:b/>
                <w:szCs w:val="22"/>
                <w:lang w:val="en-GB" w:eastAsia="ja-JP"/>
              </w:rPr>
            </w:pPr>
            <w:r>
              <w:rPr>
                <w:rFonts w:cs="Arial"/>
                <w:b/>
                <w:szCs w:val="22"/>
                <w:lang w:eastAsia="ja-JP"/>
              </w:rPr>
              <w:t>Attractive Osaka Tours: Tsutenkaku</w:t>
            </w:r>
            <w:r>
              <w:rPr>
                <w:rFonts w:cs="Arial"/>
                <w:b/>
                <w:szCs w:val="22"/>
                <w:lang w:val="en-GB" w:eastAsia="ja-JP"/>
              </w:rPr>
              <w:t xml:space="preserve"> </w:t>
            </w:r>
            <w:r>
              <w:rPr>
                <w:rFonts w:cs="Arial"/>
                <w:b/>
                <w:szCs w:val="22"/>
                <w:lang w:eastAsia="ja-JP"/>
              </w:rPr>
              <w:t>Tower</w:t>
            </w:r>
            <w:r>
              <w:rPr>
                <w:rFonts w:cs="Arial"/>
                <w:b/>
                <w:szCs w:val="22"/>
                <w:lang w:val="en-GB" w:eastAsia="ja-JP"/>
              </w:rPr>
              <w:t xml:space="preserve">, </w:t>
            </w:r>
            <w:r>
              <w:rPr>
                <w:rFonts w:cs="Arial"/>
                <w:b/>
                <w:szCs w:val="22"/>
                <w:lang w:eastAsia="ja-JP"/>
              </w:rPr>
              <w:t>Osaka Caslte</w:t>
            </w:r>
            <w:r>
              <w:rPr>
                <w:rFonts w:cs="Arial"/>
                <w:b/>
                <w:szCs w:val="22"/>
                <w:lang w:val="en-GB" w:eastAsia="ja-JP"/>
              </w:rPr>
              <w:t xml:space="preserve">, </w:t>
            </w:r>
            <w:r>
              <w:rPr>
                <w:rFonts w:cs="Arial"/>
                <w:b/>
                <w:szCs w:val="22"/>
                <w:lang w:eastAsia="ja-JP"/>
              </w:rPr>
              <w:t>Namba</w:t>
            </w:r>
          </w:p>
          <w:p w:rsidR="00A17C1F" w:rsidRDefault="00A17C1F">
            <w:pPr>
              <w:pStyle w:val="BlockText"/>
              <w:shd w:val="clear" w:color="auto" w:fill="FFFFFF"/>
              <w:spacing w:beforeLines="40" w:before="96" w:afterLines="20" w:after="48"/>
              <w:jc w:val="center"/>
              <w:rPr>
                <w:rFonts w:cs="Arial"/>
                <w:b/>
                <w:sz w:val="24"/>
                <w:szCs w:val="24"/>
                <w:lang w:eastAsia="ja-JP"/>
              </w:rPr>
            </w:pPr>
            <w:r>
              <w:rPr>
                <w:rFonts w:cs="Arial"/>
                <w:b/>
                <w:sz w:val="24"/>
                <w:szCs w:val="24"/>
                <w:lang w:val="en-GB" w:eastAsia="ja-JP"/>
              </w:rPr>
              <w:t xml:space="preserve">followed by </w:t>
            </w:r>
            <w:r>
              <w:rPr>
                <w:rFonts w:cs="Arial"/>
                <w:b/>
                <w:sz w:val="24"/>
                <w:szCs w:val="24"/>
              </w:rPr>
              <w:t>Dinner</w:t>
            </w:r>
          </w:p>
          <w:p w:rsidR="00A17C1F" w:rsidRDefault="00A17C1F">
            <w:pPr>
              <w:pStyle w:val="BlockText"/>
              <w:shd w:val="clear" w:color="auto" w:fill="FFFFFF"/>
              <w:spacing w:beforeLines="40" w:before="96" w:afterLines="20" w:after="48"/>
              <w:jc w:val="center"/>
              <w:rPr>
                <w:rFonts w:cs="Arial"/>
                <w:color w:val="FF0000"/>
                <w:sz w:val="20"/>
                <w:u w:val="single"/>
              </w:rPr>
            </w:pPr>
            <w:r>
              <w:rPr>
                <w:rFonts w:cs="Arial"/>
                <w:b/>
                <w:bCs/>
                <w:iCs/>
                <w:color w:val="FF0000"/>
                <w:sz w:val="20"/>
                <w:u w:val="single"/>
              </w:rPr>
              <w:t>(Attendance confirmation in the registration form required !)</w:t>
            </w:r>
          </w:p>
        </w:tc>
      </w:tr>
    </w:tbl>
    <w:p w:rsidR="00A17C1F" w:rsidRDefault="00A17C1F" w:rsidP="00A17C1F">
      <w:pPr>
        <w:pStyle w:val="BlockText"/>
        <w:shd w:val="clear" w:color="auto" w:fill="FFFFFF"/>
        <w:spacing w:beforeLines="40" w:before="96" w:afterLines="20" w:after="48"/>
        <w:rPr>
          <w:sz w:val="20"/>
        </w:rPr>
      </w:pPr>
    </w:p>
    <w:tbl>
      <w:tblPr>
        <w:tblW w:w="0" w:type="auto"/>
        <w:tblCellMar>
          <w:left w:w="0" w:type="dxa"/>
          <w:right w:w="0" w:type="dxa"/>
        </w:tblCellMar>
        <w:tblLook w:val="00A0" w:firstRow="1" w:lastRow="0" w:firstColumn="1" w:lastColumn="0" w:noHBand="0" w:noVBand="0"/>
      </w:tblPr>
      <w:tblGrid>
        <w:gridCol w:w="105"/>
        <w:gridCol w:w="1701"/>
        <w:gridCol w:w="3792"/>
        <w:gridCol w:w="3866"/>
      </w:tblGrid>
      <w:tr w:rsidR="00A17C1F" w:rsidTr="00A17C1F">
        <w:trPr>
          <w:cantSplit/>
        </w:trPr>
        <w:tc>
          <w:tcPr>
            <w:tcW w:w="9464" w:type="dxa"/>
            <w:gridSpan w:val="4"/>
            <w:tcBorders>
              <w:top w:val="single" w:sz="8" w:space="0" w:color="auto"/>
              <w:left w:val="single" w:sz="8" w:space="0" w:color="auto"/>
              <w:bottom w:val="double" w:sz="4" w:space="0" w:color="auto"/>
              <w:right w:val="single" w:sz="8" w:space="0" w:color="auto"/>
            </w:tcBorders>
            <w:shd w:val="clear" w:color="auto" w:fill="FABF8F"/>
            <w:tcMar>
              <w:top w:w="0" w:type="dxa"/>
              <w:left w:w="108" w:type="dxa"/>
              <w:bottom w:w="0" w:type="dxa"/>
              <w:right w:w="108" w:type="dxa"/>
            </w:tcMar>
            <w:vAlign w:val="center"/>
            <w:hideMark/>
          </w:tcPr>
          <w:p w:rsidR="00A17C1F" w:rsidRDefault="00A17C1F">
            <w:pPr>
              <w:spacing w:beforeLines="40" w:before="96" w:afterLines="20" w:after="48"/>
              <w:rPr>
                <w:rFonts w:cs="Arial"/>
                <w:sz w:val="28"/>
                <w:szCs w:val="28"/>
              </w:rPr>
            </w:pPr>
            <w:r>
              <w:rPr>
                <w:sz w:val="28"/>
                <w:szCs w:val="28"/>
              </w:rPr>
              <w:t>Wednesday 7th of November</w:t>
            </w:r>
          </w:p>
        </w:tc>
      </w:tr>
      <w:tr w:rsidR="00A17C1F" w:rsidTr="00A17C1F">
        <w:trPr>
          <w:cantSplit/>
        </w:trPr>
        <w:tc>
          <w:tcPr>
            <w:tcW w:w="9464" w:type="dxa"/>
            <w:gridSpan w:val="4"/>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A17C1F" w:rsidRDefault="00A17C1F">
            <w:pPr>
              <w:spacing w:before="40" w:after="20"/>
              <w:rPr>
                <w:b/>
                <w:sz w:val="20"/>
              </w:rPr>
            </w:pPr>
            <w:r>
              <w:rPr>
                <w:rFonts w:cs="Arial"/>
                <w:b/>
                <w:sz w:val="20"/>
              </w:rPr>
              <w:t xml:space="preserve">Morning </w:t>
            </w:r>
          </w:p>
        </w:tc>
      </w:tr>
      <w:tr w:rsidR="00A17C1F" w:rsidTr="00E61285">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09:00 – 10:45</w:t>
            </w:r>
          </w:p>
        </w:tc>
        <w:tc>
          <w:tcPr>
            <w:tcW w:w="3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6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10:45 – 11:00</w:t>
            </w:r>
          </w:p>
        </w:tc>
        <w:tc>
          <w:tcPr>
            <w:tcW w:w="7658"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sz w:val="20"/>
              </w:rPr>
            </w:pPr>
            <w:r>
              <w:rPr>
                <w:rFonts w:cs="Arial"/>
                <w:sz w:val="20"/>
              </w:rPr>
              <w:t>Coffee Break</w:t>
            </w:r>
          </w:p>
        </w:tc>
      </w:tr>
      <w:tr w:rsidR="00A17C1F" w:rsidTr="00E61285">
        <w:trPr>
          <w:cantSplit/>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11:00 – 12:30</w:t>
            </w:r>
          </w:p>
        </w:tc>
        <w:tc>
          <w:tcPr>
            <w:tcW w:w="3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Corporate Action WG</w:t>
            </w:r>
          </w:p>
        </w:tc>
        <w:tc>
          <w:tcPr>
            <w:tcW w:w="386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color w:val="0000FF"/>
                <w:sz w:val="20"/>
              </w:rPr>
            </w:pPr>
            <w:r>
              <w:rPr>
                <w:color w:val="0000FF"/>
                <w:sz w:val="20"/>
              </w:rPr>
              <w:t>Settlement and Reconciliation WG</w:t>
            </w:r>
          </w:p>
        </w:tc>
      </w:tr>
      <w:tr w:rsidR="00A17C1F" w:rsidTr="00A17C1F">
        <w:trPr>
          <w:cantSplit/>
        </w:trPr>
        <w:tc>
          <w:tcPr>
            <w:tcW w:w="105" w:type="dxa"/>
            <w:tcBorders>
              <w:top w:val="nil"/>
              <w:left w:val="nil"/>
              <w:bottom w:val="double" w:sz="4" w:space="0" w:color="auto"/>
              <w:right w:val="nil"/>
            </w:tcBorders>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12:30 – 13:30</w:t>
            </w:r>
          </w:p>
        </w:tc>
        <w:tc>
          <w:tcPr>
            <w:tcW w:w="7658"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17C1F" w:rsidRDefault="00A17C1F">
            <w:pPr>
              <w:spacing w:beforeLines="40" w:before="96" w:afterLines="20" w:after="48"/>
              <w:rPr>
                <w:rFonts w:cs="Arial"/>
                <w:sz w:val="20"/>
              </w:rPr>
            </w:pPr>
            <w:r>
              <w:rPr>
                <w:rFonts w:cs="Arial"/>
                <w:sz w:val="20"/>
              </w:rPr>
              <w:t>Lunch</w:t>
            </w:r>
          </w:p>
        </w:tc>
      </w:tr>
      <w:tr w:rsidR="00A17C1F" w:rsidTr="00A17C1F">
        <w:trPr>
          <w:cantSplit/>
          <w:trHeight w:val="132"/>
        </w:trPr>
        <w:tc>
          <w:tcPr>
            <w:tcW w:w="105" w:type="dxa"/>
            <w:vAlign w:val="center"/>
            <w:hideMark/>
          </w:tcPr>
          <w:p w:rsidR="00A17C1F" w:rsidRDefault="00A17C1F">
            <w:pPr>
              <w:spacing w:beforeLines="40" w:before="96" w:afterLines="20" w:after="48"/>
              <w:rPr>
                <w:rFonts w:ascii="Calibr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17C1F" w:rsidRDefault="00A17C1F">
            <w:pPr>
              <w:spacing w:beforeLines="40" w:before="96" w:afterLines="20" w:after="48"/>
              <w:rPr>
                <w:rFonts w:cs="Arial"/>
                <w:sz w:val="20"/>
              </w:rPr>
            </w:pPr>
          </w:p>
        </w:tc>
        <w:tc>
          <w:tcPr>
            <w:tcW w:w="7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17C1F" w:rsidRDefault="00A17C1F">
            <w:pPr>
              <w:pStyle w:val="BlockText"/>
              <w:shd w:val="clear" w:color="auto" w:fill="FFFFFF"/>
              <w:spacing w:beforeLines="40" w:before="96" w:afterLines="20" w:after="48"/>
              <w:jc w:val="center"/>
              <w:rPr>
                <w:b/>
                <w:sz w:val="24"/>
                <w:szCs w:val="24"/>
              </w:rPr>
            </w:pPr>
            <w:r>
              <w:rPr>
                <w:b/>
                <w:sz w:val="24"/>
                <w:szCs w:val="24"/>
              </w:rPr>
              <w:t>End of meeting</w:t>
            </w:r>
          </w:p>
        </w:tc>
      </w:tr>
    </w:tbl>
    <w:p w:rsidR="00867797" w:rsidRDefault="00867797" w:rsidP="00A55054">
      <w:pPr>
        <w:spacing w:before="20" w:after="20"/>
        <w:rPr>
          <w:b/>
          <w:bCs/>
          <w:color w:val="FF0000"/>
          <w:lang w:val="en-GB"/>
        </w:rPr>
      </w:pPr>
    </w:p>
    <w:p w:rsidR="00867797" w:rsidRDefault="00867797" w:rsidP="00DE2F9C">
      <w:pPr>
        <w:spacing w:before="240"/>
      </w:pPr>
    </w:p>
    <w:p w:rsidR="00A17C1F" w:rsidRDefault="00A17C1F" w:rsidP="00DE2F9C">
      <w:pPr>
        <w:spacing w:before="240"/>
      </w:pPr>
    </w:p>
    <w:p w:rsidR="00A17C1F" w:rsidRDefault="00A17C1F" w:rsidP="00DE2F9C">
      <w:pPr>
        <w:spacing w:before="240"/>
      </w:pPr>
    </w:p>
    <w:p w:rsidR="00A17C1F" w:rsidRDefault="00A17C1F" w:rsidP="00DE2F9C">
      <w:pPr>
        <w:spacing w:before="240"/>
      </w:pPr>
    </w:p>
    <w:p w:rsidR="00A17C1F" w:rsidRDefault="00A17C1F" w:rsidP="00DE2F9C">
      <w:pPr>
        <w:spacing w:before="240"/>
      </w:pPr>
    </w:p>
    <w:p w:rsidR="00A17C1F" w:rsidRDefault="00A17C1F" w:rsidP="00DE2F9C">
      <w:pPr>
        <w:spacing w:before="240"/>
      </w:pPr>
    </w:p>
    <w:p w:rsidR="00A17C1F" w:rsidRPr="00806A08" w:rsidRDefault="00A17C1F" w:rsidP="00DE2F9C">
      <w:pPr>
        <w:spacing w:before="240"/>
      </w:pPr>
    </w:p>
    <w:p w:rsidR="00867797" w:rsidRDefault="00867797" w:rsidP="00DE2F9C">
      <w:pPr>
        <w:spacing w:before="240"/>
        <w:rPr>
          <w:lang w:val="en-GB"/>
        </w:rPr>
      </w:pPr>
    </w:p>
    <w:p w:rsidR="00867797" w:rsidRDefault="00867797" w:rsidP="00DE2F9C">
      <w:pPr>
        <w:spacing w:before="240"/>
        <w:rPr>
          <w:b/>
          <w:sz w:val="32"/>
          <w:szCs w:val="32"/>
        </w:rPr>
      </w:pPr>
      <w:r w:rsidRPr="00DE2F9C">
        <w:rPr>
          <w:b/>
          <w:sz w:val="32"/>
          <w:szCs w:val="32"/>
        </w:rPr>
        <w:lastRenderedPageBreak/>
        <w:t>Meeting Agenda</w:t>
      </w:r>
      <w:r w:rsidR="00D10C58">
        <w:rPr>
          <w:b/>
          <w:sz w:val="32"/>
          <w:szCs w:val="32"/>
        </w:rPr>
        <w:t>:</w:t>
      </w:r>
    </w:p>
    <w:p w:rsidR="00D10C58" w:rsidRPr="00D10C58" w:rsidRDefault="00D10C58" w:rsidP="00CE2C8C">
      <w:pPr>
        <w:numPr>
          <w:ilvl w:val="0"/>
          <w:numId w:val="8"/>
        </w:numPr>
        <w:spacing w:before="240"/>
        <w:rPr>
          <w:b/>
          <w:color w:val="00B050"/>
          <w:sz w:val="24"/>
          <w:szCs w:val="24"/>
        </w:rPr>
      </w:pPr>
      <w:r w:rsidRPr="00D10C58">
        <w:rPr>
          <w:b/>
          <w:color w:val="00B050"/>
          <w:sz w:val="24"/>
          <w:szCs w:val="24"/>
        </w:rPr>
        <w:t xml:space="preserve">Monday </w:t>
      </w:r>
      <w:r>
        <w:rPr>
          <w:b/>
          <w:color w:val="00B050"/>
          <w:sz w:val="24"/>
          <w:szCs w:val="24"/>
        </w:rPr>
        <w:t>November 5</w:t>
      </w:r>
      <w:r w:rsidRPr="00D10C58">
        <w:rPr>
          <w:b/>
          <w:color w:val="00B050"/>
          <w:sz w:val="24"/>
          <w:szCs w:val="24"/>
          <w:vertAlign w:val="superscript"/>
        </w:rPr>
        <w:t>th</w:t>
      </w:r>
      <w:r>
        <w:rPr>
          <w:b/>
          <w:color w:val="00B050"/>
          <w:sz w:val="24"/>
          <w:szCs w:val="24"/>
        </w:rPr>
        <w:t>: 13.30 – 15.15</w:t>
      </w:r>
    </w:p>
    <w:p w:rsidR="00196F68" w:rsidRDefault="00D10C58" w:rsidP="00D10C58">
      <w:pPr>
        <w:spacing w:before="240"/>
        <w:ind w:left="720"/>
        <w:rPr>
          <w:sz w:val="24"/>
          <w:szCs w:val="24"/>
          <w:lang w:val="en-GB"/>
        </w:rPr>
      </w:pPr>
      <w:r>
        <w:rPr>
          <w:sz w:val="24"/>
          <w:szCs w:val="24"/>
          <w:lang w:val="en-GB"/>
        </w:rPr>
        <w:t>Review of Market Practices/Usage guidelines in MyStandards</w:t>
      </w:r>
    </w:p>
    <w:p w:rsidR="00321314" w:rsidRDefault="00321314" w:rsidP="00D10C58">
      <w:pPr>
        <w:spacing w:before="240"/>
        <w:ind w:left="720"/>
        <w:rPr>
          <w:sz w:val="24"/>
          <w:szCs w:val="24"/>
          <w:lang w:val="en-GB"/>
        </w:rPr>
      </w:pPr>
      <w:r>
        <w:rPr>
          <w:sz w:val="24"/>
          <w:szCs w:val="24"/>
          <w:lang w:val="en-GB"/>
        </w:rPr>
        <w:t>Discussion on level of granularity of MP in MyStandards (</w:t>
      </w:r>
      <w:r w:rsidR="00AF2C18">
        <w:rPr>
          <w:sz w:val="24"/>
          <w:szCs w:val="24"/>
          <w:lang w:val="en-GB"/>
        </w:rPr>
        <w:t>See summary of comments</w:t>
      </w:r>
      <w:r>
        <w:rPr>
          <w:sz w:val="24"/>
          <w:szCs w:val="24"/>
          <w:lang w:val="en-GB"/>
        </w:rPr>
        <w:t>)</w:t>
      </w:r>
    </w:p>
    <w:p w:rsidR="00D10C58" w:rsidRDefault="00D10C58" w:rsidP="00CE2C8C">
      <w:pPr>
        <w:numPr>
          <w:ilvl w:val="0"/>
          <w:numId w:val="8"/>
        </w:numPr>
        <w:spacing w:before="240"/>
        <w:rPr>
          <w:b/>
          <w:color w:val="00B050"/>
          <w:sz w:val="24"/>
          <w:szCs w:val="24"/>
        </w:rPr>
      </w:pPr>
      <w:r w:rsidRPr="00D10C58">
        <w:rPr>
          <w:b/>
          <w:color w:val="00B050"/>
          <w:sz w:val="24"/>
          <w:szCs w:val="24"/>
        </w:rPr>
        <w:t xml:space="preserve">Monday </w:t>
      </w:r>
      <w:r>
        <w:rPr>
          <w:b/>
          <w:color w:val="00B050"/>
          <w:sz w:val="24"/>
          <w:szCs w:val="24"/>
        </w:rPr>
        <w:t>November 5</w:t>
      </w:r>
      <w:r w:rsidRPr="00D10C58">
        <w:rPr>
          <w:b/>
          <w:color w:val="00B050"/>
          <w:sz w:val="24"/>
          <w:szCs w:val="24"/>
          <w:vertAlign w:val="superscript"/>
        </w:rPr>
        <w:t>th</w:t>
      </w:r>
      <w:r>
        <w:rPr>
          <w:b/>
          <w:color w:val="00B050"/>
          <w:sz w:val="24"/>
          <w:szCs w:val="24"/>
        </w:rPr>
        <w:t>: 15.30 – 17.30</w:t>
      </w:r>
    </w:p>
    <w:p w:rsidR="00D10C58" w:rsidRPr="00D10C58" w:rsidRDefault="00D10C58" w:rsidP="00D10C58">
      <w:pPr>
        <w:spacing w:before="240"/>
        <w:rPr>
          <w:b/>
          <w:i/>
          <w:color w:val="00B0F0"/>
          <w:sz w:val="24"/>
          <w:szCs w:val="24"/>
        </w:rPr>
      </w:pPr>
      <w:r w:rsidRPr="00D10C58">
        <w:rPr>
          <w:b/>
          <w:i/>
          <w:color w:val="00B0F0"/>
          <w:sz w:val="24"/>
          <w:szCs w:val="24"/>
        </w:rPr>
        <w:t>Common session CA and SR</w:t>
      </w:r>
    </w:p>
    <w:p w:rsidR="00D10C58" w:rsidRDefault="00D10C58" w:rsidP="00D10C58">
      <w:pPr>
        <w:spacing w:before="240"/>
        <w:ind w:left="720"/>
        <w:rPr>
          <w:sz w:val="24"/>
          <w:szCs w:val="24"/>
          <w:lang w:val="en-GB"/>
        </w:rPr>
      </w:pPr>
      <w:r>
        <w:rPr>
          <w:sz w:val="24"/>
          <w:szCs w:val="24"/>
          <w:lang w:val="en-GB"/>
        </w:rPr>
        <w:t xml:space="preserve">IPO and DR processes in Asian Markets (Alex Kech and Mieko Morioka) </w:t>
      </w:r>
    </w:p>
    <w:p w:rsidR="00D10C58" w:rsidRPr="00D10C58" w:rsidRDefault="00D10C58" w:rsidP="00CE2C8C">
      <w:pPr>
        <w:numPr>
          <w:ilvl w:val="0"/>
          <w:numId w:val="8"/>
        </w:numPr>
        <w:spacing w:before="240"/>
        <w:rPr>
          <w:b/>
          <w:color w:val="00B050"/>
          <w:sz w:val="24"/>
          <w:szCs w:val="24"/>
          <w:lang w:val="en-GB"/>
        </w:rPr>
      </w:pPr>
      <w:r>
        <w:rPr>
          <w:b/>
          <w:color w:val="00B050"/>
          <w:sz w:val="24"/>
          <w:szCs w:val="24"/>
        </w:rPr>
        <w:t>Tuesday November 6</w:t>
      </w:r>
      <w:r w:rsidRPr="00D10C58">
        <w:rPr>
          <w:b/>
          <w:color w:val="00B050"/>
          <w:sz w:val="24"/>
          <w:szCs w:val="24"/>
          <w:vertAlign w:val="superscript"/>
        </w:rPr>
        <w:t>th</w:t>
      </w:r>
      <w:r>
        <w:rPr>
          <w:b/>
          <w:color w:val="00B050"/>
          <w:sz w:val="24"/>
          <w:szCs w:val="24"/>
        </w:rPr>
        <w:t xml:space="preserve"> and Wednesday 7th</w:t>
      </w:r>
    </w:p>
    <w:p w:rsidR="00867797" w:rsidRDefault="00867797" w:rsidP="00CE2C8C">
      <w:pPr>
        <w:numPr>
          <w:ilvl w:val="0"/>
          <w:numId w:val="7"/>
        </w:numPr>
        <w:spacing w:before="240"/>
        <w:rPr>
          <w:sz w:val="24"/>
          <w:szCs w:val="24"/>
          <w:lang w:val="en-GB"/>
        </w:rPr>
      </w:pPr>
      <w:r w:rsidRPr="00DE2F9C">
        <w:rPr>
          <w:sz w:val="24"/>
          <w:szCs w:val="24"/>
          <w:lang w:val="en-GB"/>
        </w:rPr>
        <w:t xml:space="preserve">Review of </w:t>
      </w:r>
      <w:r w:rsidR="00196F68">
        <w:rPr>
          <w:sz w:val="24"/>
          <w:szCs w:val="24"/>
          <w:lang w:val="en-GB"/>
        </w:rPr>
        <w:t>main topics discussed at SMPG level in 2012</w:t>
      </w:r>
      <w:r w:rsidR="00D05A33">
        <w:rPr>
          <w:sz w:val="24"/>
          <w:szCs w:val="24"/>
          <w:lang w:val="en-GB"/>
        </w:rPr>
        <w:t xml:space="preserve"> (Ton Van Andel).</w:t>
      </w:r>
    </w:p>
    <w:p w:rsidR="00FE374B" w:rsidRDefault="00196F68" w:rsidP="00CE2C8C">
      <w:pPr>
        <w:numPr>
          <w:ilvl w:val="0"/>
          <w:numId w:val="7"/>
        </w:numPr>
        <w:spacing w:before="240"/>
        <w:rPr>
          <w:sz w:val="24"/>
          <w:szCs w:val="24"/>
          <w:lang w:val="en-GB"/>
        </w:rPr>
      </w:pPr>
      <w:r>
        <w:rPr>
          <w:sz w:val="24"/>
          <w:szCs w:val="24"/>
          <w:lang w:val="en-GB"/>
        </w:rPr>
        <w:t>IPO Process – Review of the process and discussion on potential impact on S&amp;R messages</w:t>
      </w:r>
    </w:p>
    <w:p w:rsidR="00D05A33" w:rsidRPr="00D05A33" w:rsidRDefault="00D05A33" w:rsidP="00CE2C8C">
      <w:pPr>
        <w:numPr>
          <w:ilvl w:val="0"/>
          <w:numId w:val="7"/>
        </w:numPr>
        <w:spacing w:before="240"/>
        <w:rPr>
          <w:sz w:val="24"/>
          <w:szCs w:val="24"/>
          <w:lang w:val="en-GB"/>
        </w:rPr>
      </w:pPr>
      <w:r>
        <w:rPr>
          <w:sz w:val="24"/>
          <w:szCs w:val="24"/>
          <w:lang w:val="en-GB"/>
        </w:rPr>
        <w:t>DR Process – Review of the process and discussion on potential impact on S&amp;R messages</w:t>
      </w:r>
    </w:p>
    <w:p w:rsidR="00FE374B" w:rsidRDefault="00196F68" w:rsidP="00CE2C8C">
      <w:pPr>
        <w:numPr>
          <w:ilvl w:val="0"/>
          <w:numId w:val="7"/>
        </w:numPr>
        <w:spacing w:before="240"/>
        <w:rPr>
          <w:sz w:val="24"/>
          <w:szCs w:val="24"/>
          <w:lang w:val="en-GB"/>
        </w:rPr>
      </w:pPr>
      <w:r>
        <w:rPr>
          <w:sz w:val="24"/>
          <w:szCs w:val="24"/>
          <w:lang w:val="en-GB"/>
        </w:rPr>
        <w:t>Review of global Market practices</w:t>
      </w:r>
      <w:r w:rsidR="00136D5B">
        <w:rPr>
          <w:sz w:val="24"/>
          <w:szCs w:val="24"/>
          <w:lang w:val="en-GB"/>
        </w:rPr>
        <w:t xml:space="preserve"> revamp and new</w:t>
      </w:r>
      <w:r w:rsidR="00FE374B">
        <w:rPr>
          <w:sz w:val="24"/>
          <w:szCs w:val="24"/>
          <w:lang w:val="en-GB"/>
        </w:rPr>
        <w:t>:</w:t>
      </w:r>
    </w:p>
    <w:p w:rsidR="00136D5B" w:rsidRDefault="00136D5B" w:rsidP="00136D5B">
      <w:pPr>
        <w:spacing w:before="240"/>
        <w:ind w:left="720"/>
        <w:rPr>
          <w:sz w:val="24"/>
          <w:szCs w:val="24"/>
          <w:lang w:val="en-GB"/>
        </w:rPr>
      </w:pPr>
      <w:r>
        <w:rPr>
          <w:sz w:val="24"/>
          <w:szCs w:val="24"/>
          <w:lang w:val="en-GB"/>
        </w:rPr>
        <w:t>Revamps</w:t>
      </w:r>
    </w:p>
    <w:p w:rsidR="00FE799C" w:rsidRDefault="00FE799C" w:rsidP="003C6769">
      <w:pPr>
        <w:spacing w:before="240"/>
        <w:ind w:left="1440"/>
        <w:rPr>
          <w:iCs/>
          <w:sz w:val="24"/>
          <w:szCs w:val="24"/>
          <w:lang w:val="en-GB"/>
        </w:rPr>
      </w:pPr>
      <w:r>
        <w:rPr>
          <w:iCs/>
          <w:sz w:val="24"/>
          <w:szCs w:val="24"/>
          <w:lang w:val="en-GB"/>
        </w:rPr>
        <w:t>Block Trades (Alex)</w:t>
      </w:r>
    </w:p>
    <w:p w:rsidR="00157A81" w:rsidRPr="00136D5B" w:rsidRDefault="00157A81" w:rsidP="003C6769">
      <w:pPr>
        <w:spacing w:before="240"/>
        <w:ind w:left="1440"/>
        <w:rPr>
          <w:sz w:val="24"/>
          <w:szCs w:val="24"/>
          <w:lang w:val="en-GB"/>
        </w:rPr>
      </w:pPr>
      <w:r>
        <w:rPr>
          <w:iCs/>
          <w:sz w:val="24"/>
          <w:szCs w:val="24"/>
          <w:lang w:val="en-GB"/>
        </w:rPr>
        <w:t>Securities Settlement Transaction Pending Report</w:t>
      </w:r>
      <w:r w:rsidR="00352DDA">
        <w:rPr>
          <w:iCs/>
          <w:sz w:val="24"/>
          <w:szCs w:val="24"/>
          <w:lang w:val="en-GB"/>
        </w:rPr>
        <w:t xml:space="preserve"> (Review Section E page 22 &amp; 34)</w:t>
      </w:r>
    </w:p>
    <w:p w:rsidR="00136D5B" w:rsidRDefault="00136D5B" w:rsidP="00136D5B">
      <w:pPr>
        <w:spacing w:before="240"/>
        <w:ind w:left="720"/>
        <w:rPr>
          <w:iCs/>
          <w:sz w:val="24"/>
          <w:szCs w:val="24"/>
          <w:lang w:val="en-GB"/>
        </w:rPr>
      </w:pPr>
      <w:r>
        <w:rPr>
          <w:iCs/>
          <w:sz w:val="24"/>
          <w:szCs w:val="24"/>
          <w:lang w:val="en-GB"/>
        </w:rPr>
        <w:t>New</w:t>
      </w:r>
    </w:p>
    <w:p w:rsidR="00136D5B" w:rsidRPr="00136D5B" w:rsidRDefault="00136D5B" w:rsidP="003C6769">
      <w:pPr>
        <w:spacing w:before="240"/>
        <w:ind w:left="1440"/>
        <w:rPr>
          <w:sz w:val="24"/>
          <w:szCs w:val="24"/>
          <w:lang w:val="en-GB"/>
        </w:rPr>
      </w:pPr>
      <w:r>
        <w:rPr>
          <w:sz w:val="24"/>
          <w:szCs w:val="24"/>
          <w:lang w:val="en-GB"/>
        </w:rPr>
        <w:t>TriPartyCollateralManagement Appendix (Jason)</w:t>
      </w:r>
    </w:p>
    <w:p w:rsidR="00FE374B" w:rsidRDefault="00196F68" w:rsidP="00CE2C8C">
      <w:pPr>
        <w:numPr>
          <w:ilvl w:val="0"/>
          <w:numId w:val="7"/>
        </w:numPr>
        <w:spacing w:before="240"/>
        <w:rPr>
          <w:sz w:val="24"/>
          <w:szCs w:val="24"/>
          <w:lang w:val="en-GB"/>
        </w:rPr>
      </w:pPr>
      <w:r>
        <w:rPr>
          <w:sz w:val="24"/>
          <w:szCs w:val="24"/>
          <w:lang w:val="en-GB"/>
        </w:rPr>
        <w:t xml:space="preserve">EAR Marking – Description of that process. </w:t>
      </w:r>
      <w:r w:rsidR="00D05A33">
        <w:rPr>
          <w:sz w:val="24"/>
          <w:szCs w:val="24"/>
          <w:lang w:val="en-GB"/>
        </w:rPr>
        <w:t>Identification of countries other than Vi</w:t>
      </w:r>
      <w:r>
        <w:rPr>
          <w:sz w:val="24"/>
          <w:szCs w:val="24"/>
          <w:lang w:val="en-GB"/>
        </w:rPr>
        <w:t>e</w:t>
      </w:r>
      <w:r w:rsidR="00D05A33">
        <w:rPr>
          <w:sz w:val="24"/>
          <w:szCs w:val="24"/>
          <w:lang w:val="en-GB"/>
        </w:rPr>
        <w:t>t</w:t>
      </w:r>
      <w:r>
        <w:rPr>
          <w:sz w:val="24"/>
          <w:szCs w:val="24"/>
          <w:lang w:val="en-GB"/>
        </w:rPr>
        <w:t>nam</w:t>
      </w:r>
      <w:r w:rsidR="00D05A33">
        <w:rPr>
          <w:sz w:val="24"/>
          <w:szCs w:val="24"/>
          <w:lang w:val="en-GB"/>
        </w:rPr>
        <w:t xml:space="preserve"> where it exists</w:t>
      </w:r>
      <w:r>
        <w:rPr>
          <w:sz w:val="24"/>
          <w:szCs w:val="24"/>
          <w:lang w:val="en-GB"/>
        </w:rPr>
        <w:t xml:space="preserve">? </w:t>
      </w:r>
    </w:p>
    <w:p w:rsidR="00D05A33" w:rsidRDefault="00D05A33" w:rsidP="00CE2C8C">
      <w:pPr>
        <w:numPr>
          <w:ilvl w:val="0"/>
          <w:numId w:val="7"/>
        </w:numPr>
        <w:spacing w:before="240"/>
        <w:rPr>
          <w:sz w:val="24"/>
          <w:szCs w:val="24"/>
          <w:lang w:val="en-GB"/>
        </w:rPr>
      </w:pPr>
      <w:r>
        <w:rPr>
          <w:sz w:val="24"/>
          <w:szCs w:val="24"/>
          <w:lang w:val="en-GB"/>
        </w:rPr>
        <w:t>Other issues:</w:t>
      </w:r>
    </w:p>
    <w:p w:rsidR="00D05A33" w:rsidRDefault="00D05A33" w:rsidP="00CE2C8C">
      <w:pPr>
        <w:numPr>
          <w:ilvl w:val="1"/>
          <w:numId w:val="7"/>
        </w:numPr>
        <w:spacing w:before="240"/>
        <w:rPr>
          <w:sz w:val="24"/>
          <w:szCs w:val="24"/>
          <w:lang w:val="en-GB"/>
        </w:rPr>
      </w:pPr>
      <w:r>
        <w:rPr>
          <w:sz w:val="24"/>
          <w:szCs w:val="24"/>
          <w:lang w:val="en-GB"/>
        </w:rPr>
        <w:t>KR questions on securities lending / borrowing processes</w:t>
      </w:r>
    </w:p>
    <w:p w:rsidR="00D05A33" w:rsidRDefault="00D05A33" w:rsidP="00CE2C8C">
      <w:pPr>
        <w:numPr>
          <w:ilvl w:val="1"/>
          <w:numId w:val="7"/>
        </w:numPr>
        <w:spacing w:before="240"/>
        <w:rPr>
          <w:sz w:val="24"/>
          <w:szCs w:val="24"/>
          <w:lang w:val="en-GB"/>
        </w:rPr>
      </w:pPr>
      <w:r>
        <w:rPr>
          <w:sz w:val="24"/>
          <w:szCs w:val="24"/>
          <w:lang w:val="en-GB"/>
        </w:rPr>
        <w:t>BE case on requested for delivery out (MT 542) of account of CSD by Issuer agent after redemption</w:t>
      </w:r>
    </w:p>
    <w:p w:rsidR="00FE799C" w:rsidRDefault="00003C0D" w:rsidP="00CE2C8C">
      <w:pPr>
        <w:numPr>
          <w:ilvl w:val="1"/>
          <w:numId w:val="7"/>
        </w:numPr>
        <w:spacing w:before="240"/>
        <w:rPr>
          <w:sz w:val="24"/>
          <w:szCs w:val="24"/>
          <w:lang w:val="en-GB"/>
        </w:rPr>
      </w:pPr>
      <w:r w:rsidRPr="00003C0D">
        <w:rPr>
          <w:sz w:val="24"/>
          <w:szCs w:val="24"/>
          <w:lang w:val="en-GB"/>
        </w:rPr>
        <w:t>Markets with trading and registry market accounts at CSD but one custody account at custodian (MENA Markets). If no SSI in place, how to request case by case to receive shares in the registry versus the trading market account in the MT 541 sent to the local custodian (Alex)</w:t>
      </w:r>
    </w:p>
    <w:p w:rsidR="00D05A33" w:rsidRDefault="00D05A33" w:rsidP="00CE2C8C">
      <w:pPr>
        <w:numPr>
          <w:ilvl w:val="1"/>
          <w:numId w:val="7"/>
        </w:numPr>
        <w:spacing w:before="240"/>
        <w:rPr>
          <w:sz w:val="24"/>
          <w:szCs w:val="24"/>
          <w:lang w:val="en-GB"/>
        </w:rPr>
      </w:pPr>
      <w:r>
        <w:rPr>
          <w:sz w:val="24"/>
          <w:szCs w:val="24"/>
          <w:lang w:val="en-GB"/>
        </w:rPr>
        <w:lastRenderedPageBreak/>
        <w:t>Any other S&amp;R related questions.</w:t>
      </w:r>
    </w:p>
    <w:p w:rsidR="00CF2FA7" w:rsidRDefault="00196F68" w:rsidP="00CE2C8C">
      <w:pPr>
        <w:numPr>
          <w:ilvl w:val="0"/>
          <w:numId w:val="7"/>
        </w:numPr>
        <w:spacing w:before="240"/>
        <w:rPr>
          <w:sz w:val="24"/>
          <w:szCs w:val="24"/>
          <w:lang w:val="en-GB"/>
        </w:rPr>
      </w:pPr>
      <w:r>
        <w:rPr>
          <w:sz w:val="24"/>
          <w:szCs w:val="24"/>
          <w:lang w:val="en-GB"/>
        </w:rPr>
        <w:t>How to better cooperate/exchange information between Global SMPG and Regional (APAC) NMPGs?</w:t>
      </w:r>
    </w:p>
    <w:p w:rsidR="00D10C58" w:rsidRDefault="00D10C58" w:rsidP="00D10C58">
      <w:pPr>
        <w:spacing w:before="240"/>
        <w:ind w:left="360"/>
        <w:rPr>
          <w:sz w:val="24"/>
          <w:szCs w:val="24"/>
          <w:lang w:val="en-GB"/>
        </w:rPr>
      </w:pPr>
      <w:r>
        <w:rPr>
          <w:sz w:val="24"/>
          <w:szCs w:val="24"/>
          <w:lang w:val="en-GB"/>
        </w:rPr>
        <w:t xml:space="preserve">A conference call is planned on Tuesday 10am (CET) – 5pm (Osaka). Axelle (FR) will provide an update on the French transaction tax topic. The group will be requested to consider proposing a change request for SR2014 to create a specific </w:t>
      </w:r>
      <w:r w:rsidR="00E61285">
        <w:rPr>
          <w:sz w:val="24"/>
          <w:szCs w:val="24"/>
          <w:lang w:val="en-GB"/>
        </w:rPr>
        <w:t>qualifier for this type of tax since m</w:t>
      </w:r>
      <w:r>
        <w:rPr>
          <w:sz w:val="24"/>
          <w:szCs w:val="24"/>
          <w:lang w:val="en-GB"/>
        </w:rPr>
        <w:t xml:space="preserve">ore and more countries </w:t>
      </w:r>
      <w:r w:rsidR="00E61285">
        <w:rPr>
          <w:sz w:val="24"/>
          <w:szCs w:val="24"/>
          <w:lang w:val="en-GB"/>
        </w:rPr>
        <w:t xml:space="preserve">(US, Spain, Italy and Portugal) </w:t>
      </w:r>
      <w:r>
        <w:rPr>
          <w:sz w:val="24"/>
          <w:szCs w:val="24"/>
          <w:lang w:val="en-GB"/>
        </w:rPr>
        <w:t>are planning to levy a tax on financial transaction</w:t>
      </w:r>
      <w:r w:rsidR="00E61285">
        <w:rPr>
          <w:sz w:val="24"/>
          <w:szCs w:val="24"/>
          <w:lang w:val="en-GB"/>
        </w:rPr>
        <w:t>s.</w:t>
      </w:r>
    </w:p>
    <w:p w:rsidR="00D10C58" w:rsidRDefault="00D10C58" w:rsidP="00D10C58">
      <w:pPr>
        <w:spacing w:before="240"/>
        <w:ind w:left="720"/>
        <w:rPr>
          <w:sz w:val="24"/>
          <w:szCs w:val="24"/>
          <w:lang w:val="en-GB"/>
        </w:rPr>
      </w:pPr>
    </w:p>
    <w:p w:rsidR="00867797" w:rsidRPr="009D5B67" w:rsidRDefault="00867797" w:rsidP="002A482F">
      <w:pPr>
        <w:pStyle w:val="Heading2"/>
        <w:numPr>
          <w:ilvl w:val="0"/>
          <w:numId w:val="0"/>
        </w:numPr>
        <w:rPr>
          <w:rFonts w:cs="Arial"/>
          <w:b w:val="0"/>
          <w:i w:val="0"/>
          <w:szCs w:val="24"/>
          <w:lang w:val="en-GB"/>
        </w:rPr>
      </w:pPr>
      <w:r w:rsidRPr="009D5B67">
        <w:rPr>
          <w:rFonts w:cs="Arial"/>
          <w:b w:val="0"/>
          <w:i w:val="0"/>
          <w:szCs w:val="24"/>
          <w:u w:val="single"/>
          <w:lang w:val="en-GB"/>
        </w:rPr>
        <w:t>Co-chairs:</w:t>
      </w:r>
      <w:r w:rsidRPr="009D5B67">
        <w:rPr>
          <w:rFonts w:cs="Arial"/>
          <w:b w:val="0"/>
          <w:i w:val="0"/>
          <w:szCs w:val="24"/>
          <w:lang w:val="en-GB"/>
        </w:rPr>
        <w:t xml:space="preserve">, Ton Van Andel </w:t>
      </w:r>
    </w:p>
    <w:p w:rsidR="00867797" w:rsidRPr="009D5B67" w:rsidRDefault="0031107F" w:rsidP="002A482F">
      <w:pPr>
        <w:pStyle w:val="Heading2"/>
        <w:numPr>
          <w:ilvl w:val="0"/>
          <w:numId w:val="0"/>
        </w:numPr>
        <w:rPr>
          <w:rFonts w:cs="Arial"/>
          <w:b w:val="0"/>
          <w:i w:val="0"/>
          <w:szCs w:val="24"/>
          <w:lang w:val="en-GB"/>
        </w:rPr>
      </w:pPr>
      <w:r>
        <w:rPr>
          <w:rFonts w:cs="Arial"/>
          <w:b w:val="0"/>
          <w:i w:val="0"/>
          <w:szCs w:val="24"/>
          <w:u w:val="single"/>
          <w:lang w:val="en-GB"/>
        </w:rPr>
        <w:t>Facilitator</w:t>
      </w:r>
      <w:r w:rsidR="00196F68">
        <w:rPr>
          <w:rFonts w:cs="Arial"/>
          <w:b w:val="0"/>
          <w:i w:val="0"/>
          <w:szCs w:val="24"/>
          <w:u w:val="single"/>
          <w:lang w:val="en-GB"/>
        </w:rPr>
        <w:t>s</w:t>
      </w:r>
      <w:r>
        <w:rPr>
          <w:rFonts w:cs="Arial"/>
          <w:b w:val="0"/>
          <w:i w:val="0"/>
          <w:szCs w:val="24"/>
          <w:u w:val="single"/>
          <w:lang w:val="en-GB"/>
        </w:rPr>
        <w:t>:</w:t>
      </w:r>
      <w:r w:rsidRPr="0031107F">
        <w:rPr>
          <w:rFonts w:cs="Arial"/>
          <w:b w:val="0"/>
          <w:i w:val="0"/>
          <w:szCs w:val="24"/>
          <w:lang w:val="en-GB"/>
        </w:rPr>
        <w:t xml:space="preserve"> </w:t>
      </w:r>
      <w:r w:rsidR="00196F68">
        <w:rPr>
          <w:rFonts w:cs="Arial"/>
          <w:b w:val="0"/>
          <w:i w:val="0"/>
          <w:szCs w:val="24"/>
          <w:lang w:val="en-GB"/>
        </w:rPr>
        <w:t>Jason Brasile / Armin Borries / Alex Kech</w:t>
      </w:r>
      <w:r w:rsidRPr="0031107F">
        <w:rPr>
          <w:rFonts w:cs="Arial"/>
          <w:b w:val="0"/>
          <w:i w:val="0"/>
          <w:szCs w:val="24"/>
          <w:u w:val="single"/>
          <w:lang w:val="en-GB"/>
        </w:rPr>
        <w:t xml:space="preserve"> </w:t>
      </w:r>
    </w:p>
    <w:p w:rsidR="00196F68" w:rsidRDefault="00196F68" w:rsidP="00DE2F9C">
      <w:pPr>
        <w:spacing w:before="240"/>
        <w:rPr>
          <w:b/>
          <w:sz w:val="32"/>
          <w:szCs w:val="32"/>
          <w:lang w:val="en-GB"/>
        </w:rPr>
      </w:pPr>
    </w:p>
    <w:p w:rsidR="00867797" w:rsidRDefault="00EE39EA" w:rsidP="00CE2C8C">
      <w:pPr>
        <w:pStyle w:val="Heading2"/>
        <w:numPr>
          <w:ilvl w:val="1"/>
          <w:numId w:val="4"/>
        </w:numPr>
        <w:rPr>
          <w:rFonts w:cs="Arial"/>
          <w:lang w:val="en-GB"/>
        </w:rPr>
      </w:pPr>
      <w:r>
        <w:rPr>
          <w:rFonts w:cs="Arial"/>
          <w:lang w:val="en-GB"/>
        </w:rPr>
        <w:t>Countries represented</w:t>
      </w:r>
    </w:p>
    <w:p w:rsidR="00867797" w:rsidRPr="002A482F" w:rsidRDefault="00867797" w:rsidP="002A482F">
      <w:pPr>
        <w:pStyle w:val="BlockText"/>
        <w:rPr>
          <w:lang w:val="en-GB"/>
        </w:rPr>
      </w:pPr>
    </w:p>
    <w:tbl>
      <w:tblPr>
        <w:tblW w:w="10575" w:type="dxa"/>
        <w:tblLook w:val="00A0" w:firstRow="1" w:lastRow="0" w:firstColumn="1" w:lastColumn="0" w:noHBand="0" w:noVBand="0"/>
      </w:tblPr>
      <w:tblGrid>
        <w:gridCol w:w="2560"/>
        <w:gridCol w:w="4560"/>
        <w:gridCol w:w="3455"/>
      </w:tblGrid>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Brett Kotze (BK)</w:t>
            </w:r>
          </w:p>
        </w:tc>
        <w:tc>
          <w:tcPr>
            <w:tcW w:w="4560" w:type="dxa"/>
            <w:tcBorders>
              <w:top w:val="nil"/>
              <w:left w:val="nil"/>
              <w:bottom w:val="nil"/>
              <w:right w:val="nil"/>
            </w:tcBorders>
            <w:noWrap/>
            <w:vAlign w:val="bottom"/>
          </w:tcPr>
          <w:p w:rsidR="00CE2C8C" w:rsidRPr="006C202B" w:rsidRDefault="008A7BC3" w:rsidP="00A234BE">
            <w:pPr>
              <w:rPr>
                <w:rFonts w:ascii="Calibri" w:hAnsi="Calibri"/>
                <w:color w:val="0000FF"/>
                <w:u w:val="single"/>
                <w:lang w:eastAsia="en-GB"/>
              </w:rPr>
            </w:pPr>
            <w:hyperlink r:id="rId9" w:history="1">
              <w:r w:rsidR="00CE2C8C" w:rsidRPr="006C202B">
                <w:rPr>
                  <w:rFonts w:ascii="Calibri" w:hAnsi="Calibri"/>
                  <w:color w:val="0000FF"/>
                  <w:u w:val="single"/>
                  <w:lang w:eastAsia="en-GB"/>
                </w:rPr>
                <w:t>Brettk@jse.co.za</w:t>
              </w:r>
            </w:hyperlink>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South Africa</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 xml:space="preserve">Elena Solovyeva (ES) </w:t>
            </w:r>
          </w:p>
        </w:tc>
        <w:tc>
          <w:tcPr>
            <w:tcW w:w="4560" w:type="dxa"/>
            <w:tcBorders>
              <w:top w:val="nil"/>
              <w:left w:val="nil"/>
              <w:bottom w:val="nil"/>
              <w:right w:val="nil"/>
            </w:tcBorders>
            <w:noWrap/>
            <w:vAlign w:val="bottom"/>
          </w:tcPr>
          <w:p w:rsidR="00CE2C8C" w:rsidRPr="006C202B" w:rsidRDefault="008A7BC3" w:rsidP="00A234BE">
            <w:pPr>
              <w:rPr>
                <w:rFonts w:ascii="Calibri" w:hAnsi="Calibri"/>
                <w:color w:val="0000FF"/>
                <w:u w:val="single"/>
                <w:lang w:eastAsia="en-GB"/>
              </w:rPr>
            </w:pPr>
            <w:hyperlink r:id="rId10" w:history="1">
              <w:r w:rsidR="00CE2C8C" w:rsidRPr="006C202B">
                <w:rPr>
                  <w:rFonts w:ascii="Calibri" w:hAnsi="Calibri"/>
                  <w:color w:val="0000FF"/>
                  <w:u w:val="single"/>
                  <w:lang w:eastAsia="en-GB"/>
                </w:rPr>
                <w:t>Solovyeva@ndc.ru</w:t>
              </w:r>
            </w:hyperlink>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smartTag w:uri="urn:schemas-microsoft-com:office:smarttags" w:element="place">
              <w:smartTag w:uri="urn:schemas-microsoft-com:office:smarttags" w:element="country-region">
                <w:r w:rsidRPr="006C202B">
                  <w:rPr>
                    <w:rFonts w:ascii="Calibri" w:hAnsi="Calibri"/>
                    <w:color w:val="000000"/>
                    <w:lang w:eastAsia="en-GB"/>
                  </w:rPr>
                  <w:t>Russia</w:t>
                </w:r>
              </w:smartTag>
            </w:smartTag>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Ton van Andel (TA)</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 xml:space="preserve">ton.van.andel@nl.abnamro.com </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smartTag w:uri="urn:schemas-microsoft-com:office:smarttags" w:element="place">
              <w:smartTag w:uri="urn:schemas-microsoft-com:office:smarttags" w:element="country-region">
                <w:r w:rsidRPr="006C202B">
                  <w:rPr>
                    <w:rFonts w:ascii="Calibri" w:hAnsi="Calibri"/>
                    <w:color w:val="000000"/>
                    <w:lang w:eastAsia="en-GB"/>
                  </w:rPr>
                  <w:t>Netherlands</w:t>
                </w:r>
              </w:smartTag>
            </w:smartTag>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Alex Kech (AK)</w:t>
            </w:r>
          </w:p>
        </w:tc>
        <w:tc>
          <w:tcPr>
            <w:tcW w:w="4560" w:type="dxa"/>
            <w:tcBorders>
              <w:top w:val="nil"/>
              <w:left w:val="nil"/>
              <w:bottom w:val="nil"/>
              <w:right w:val="nil"/>
            </w:tcBorders>
            <w:noWrap/>
            <w:vAlign w:val="bottom"/>
          </w:tcPr>
          <w:p w:rsidR="00CE2C8C" w:rsidRPr="006C202B" w:rsidRDefault="008A7BC3" w:rsidP="00A234BE">
            <w:pPr>
              <w:rPr>
                <w:rFonts w:ascii="Calibri" w:hAnsi="Calibri"/>
                <w:color w:val="0000FF"/>
                <w:u w:val="single"/>
                <w:lang w:eastAsia="en-GB"/>
              </w:rPr>
            </w:pPr>
            <w:hyperlink r:id="rId11" w:history="1">
              <w:r w:rsidR="00CE2C8C" w:rsidRPr="006C202B">
                <w:rPr>
                  <w:rStyle w:val="Hyperlink"/>
                  <w:rFonts w:ascii="Calibri" w:hAnsi="Calibri"/>
                  <w:lang w:eastAsia="en-GB"/>
                </w:rPr>
                <w:t>Alexandre.kech@swift.com</w:t>
              </w:r>
            </w:hyperlink>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Swift</w:t>
            </w:r>
          </w:p>
        </w:tc>
      </w:tr>
      <w:tr w:rsidR="00CE2C8C" w:rsidRPr="006C202B" w:rsidTr="00A234BE">
        <w:trPr>
          <w:trHeight w:val="300"/>
        </w:trPr>
        <w:tc>
          <w:tcPr>
            <w:tcW w:w="2560" w:type="dxa"/>
            <w:tcBorders>
              <w:top w:val="nil"/>
              <w:left w:val="nil"/>
              <w:bottom w:val="nil"/>
              <w:right w:val="nil"/>
            </w:tcBorders>
            <w:noWrap/>
            <w:vAlign w:val="bottom"/>
          </w:tcPr>
          <w:p w:rsidR="00CE2C8C" w:rsidRPr="00D95661" w:rsidRDefault="00CE2C8C" w:rsidP="00A234BE">
            <w:pPr>
              <w:rPr>
                <w:rFonts w:ascii="Calibri" w:hAnsi="Calibri"/>
                <w:strike/>
                <w:color w:val="000000"/>
                <w:lang w:eastAsia="en-GB"/>
              </w:rPr>
            </w:pPr>
            <w:r w:rsidRPr="00D95661">
              <w:rPr>
                <w:rFonts w:ascii="Calibri" w:hAnsi="Calibri"/>
                <w:strike/>
                <w:color w:val="000000"/>
                <w:lang w:eastAsia="en-GB"/>
              </w:rPr>
              <w:t>Jason Brasile (JB)</w:t>
            </w:r>
          </w:p>
        </w:tc>
        <w:tc>
          <w:tcPr>
            <w:tcW w:w="4560" w:type="dxa"/>
            <w:tcBorders>
              <w:top w:val="nil"/>
              <w:left w:val="nil"/>
              <w:bottom w:val="nil"/>
              <w:right w:val="nil"/>
            </w:tcBorders>
            <w:noWrap/>
            <w:vAlign w:val="bottom"/>
          </w:tcPr>
          <w:p w:rsidR="00CE2C8C" w:rsidRPr="00D95661" w:rsidRDefault="008A7BC3" w:rsidP="00A234BE">
            <w:pPr>
              <w:rPr>
                <w:rFonts w:ascii="Calibri" w:hAnsi="Calibri"/>
                <w:strike/>
                <w:color w:val="0000FF"/>
                <w:u w:val="single"/>
                <w:lang w:eastAsia="en-GB"/>
              </w:rPr>
            </w:pPr>
            <w:hyperlink r:id="rId12" w:history="1">
              <w:r w:rsidR="00CE2C8C" w:rsidRPr="00D95661">
                <w:rPr>
                  <w:rFonts w:ascii="Calibri" w:hAnsi="Calibri"/>
                  <w:strike/>
                  <w:color w:val="0000FF"/>
                  <w:u w:val="single"/>
                  <w:lang w:eastAsia="en-GB"/>
                </w:rPr>
                <w:t>Jbrasile@statestreet.com</w:t>
              </w:r>
            </w:hyperlink>
          </w:p>
        </w:tc>
        <w:tc>
          <w:tcPr>
            <w:tcW w:w="3455" w:type="dxa"/>
            <w:tcBorders>
              <w:top w:val="nil"/>
              <w:left w:val="nil"/>
              <w:bottom w:val="nil"/>
              <w:right w:val="nil"/>
            </w:tcBorders>
            <w:noWrap/>
            <w:vAlign w:val="bottom"/>
          </w:tcPr>
          <w:p w:rsidR="00CE2C8C" w:rsidRPr="00D95661" w:rsidRDefault="00CE2C8C" w:rsidP="00A234BE">
            <w:pPr>
              <w:rPr>
                <w:rFonts w:ascii="Calibri" w:hAnsi="Calibri"/>
                <w:color w:val="000000"/>
                <w:lang w:eastAsia="en-GB"/>
              </w:rPr>
            </w:pPr>
            <w:r w:rsidRPr="00D95661">
              <w:rPr>
                <w:rFonts w:ascii="Calibri" w:hAnsi="Calibri"/>
                <w:strike/>
                <w:color w:val="000000"/>
                <w:lang w:eastAsia="en-GB"/>
              </w:rPr>
              <w:t>US / ISITC</w:t>
            </w:r>
            <w:r>
              <w:rPr>
                <w:rFonts w:ascii="Calibri" w:hAnsi="Calibri"/>
                <w:color w:val="000000"/>
                <w:lang w:eastAsia="en-GB"/>
              </w:rPr>
              <w:t xml:space="preserve"> </w:t>
            </w:r>
            <w:r w:rsidRPr="005B50F8">
              <w:rPr>
                <w:rFonts w:ascii="Calibri" w:hAnsi="Calibri"/>
                <w:i/>
                <w:color w:val="000000"/>
                <w:lang w:eastAsia="en-GB"/>
              </w:rPr>
              <w:t>not able to attend</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Armin Borries (AB)</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Armin.borris@clearstream.com</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Germany</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Taketoshi Mori</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Taketoshi_mori@mufg.jp</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Japan</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Marco Santos</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msantos@gruposantander.com</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Spain</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Marcin Zawistowski</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Pr>
                <w:rFonts w:ascii="Tahoma" w:eastAsia="Gulim" w:hAnsi="Tahoma" w:cs="Tahoma"/>
                <w:sz w:val="20"/>
                <w:lang w:eastAsia="ko-KR"/>
              </w:rPr>
              <w:t>'marcin.Zawistowski@kdpw.pl</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Poland</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Anthony Sim</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ANTHONY.SIM@SC.COM</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Singapore</w:t>
            </w:r>
          </w:p>
        </w:tc>
      </w:tr>
      <w:tr w:rsidR="00CE2C8C" w:rsidRPr="006C202B" w:rsidTr="00A234BE">
        <w:trPr>
          <w:trHeight w:val="300"/>
        </w:trPr>
        <w:tc>
          <w:tcPr>
            <w:tcW w:w="2560" w:type="dxa"/>
            <w:tcBorders>
              <w:top w:val="nil"/>
              <w:left w:val="nil"/>
              <w:bottom w:val="nil"/>
              <w:right w:val="nil"/>
            </w:tcBorders>
            <w:noWrap/>
            <w:vAlign w:val="bottom"/>
          </w:tcPr>
          <w:p w:rsidR="00CE2C8C" w:rsidRPr="00D95661" w:rsidRDefault="00CE2C8C" w:rsidP="00A234BE">
            <w:pPr>
              <w:rPr>
                <w:rFonts w:ascii="Calibri" w:hAnsi="Calibri"/>
                <w:strike/>
                <w:color w:val="000000"/>
                <w:lang w:eastAsia="en-GB"/>
              </w:rPr>
            </w:pPr>
            <w:r w:rsidRPr="00D95661">
              <w:rPr>
                <w:rFonts w:ascii="Calibri" w:hAnsi="Calibri"/>
                <w:strike/>
                <w:color w:val="000000"/>
                <w:lang w:eastAsia="en-GB"/>
              </w:rPr>
              <w:t>Layla Lee</w:t>
            </w:r>
          </w:p>
        </w:tc>
        <w:tc>
          <w:tcPr>
            <w:tcW w:w="4560" w:type="dxa"/>
            <w:tcBorders>
              <w:top w:val="nil"/>
              <w:left w:val="nil"/>
              <w:bottom w:val="nil"/>
              <w:right w:val="nil"/>
            </w:tcBorders>
            <w:noWrap/>
            <w:vAlign w:val="bottom"/>
          </w:tcPr>
          <w:p w:rsidR="00CE2C8C" w:rsidRPr="00D95661" w:rsidRDefault="00CE2C8C" w:rsidP="00A234BE">
            <w:pPr>
              <w:rPr>
                <w:rFonts w:ascii="Calibri" w:hAnsi="Calibri"/>
                <w:strike/>
                <w:color w:val="000000"/>
                <w:lang w:eastAsia="en-GB"/>
              </w:rPr>
            </w:pPr>
            <w:r w:rsidRPr="00D95661">
              <w:rPr>
                <w:rFonts w:ascii="Calibri" w:hAnsi="Calibri"/>
                <w:strike/>
                <w:color w:val="000000"/>
                <w:lang w:eastAsia="en-GB"/>
              </w:rPr>
              <w:t>Layla.HJ.Lee@sc.com</w:t>
            </w:r>
          </w:p>
        </w:tc>
        <w:tc>
          <w:tcPr>
            <w:tcW w:w="3455" w:type="dxa"/>
            <w:tcBorders>
              <w:top w:val="nil"/>
              <w:left w:val="nil"/>
              <w:bottom w:val="nil"/>
              <w:right w:val="nil"/>
            </w:tcBorders>
            <w:noWrap/>
            <w:vAlign w:val="bottom"/>
          </w:tcPr>
          <w:p w:rsidR="00CE2C8C" w:rsidRPr="00D95661" w:rsidRDefault="00CE2C8C" w:rsidP="00A234BE">
            <w:pPr>
              <w:rPr>
                <w:rFonts w:ascii="Calibri" w:hAnsi="Calibri"/>
                <w:color w:val="000000"/>
                <w:lang w:eastAsia="en-GB"/>
              </w:rPr>
            </w:pPr>
            <w:r w:rsidRPr="00D95661">
              <w:rPr>
                <w:rFonts w:ascii="Calibri" w:hAnsi="Calibri"/>
                <w:strike/>
                <w:color w:val="000000"/>
                <w:lang w:eastAsia="en-GB"/>
              </w:rPr>
              <w:t>Korea</w:t>
            </w:r>
            <w:r>
              <w:rPr>
                <w:rFonts w:ascii="Calibri" w:hAnsi="Calibri"/>
                <w:color w:val="000000"/>
                <w:lang w:eastAsia="en-GB"/>
              </w:rPr>
              <w:t xml:space="preserve">   </w:t>
            </w:r>
            <w:r w:rsidRPr="005B50F8">
              <w:rPr>
                <w:rFonts w:ascii="Calibri" w:hAnsi="Calibri"/>
                <w:i/>
                <w:color w:val="000000"/>
                <w:lang w:eastAsia="en-GB"/>
              </w:rPr>
              <w:t>attended CA</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Shinji Kawai</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Philippines</w:t>
            </w:r>
          </w:p>
        </w:tc>
      </w:tr>
      <w:tr w:rsidR="00CE2C8C" w:rsidRPr="006C202B" w:rsidTr="00A234BE">
        <w:trPr>
          <w:trHeight w:val="300"/>
        </w:trPr>
        <w:tc>
          <w:tcPr>
            <w:tcW w:w="2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Manan Chopra</w:t>
            </w:r>
          </w:p>
        </w:tc>
        <w:tc>
          <w:tcPr>
            <w:tcW w:w="4560"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mananchopra@hsbc.co.in</w:t>
            </w:r>
          </w:p>
        </w:tc>
        <w:tc>
          <w:tcPr>
            <w:tcW w:w="3455" w:type="dxa"/>
            <w:tcBorders>
              <w:top w:val="nil"/>
              <w:left w:val="nil"/>
              <w:bottom w:val="nil"/>
              <w:right w:val="nil"/>
            </w:tcBorders>
            <w:noWrap/>
            <w:vAlign w:val="bottom"/>
          </w:tcPr>
          <w:p w:rsidR="00CE2C8C" w:rsidRPr="006C202B" w:rsidRDefault="00CE2C8C" w:rsidP="00A234BE">
            <w:pPr>
              <w:rPr>
                <w:rFonts w:ascii="Calibri" w:hAnsi="Calibri"/>
                <w:color w:val="000000"/>
                <w:lang w:eastAsia="en-GB"/>
              </w:rPr>
            </w:pPr>
            <w:r w:rsidRPr="006C202B">
              <w:rPr>
                <w:rFonts w:ascii="Calibri" w:hAnsi="Calibri"/>
                <w:color w:val="000000"/>
                <w:lang w:eastAsia="en-GB"/>
              </w:rPr>
              <w:t>India</w:t>
            </w:r>
          </w:p>
        </w:tc>
      </w:tr>
    </w:tbl>
    <w:p w:rsidR="00CE2C8C" w:rsidRDefault="00CE2C8C" w:rsidP="00CE2C8C"/>
    <w:p w:rsidR="00CE2C8C" w:rsidRDefault="00CE2C8C" w:rsidP="00CE2C8C"/>
    <w:p w:rsidR="00CE2C8C" w:rsidRDefault="00CE2C8C" w:rsidP="00CE2C8C">
      <w:r>
        <w:t xml:space="preserve">Observers from Japan:  </w:t>
      </w:r>
    </w:p>
    <w:p w:rsidR="00CE2C8C" w:rsidRDefault="00CE2C8C" w:rsidP="00CE2C8C">
      <w:r>
        <w:t>Mr. Ishida (SMBC), Mr. Unno (JASDEC), Mr. Inui (ABMF), Ms Morita (BTMU), M. Morioka (Swift)</w:t>
      </w:r>
    </w:p>
    <w:p w:rsidR="00CE2C8C" w:rsidRDefault="00CE2C8C" w:rsidP="00CE2C8C"/>
    <w:p w:rsidR="00CE2C8C" w:rsidRDefault="00CE2C8C" w:rsidP="00CE2C8C"/>
    <w:p w:rsidR="00CE2C8C" w:rsidRPr="00CE2C8C" w:rsidRDefault="00CE2C8C" w:rsidP="00CE2C8C">
      <w:pPr>
        <w:pStyle w:val="Heading2"/>
        <w:numPr>
          <w:ilvl w:val="1"/>
          <w:numId w:val="4"/>
        </w:numPr>
        <w:rPr>
          <w:rFonts w:cs="Arial"/>
          <w:lang w:val="en-GB"/>
        </w:rPr>
      </w:pPr>
      <w:r w:rsidRPr="00CE2C8C">
        <w:rPr>
          <w:rFonts w:cs="Arial"/>
          <w:lang w:val="en-GB"/>
        </w:rPr>
        <w:t>Meeting Minutes</w:t>
      </w:r>
    </w:p>
    <w:p w:rsidR="00CE2C8C" w:rsidRDefault="00CE2C8C" w:rsidP="00CE2C8C"/>
    <w:p w:rsidR="00CE2C8C" w:rsidRDefault="00CE2C8C" w:rsidP="00CE2C8C">
      <w:pPr>
        <w:rPr>
          <w:u w:val="single"/>
        </w:rPr>
      </w:pPr>
      <w:r w:rsidRPr="00D95661">
        <w:rPr>
          <w:u w:val="single"/>
        </w:rPr>
        <w:t xml:space="preserve">Nov. </w:t>
      </w:r>
      <w:r w:rsidR="008A7BC3">
        <w:rPr>
          <w:u w:val="single"/>
        </w:rPr>
        <w:t>5</w:t>
      </w:r>
      <w:r w:rsidRPr="00D95661">
        <w:rPr>
          <w:u w:val="single"/>
        </w:rPr>
        <w:t>, 2012 (Started after the opening by Karla, the general sessions and lunch), 14:00 – 15:15</w:t>
      </w:r>
    </w:p>
    <w:p w:rsidR="00CE2C8C" w:rsidRDefault="00CE2C8C" w:rsidP="00CE2C8C">
      <w:pPr>
        <w:rPr>
          <w:u w:val="single"/>
        </w:rPr>
      </w:pPr>
    </w:p>
    <w:p w:rsidR="00CE2C8C" w:rsidRPr="00D95661" w:rsidRDefault="00CE2C8C" w:rsidP="00CE2C8C">
      <w:pPr>
        <w:pStyle w:val="ListParagraph"/>
        <w:numPr>
          <w:ilvl w:val="0"/>
          <w:numId w:val="15"/>
        </w:numPr>
        <w:spacing w:after="200"/>
        <w:contextualSpacing/>
        <w:rPr>
          <w:lang w:val="en-US"/>
        </w:rPr>
      </w:pPr>
      <w:r w:rsidRPr="00D95661">
        <w:rPr>
          <w:lang w:val="en-US"/>
        </w:rPr>
        <w:t>Updates from Russia and Poland</w:t>
      </w:r>
    </w:p>
    <w:p w:rsidR="00CE2C8C" w:rsidRDefault="00CE2C8C" w:rsidP="00CE2C8C">
      <w:pPr>
        <w:pStyle w:val="ListParagraph"/>
        <w:numPr>
          <w:ilvl w:val="0"/>
          <w:numId w:val="14"/>
        </w:numPr>
        <w:spacing w:after="200"/>
        <w:contextualSpacing/>
        <w:rPr>
          <w:lang w:val="en-US"/>
        </w:rPr>
      </w:pPr>
      <w:r w:rsidRPr="00D95661">
        <w:rPr>
          <w:lang w:val="en-US"/>
        </w:rPr>
        <w:t xml:space="preserve">Russia:  </w:t>
      </w:r>
      <w:r>
        <w:rPr>
          <w:lang w:val="en-US"/>
        </w:rPr>
        <w:t>M</w:t>
      </w:r>
      <w:r w:rsidRPr="00D95661">
        <w:rPr>
          <w:lang w:val="en-US"/>
        </w:rPr>
        <w:t xml:space="preserve">erging </w:t>
      </w:r>
      <w:r>
        <w:rPr>
          <w:lang w:val="en-US"/>
        </w:rPr>
        <w:t xml:space="preserve">of 2 CSDs ongoing.  Registration functions will stay with CSD.  Operations of 2 depositories will be transferred.   Nominee a/c can be opened after the establishment of a central depository.  </w:t>
      </w:r>
    </w:p>
    <w:p w:rsidR="00CE2C8C" w:rsidRDefault="00CE2C8C" w:rsidP="00CE2C8C">
      <w:pPr>
        <w:pStyle w:val="ListParagraph"/>
        <w:rPr>
          <w:lang w:val="en-US"/>
        </w:rPr>
      </w:pPr>
      <w:r>
        <w:rPr>
          <w:lang w:val="en-US"/>
        </w:rPr>
        <w:t xml:space="preserve">After the merger, only CSD will serve all transactions as well as the central depository for registries (no need to go to registrars).  </w:t>
      </w:r>
    </w:p>
    <w:p w:rsidR="00CE2C8C" w:rsidRDefault="00CE2C8C" w:rsidP="00CE2C8C">
      <w:pPr>
        <w:pStyle w:val="ListParagraph"/>
        <w:rPr>
          <w:lang w:val="en-US"/>
        </w:rPr>
      </w:pPr>
      <w:r>
        <w:rPr>
          <w:lang w:val="en-US"/>
        </w:rPr>
        <w:t xml:space="preserve">Any nominee needs to disclose the beneficial owners under the new CSD.  </w:t>
      </w:r>
    </w:p>
    <w:p w:rsidR="00CE2C8C" w:rsidRDefault="00CE2C8C" w:rsidP="00CE2C8C">
      <w:pPr>
        <w:pStyle w:val="ListParagraph"/>
        <w:rPr>
          <w:lang w:val="en-US"/>
        </w:rPr>
      </w:pPr>
      <w:r>
        <w:rPr>
          <w:lang w:val="en-US"/>
        </w:rPr>
        <w:lastRenderedPageBreak/>
        <w:t xml:space="preserve">Waiting for the formal approval by the central bank,  until the end of the year.  </w:t>
      </w:r>
    </w:p>
    <w:p w:rsidR="00CE2C8C" w:rsidRPr="000A5DDE" w:rsidRDefault="00CE2C8C" w:rsidP="00CE2C8C">
      <w:pPr>
        <w:pStyle w:val="ListParagraph"/>
        <w:rPr>
          <w:lang w:val="en-US"/>
        </w:rPr>
      </w:pPr>
      <w:r>
        <w:rPr>
          <w:lang w:val="en-US"/>
        </w:rPr>
        <w:t xml:space="preserve">Disclosure is also a big subject in Russia (for example, for CA) – full </w:t>
      </w:r>
      <w:r w:rsidRPr="000A5DDE">
        <w:rPr>
          <w:lang w:val="en-US"/>
        </w:rPr>
        <w:t>disclosure of the benefici</w:t>
      </w:r>
      <w:r>
        <w:rPr>
          <w:lang w:val="en-US"/>
        </w:rPr>
        <w:t>al owner will be enabled under the new system</w:t>
      </w:r>
      <w:r w:rsidRPr="000A5DDE">
        <w:rPr>
          <w:lang w:val="en-US"/>
        </w:rPr>
        <w:t xml:space="preserve">.  </w:t>
      </w:r>
    </w:p>
    <w:p w:rsidR="00CE2C8C" w:rsidRPr="000A5DDE" w:rsidRDefault="00CE2C8C" w:rsidP="00CE2C8C">
      <w:pPr>
        <w:pStyle w:val="ListParagraph"/>
        <w:numPr>
          <w:ilvl w:val="0"/>
          <w:numId w:val="9"/>
        </w:numPr>
        <w:spacing w:after="200"/>
        <w:contextualSpacing/>
        <w:rPr>
          <w:lang w:val="en-US"/>
        </w:rPr>
      </w:pPr>
      <w:r>
        <w:rPr>
          <w:lang w:val="en-US"/>
        </w:rPr>
        <w:t xml:space="preserve">Poland:  </w:t>
      </w:r>
      <w:r w:rsidRPr="000A5DDE">
        <w:rPr>
          <w:lang w:val="en-US"/>
        </w:rPr>
        <w:t xml:space="preserve">CCP is a separate company, but linked together.  Support CCP part as well as </w:t>
      </w:r>
      <w:r>
        <w:rPr>
          <w:lang w:val="en-US"/>
        </w:rPr>
        <w:t xml:space="preserve">the </w:t>
      </w:r>
      <w:r w:rsidRPr="000A5DDE">
        <w:rPr>
          <w:lang w:val="en-US"/>
        </w:rPr>
        <w:t xml:space="preserve">depository.  Stock exchange </w:t>
      </w:r>
      <w:r>
        <w:rPr>
          <w:lang w:val="en-US"/>
        </w:rPr>
        <w:t>will</w:t>
      </w:r>
      <w:r w:rsidRPr="000A5DDE">
        <w:rPr>
          <w:lang w:val="en-US"/>
        </w:rPr>
        <w:t xml:space="preserve"> implement new technology – UTP system like NY.  </w:t>
      </w:r>
      <w:r>
        <w:rPr>
          <w:lang w:val="en-US"/>
        </w:rPr>
        <w:t xml:space="preserve">It will become live in December (but </w:t>
      </w:r>
      <w:r w:rsidRPr="000A5DDE">
        <w:rPr>
          <w:lang w:val="en-US"/>
        </w:rPr>
        <w:t>not yet fixed</w:t>
      </w:r>
      <w:r>
        <w:rPr>
          <w:lang w:val="en-US"/>
        </w:rPr>
        <w:t>).  The timing d</w:t>
      </w:r>
      <w:r w:rsidRPr="000A5DDE">
        <w:rPr>
          <w:lang w:val="en-US"/>
        </w:rPr>
        <w:t xml:space="preserve">epends on the </w:t>
      </w:r>
      <w:r>
        <w:rPr>
          <w:lang w:val="en-US"/>
        </w:rPr>
        <w:t>outcome of the ongoing test &amp; training</w:t>
      </w:r>
      <w:r w:rsidRPr="000A5DDE">
        <w:rPr>
          <w:lang w:val="en-US"/>
        </w:rPr>
        <w:t xml:space="preserve">.  </w:t>
      </w:r>
    </w:p>
    <w:p w:rsidR="00CE2C8C" w:rsidRDefault="00CE2C8C" w:rsidP="00CE2C8C">
      <w:pPr>
        <w:pStyle w:val="ListParagraph"/>
        <w:rPr>
          <w:lang w:val="en-US"/>
        </w:rPr>
      </w:pPr>
      <w:r>
        <w:rPr>
          <w:lang w:val="en-US"/>
        </w:rPr>
        <w:t xml:space="preserve">A registry for OTC trade will be opened as a preliminary solution.  LEI is not finalized as well as other issues, therefore, this is only a preliminary solution.  Free of charge until end of the year.  </w:t>
      </w:r>
    </w:p>
    <w:p w:rsidR="00CE2C8C" w:rsidRDefault="00CE2C8C" w:rsidP="00CE2C8C">
      <w:pPr>
        <w:pStyle w:val="ListParagraph"/>
        <w:rPr>
          <w:lang w:val="en-US"/>
        </w:rPr>
      </w:pPr>
      <w:r>
        <w:rPr>
          <w:lang w:val="en-US"/>
        </w:rPr>
        <w:t>Omnibus account is coming up this year as well.  (Did not exist in the past and was a barrier for the foreign investors and foreign CSDs)</w:t>
      </w:r>
    </w:p>
    <w:p w:rsidR="00CE2C8C" w:rsidRDefault="00CE2C8C" w:rsidP="00CE2C8C"/>
    <w:p w:rsidR="00CE2C8C" w:rsidRPr="000A5DDE" w:rsidRDefault="00CE2C8C" w:rsidP="00CE2C8C">
      <w:pPr>
        <w:pStyle w:val="ListParagraph"/>
        <w:numPr>
          <w:ilvl w:val="0"/>
          <w:numId w:val="15"/>
        </w:numPr>
        <w:spacing w:after="200"/>
        <w:contextualSpacing/>
        <w:rPr>
          <w:lang w:val="en-US"/>
        </w:rPr>
      </w:pPr>
      <w:r w:rsidRPr="000A5DDE">
        <w:rPr>
          <w:lang w:val="en-US"/>
        </w:rPr>
        <w:t>Granularit</w:t>
      </w:r>
      <w:r>
        <w:rPr>
          <w:lang w:val="en-US"/>
        </w:rPr>
        <w:t xml:space="preserve">y of the market practice on </w:t>
      </w:r>
      <w:r w:rsidRPr="000A5DDE">
        <w:rPr>
          <w:lang w:val="en-US"/>
        </w:rPr>
        <w:t>MyStandards</w:t>
      </w:r>
    </w:p>
    <w:p w:rsidR="00CE2C8C" w:rsidRDefault="00CE2C8C" w:rsidP="00CE2C8C">
      <w:pPr>
        <w:pStyle w:val="ListParagraph"/>
        <w:numPr>
          <w:ilvl w:val="0"/>
          <w:numId w:val="9"/>
        </w:numPr>
        <w:spacing w:after="200"/>
        <w:contextualSpacing/>
        <w:rPr>
          <w:lang w:val="en-US"/>
        </w:rPr>
      </w:pPr>
      <w:r>
        <w:rPr>
          <w:lang w:val="en-US"/>
        </w:rPr>
        <w:t xml:space="preserve">Russia:  How to show examples?  How to provide one comment linked to two different fields / different messages (across fields, across messages)?  </w:t>
      </w:r>
    </w:p>
    <w:p w:rsidR="00CE2C8C" w:rsidRDefault="00CE2C8C" w:rsidP="00CE2C8C">
      <w:pPr>
        <w:pStyle w:val="ListParagraph"/>
        <w:numPr>
          <w:ilvl w:val="0"/>
          <w:numId w:val="9"/>
        </w:numPr>
        <w:spacing w:after="200"/>
        <w:contextualSpacing/>
        <w:rPr>
          <w:lang w:val="en-US"/>
        </w:rPr>
      </w:pPr>
      <w:r>
        <w:rPr>
          <w:lang w:val="en-US"/>
        </w:rPr>
        <w:t xml:space="preserve">(Germany):  Nice tool for guideline documentation, comparison, etc., but in case there is differences such as taxation, differences by type of asset, rules, etc.  How granular should they be documented / shown in MyStandards?   </w:t>
      </w:r>
    </w:p>
    <w:p w:rsidR="00CE2C8C" w:rsidRDefault="00CE2C8C" w:rsidP="00CE2C8C">
      <w:pPr>
        <w:pStyle w:val="ListParagraph"/>
        <w:numPr>
          <w:ilvl w:val="0"/>
          <w:numId w:val="9"/>
        </w:numPr>
        <w:spacing w:after="200"/>
        <w:contextualSpacing/>
        <w:rPr>
          <w:lang w:val="en-US"/>
        </w:rPr>
      </w:pPr>
      <w:r>
        <w:rPr>
          <w:lang w:val="en-US"/>
        </w:rPr>
        <w:t>Corrections on the rules required?</w:t>
      </w:r>
    </w:p>
    <w:p w:rsidR="00CE2C8C" w:rsidRDefault="00CE2C8C" w:rsidP="00CE2C8C">
      <w:pPr>
        <w:pStyle w:val="ListParagraph"/>
        <w:numPr>
          <w:ilvl w:val="0"/>
          <w:numId w:val="10"/>
        </w:numPr>
        <w:spacing w:after="200"/>
        <w:contextualSpacing/>
        <w:rPr>
          <w:lang w:val="en-US"/>
        </w:rPr>
      </w:pPr>
      <w:r>
        <w:rPr>
          <w:lang w:val="en-US"/>
        </w:rPr>
        <w:t>Seller/Buyer rule</w:t>
      </w:r>
    </w:p>
    <w:p w:rsidR="00CE2C8C" w:rsidRDefault="00CE2C8C" w:rsidP="00CE2C8C">
      <w:pPr>
        <w:pStyle w:val="ListParagraph"/>
        <w:numPr>
          <w:ilvl w:val="0"/>
          <w:numId w:val="10"/>
        </w:numPr>
        <w:spacing w:after="200"/>
        <w:contextualSpacing/>
        <w:rPr>
          <w:lang w:val="en-US"/>
        </w:rPr>
      </w:pPr>
      <w:r>
        <w:rPr>
          <w:lang w:val="en-US"/>
        </w:rPr>
        <w:t xml:space="preserve">Intermediary rule:  if seller/buyer is not a direct client of the DEAG /REAG…..  What would be the best description? General like above or specific per message type, e.g. for a receipt message: If seller is not a direct client of the DEAG ….. </w:t>
      </w:r>
    </w:p>
    <w:p w:rsidR="00CE2C8C" w:rsidRDefault="00CE2C8C" w:rsidP="00CE2C8C">
      <w:pPr>
        <w:pStyle w:val="ListParagraph"/>
        <w:numPr>
          <w:ilvl w:val="0"/>
          <w:numId w:val="10"/>
        </w:numPr>
        <w:spacing w:after="200"/>
        <w:contextualSpacing/>
        <w:rPr>
          <w:lang w:val="en-US"/>
        </w:rPr>
      </w:pPr>
      <w:r>
        <w:rPr>
          <w:lang w:val="en-US"/>
        </w:rPr>
        <w:t xml:space="preserve">Currently they are described for MT but in the future it will be MX (representations of the parties differ – DEAG, REAG, SELL, BUYR vs Party 1, Party 2, etc.)  </w:t>
      </w:r>
    </w:p>
    <w:p w:rsidR="00CE2C8C" w:rsidRDefault="00CE2C8C" w:rsidP="00CE2C8C">
      <w:pPr>
        <w:pStyle w:val="ListParagraph"/>
        <w:numPr>
          <w:ilvl w:val="0"/>
          <w:numId w:val="9"/>
        </w:numPr>
        <w:spacing w:after="200"/>
        <w:contextualSpacing/>
        <w:rPr>
          <w:lang w:val="en-US"/>
        </w:rPr>
      </w:pPr>
      <w:r w:rsidRPr="00D274FE">
        <w:rPr>
          <w:lang w:val="en-US"/>
        </w:rPr>
        <w:t xml:space="preserve">MyStandards should have what’s stated in the Common Element document – keep </w:t>
      </w:r>
      <w:r>
        <w:rPr>
          <w:lang w:val="en-US"/>
        </w:rPr>
        <w:t xml:space="preserve">current description to remain </w:t>
      </w:r>
      <w:r w:rsidRPr="00D274FE">
        <w:rPr>
          <w:lang w:val="en-US"/>
        </w:rPr>
        <w:t>consisten</w:t>
      </w:r>
      <w:r>
        <w:rPr>
          <w:lang w:val="en-US"/>
        </w:rPr>
        <w:t>t</w:t>
      </w:r>
      <w:r w:rsidRPr="00D274FE">
        <w:rPr>
          <w:lang w:val="en-US"/>
        </w:rPr>
        <w:t xml:space="preserve"> with existing SMPG documents.  </w:t>
      </w:r>
    </w:p>
    <w:p w:rsidR="00CE2C8C" w:rsidRPr="005B50F8" w:rsidRDefault="00CE2C8C" w:rsidP="00CE2C8C">
      <w:pPr>
        <w:pStyle w:val="ListParagraph"/>
        <w:spacing w:after="200"/>
        <w:contextualSpacing/>
        <w:rPr>
          <w:lang w:val="en-US"/>
        </w:rPr>
      </w:pPr>
    </w:p>
    <w:p w:rsidR="00CE2C8C" w:rsidRPr="00D274FE" w:rsidRDefault="00CE2C8C" w:rsidP="00CE2C8C">
      <w:pPr>
        <w:pStyle w:val="ListParagraph"/>
        <w:numPr>
          <w:ilvl w:val="0"/>
          <w:numId w:val="15"/>
        </w:numPr>
        <w:spacing w:after="200"/>
        <w:contextualSpacing/>
        <w:rPr>
          <w:lang w:val="en-US"/>
        </w:rPr>
      </w:pPr>
      <w:r w:rsidRPr="00D274FE">
        <w:rPr>
          <w:lang w:val="en-US"/>
        </w:rPr>
        <w:t xml:space="preserve">Trade date in 10 common elements:  </w:t>
      </w:r>
    </w:p>
    <w:p w:rsidR="00CE2C8C" w:rsidRDefault="00CE2C8C" w:rsidP="00CE2C8C">
      <w:pPr>
        <w:pStyle w:val="ListParagraph"/>
        <w:numPr>
          <w:ilvl w:val="0"/>
          <w:numId w:val="11"/>
        </w:numPr>
        <w:spacing w:after="200"/>
        <w:contextualSpacing/>
        <w:rPr>
          <w:lang w:val="en-US"/>
        </w:rPr>
      </w:pPr>
      <w:r>
        <w:rPr>
          <w:lang w:val="en-US"/>
        </w:rPr>
        <w:t xml:space="preserve">Trade date should be “mandatory” in the common element – same information required in MyStandards.  </w:t>
      </w:r>
    </w:p>
    <w:p w:rsidR="00CE2C8C" w:rsidRPr="00D274FE" w:rsidRDefault="00CE2C8C" w:rsidP="00CE2C8C">
      <w:pPr>
        <w:pStyle w:val="ListParagraph"/>
        <w:numPr>
          <w:ilvl w:val="0"/>
          <w:numId w:val="11"/>
        </w:numPr>
        <w:spacing w:after="200"/>
        <w:contextualSpacing/>
        <w:rPr>
          <w:lang w:val="en-US"/>
        </w:rPr>
      </w:pPr>
      <w:r>
        <w:rPr>
          <w:lang w:val="en-US"/>
        </w:rPr>
        <w:t xml:space="preserve">ABMF:  </w:t>
      </w:r>
      <w:r w:rsidRPr="00D274FE">
        <w:rPr>
          <w:lang w:val="en-US"/>
        </w:rPr>
        <w:t>However, in many markets, trade dates are not required.  Should it be really mandatory?</w:t>
      </w:r>
    </w:p>
    <w:p w:rsidR="00CE2C8C" w:rsidRDefault="00CE2C8C" w:rsidP="00CE2C8C">
      <w:pPr>
        <w:pStyle w:val="ListParagraph"/>
        <w:numPr>
          <w:ilvl w:val="0"/>
          <w:numId w:val="10"/>
        </w:numPr>
        <w:spacing w:after="200"/>
        <w:contextualSpacing/>
        <w:rPr>
          <w:lang w:val="en-US"/>
        </w:rPr>
      </w:pPr>
      <w:r>
        <w:rPr>
          <w:lang w:val="en-US"/>
        </w:rPr>
        <w:t>Add a note that it is not mandatory in some markets?  Or state in the national market practice mandatory / optional of the trade date?</w:t>
      </w:r>
    </w:p>
    <w:p w:rsidR="00CE2C8C" w:rsidRDefault="00CE2C8C" w:rsidP="00CE2C8C">
      <w:pPr>
        <w:pStyle w:val="ListParagraph"/>
        <w:numPr>
          <w:ilvl w:val="0"/>
          <w:numId w:val="10"/>
        </w:numPr>
        <w:spacing w:after="200"/>
        <w:contextualSpacing/>
        <w:rPr>
          <w:lang w:val="en-US"/>
        </w:rPr>
      </w:pPr>
      <w:r>
        <w:rPr>
          <w:lang w:val="en-US"/>
        </w:rPr>
        <w:t xml:space="preserve">CA related settlement might require trade date / </w:t>
      </w:r>
      <w:r w:rsidRPr="00AB499C">
        <w:rPr>
          <w:lang w:val="en-US"/>
        </w:rPr>
        <w:t>Euroclear c</w:t>
      </w:r>
      <w:r>
        <w:rPr>
          <w:lang w:val="en-US"/>
        </w:rPr>
        <w:t xml:space="preserve">ompensation requires trade date:  Enables practical processing if there is a trade date. </w:t>
      </w:r>
    </w:p>
    <w:p w:rsidR="00CE2C8C" w:rsidRPr="00AB499C" w:rsidRDefault="00CE2C8C" w:rsidP="00CE2C8C">
      <w:pPr>
        <w:pStyle w:val="ListParagraph"/>
        <w:numPr>
          <w:ilvl w:val="0"/>
          <w:numId w:val="10"/>
        </w:numPr>
        <w:spacing w:after="200"/>
        <w:contextualSpacing/>
        <w:rPr>
          <w:lang w:val="en-US"/>
        </w:rPr>
      </w:pPr>
      <w:r>
        <w:rPr>
          <w:lang w:val="en-US"/>
        </w:rPr>
        <w:t xml:space="preserve">Conclusion:  Clarification on the NMPG document.   However, provide additional explanation on the “mandatory” trade date.  </w:t>
      </w:r>
    </w:p>
    <w:p w:rsidR="00CE2C8C" w:rsidRDefault="00CE2C8C" w:rsidP="00CE2C8C">
      <w:pPr>
        <w:pStyle w:val="ListParagraph"/>
        <w:numPr>
          <w:ilvl w:val="0"/>
          <w:numId w:val="11"/>
        </w:numPr>
        <w:spacing w:after="200"/>
        <w:contextualSpacing/>
        <w:rPr>
          <w:lang w:val="en-US"/>
        </w:rPr>
      </w:pPr>
      <w:r>
        <w:rPr>
          <w:lang w:val="en-US"/>
        </w:rPr>
        <w:t>Should the “time” be mandatory?  -  Time should be optional in the document.  Should be optional with “options” (not bind the type of representation of time)</w:t>
      </w:r>
    </w:p>
    <w:p w:rsidR="00CE2C8C" w:rsidRPr="00D274FE" w:rsidRDefault="00CE2C8C" w:rsidP="00CE2C8C">
      <w:pPr>
        <w:pStyle w:val="ListParagraph"/>
        <w:numPr>
          <w:ilvl w:val="0"/>
          <w:numId w:val="11"/>
        </w:numPr>
        <w:spacing w:after="200"/>
        <w:contextualSpacing/>
        <w:rPr>
          <w:lang w:val="en-US"/>
        </w:rPr>
      </w:pPr>
      <w:r>
        <w:rPr>
          <w:lang w:val="en-US"/>
        </w:rPr>
        <w:t xml:space="preserve">Germany:  Trade date may become mandatory (in ISO 20022 and 15022 S&amp;R messages) if it is required by majorities of markets / countries.  </w:t>
      </w:r>
    </w:p>
    <w:p w:rsidR="00CE2C8C" w:rsidRPr="00C74C15" w:rsidRDefault="00CE2C8C" w:rsidP="00CE2C8C">
      <w:pPr>
        <w:pStyle w:val="ListParagraph"/>
        <w:rPr>
          <w:lang w:val="en-US"/>
        </w:rPr>
      </w:pPr>
    </w:p>
    <w:p w:rsidR="00CE2C8C" w:rsidRPr="00D274FE" w:rsidRDefault="00CE2C8C" w:rsidP="00CE2C8C">
      <w:pPr>
        <w:rPr>
          <w:u w:val="single"/>
        </w:rPr>
      </w:pPr>
      <w:r w:rsidRPr="00D274FE">
        <w:rPr>
          <w:u w:val="single"/>
        </w:rPr>
        <w:t xml:space="preserve">Nov </w:t>
      </w:r>
      <w:r w:rsidR="008A7BC3">
        <w:rPr>
          <w:u w:val="single"/>
        </w:rPr>
        <w:t>6</w:t>
      </w:r>
      <w:r w:rsidRPr="00D274FE">
        <w:rPr>
          <w:u w:val="single"/>
        </w:rPr>
        <w:t>, 2012, 9:00 -10:45</w:t>
      </w:r>
    </w:p>
    <w:p w:rsidR="00CE2C8C" w:rsidRDefault="00CE2C8C" w:rsidP="00CE2C8C">
      <w:r>
        <w:t>Changes of the participants</w:t>
      </w:r>
    </w:p>
    <w:p w:rsidR="00CE2C8C" w:rsidRDefault="00CE2C8C" w:rsidP="00CE2C8C">
      <w:r>
        <w:t>Attendance of an additional observer:  Mr. Katayama, NRI</w:t>
      </w:r>
    </w:p>
    <w:p w:rsidR="00CE2C8C" w:rsidRDefault="00CE2C8C" w:rsidP="00CE2C8C">
      <w:r>
        <w:t xml:space="preserve">Ms </w:t>
      </w:r>
      <w:r w:rsidRPr="006C202B">
        <w:rPr>
          <w:rFonts w:ascii="Calibri" w:hAnsi="Calibri"/>
          <w:color w:val="000000"/>
          <w:lang w:eastAsia="en-GB"/>
        </w:rPr>
        <w:t>Solovyeva</w:t>
      </w:r>
      <w:r>
        <w:rPr>
          <w:rFonts w:ascii="Calibri" w:hAnsi="Calibri"/>
          <w:color w:val="000000"/>
          <w:lang w:eastAsia="en-GB"/>
        </w:rPr>
        <w:t xml:space="preserve"> attended CA session for Nov 5</w:t>
      </w:r>
    </w:p>
    <w:p w:rsidR="00CE2C8C" w:rsidRPr="00D274FE" w:rsidRDefault="00CE2C8C" w:rsidP="00CE2C8C">
      <w:pPr>
        <w:pStyle w:val="ListParagraph"/>
        <w:numPr>
          <w:ilvl w:val="0"/>
          <w:numId w:val="16"/>
        </w:numPr>
        <w:spacing w:after="200"/>
        <w:contextualSpacing/>
        <w:rPr>
          <w:lang w:val="en-US"/>
        </w:rPr>
      </w:pPr>
      <w:r>
        <w:rPr>
          <w:lang w:val="en-US"/>
        </w:rPr>
        <w:t>Ton presented the S&amp;R achievements 2011 – 2012</w:t>
      </w:r>
    </w:p>
    <w:p w:rsidR="00CE2C8C" w:rsidRPr="00D274FE" w:rsidRDefault="00CE2C8C" w:rsidP="00CE2C8C">
      <w:pPr>
        <w:pStyle w:val="ListParagraph"/>
        <w:numPr>
          <w:ilvl w:val="0"/>
          <w:numId w:val="16"/>
        </w:numPr>
        <w:spacing w:after="200"/>
        <w:contextualSpacing/>
        <w:rPr>
          <w:lang w:val="en-US"/>
        </w:rPr>
      </w:pPr>
      <w:r w:rsidRPr="00D274FE">
        <w:rPr>
          <w:lang w:val="en-US"/>
        </w:rPr>
        <w:t>Trade date (Alex)</w:t>
      </w:r>
    </w:p>
    <w:p w:rsidR="00CE2C8C" w:rsidRDefault="00CE2C8C" w:rsidP="00CE2C8C">
      <w:pPr>
        <w:pStyle w:val="ListParagraph"/>
        <w:numPr>
          <w:ilvl w:val="0"/>
          <w:numId w:val="12"/>
        </w:numPr>
        <w:spacing w:after="200"/>
        <w:contextualSpacing/>
        <w:rPr>
          <w:lang w:val="en-US"/>
        </w:rPr>
      </w:pPr>
      <w:r>
        <w:rPr>
          <w:lang w:val="en-US"/>
        </w:rPr>
        <w:t xml:space="preserve">Became mandatory in the global market practice (10 common elements) because in the beginning “most” of the markets agreed to have trade date.  However, in standards, it will stay optional as we all know that in some of the transactions such as a/c transfer, there might not  be any trade date.  </w:t>
      </w:r>
    </w:p>
    <w:p w:rsidR="00CE2C8C" w:rsidRDefault="00CE2C8C" w:rsidP="00CE2C8C">
      <w:pPr>
        <w:pStyle w:val="ListParagraph"/>
        <w:numPr>
          <w:ilvl w:val="0"/>
          <w:numId w:val="12"/>
        </w:numPr>
        <w:spacing w:after="200"/>
        <w:contextualSpacing/>
        <w:rPr>
          <w:lang w:val="en-US"/>
        </w:rPr>
      </w:pPr>
      <w:r>
        <w:rPr>
          <w:lang w:val="en-US"/>
        </w:rPr>
        <w:lastRenderedPageBreak/>
        <w:t xml:space="preserve">Never been re-discussed since then:  ABMF recognises that some markets in AP do not use trade date may be due to the maturity of the market.  </w:t>
      </w:r>
    </w:p>
    <w:p w:rsidR="00CE2C8C" w:rsidRPr="006362CE" w:rsidRDefault="00CE2C8C" w:rsidP="00CE2C8C">
      <w:pPr>
        <w:pStyle w:val="ListParagraph"/>
        <w:numPr>
          <w:ilvl w:val="0"/>
          <w:numId w:val="12"/>
        </w:numPr>
        <w:spacing w:after="200"/>
        <w:contextualSpacing/>
        <w:rPr>
          <w:lang w:val="en-US"/>
        </w:rPr>
      </w:pPr>
      <w:r>
        <w:rPr>
          <w:lang w:val="en-US"/>
        </w:rPr>
        <w:t xml:space="preserve">Time of trade should be kept optional.  Or, time option can be excluded in the global market practice.  </w:t>
      </w:r>
    </w:p>
    <w:p w:rsidR="00CE2C8C" w:rsidRPr="005B50F8" w:rsidRDefault="00CE2C8C" w:rsidP="00CE2C8C">
      <w:pPr>
        <w:pStyle w:val="ListParagraph"/>
        <w:numPr>
          <w:ilvl w:val="0"/>
          <w:numId w:val="16"/>
        </w:numPr>
        <w:spacing w:after="200"/>
        <w:contextualSpacing/>
        <w:rPr>
          <w:lang w:val="en-US"/>
        </w:rPr>
      </w:pPr>
      <w:r w:rsidRPr="005B50F8">
        <w:rPr>
          <w:lang w:val="en-US"/>
        </w:rPr>
        <w:t>MyStandards</w:t>
      </w:r>
    </w:p>
    <w:p w:rsidR="00CE2C8C" w:rsidRDefault="00CE2C8C" w:rsidP="00CE2C8C">
      <w:pPr>
        <w:pStyle w:val="ListParagraph"/>
        <w:numPr>
          <w:ilvl w:val="0"/>
          <w:numId w:val="13"/>
        </w:numPr>
        <w:spacing w:after="200"/>
        <w:contextualSpacing/>
        <w:rPr>
          <w:lang w:val="en-US"/>
        </w:rPr>
      </w:pPr>
      <w:r>
        <w:rPr>
          <w:lang w:val="en-US"/>
        </w:rPr>
        <w:t>Granularity (discussed on Nov 4)</w:t>
      </w:r>
    </w:p>
    <w:p w:rsidR="00CE2C8C" w:rsidRDefault="00CE2C8C" w:rsidP="00CE2C8C">
      <w:pPr>
        <w:pStyle w:val="ListParagraph"/>
        <w:numPr>
          <w:ilvl w:val="0"/>
          <w:numId w:val="13"/>
        </w:numPr>
        <w:spacing w:after="200"/>
        <w:contextualSpacing/>
        <w:rPr>
          <w:lang w:val="en-US"/>
        </w:rPr>
      </w:pPr>
      <w:r>
        <w:rPr>
          <w:lang w:val="en-US"/>
        </w:rPr>
        <w:t>Feedbacks/comments to be provided to SWIFT directly to the comments from Jason (US).</w:t>
      </w:r>
    </w:p>
    <w:p w:rsidR="00CE2C8C" w:rsidRDefault="00CE2C8C" w:rsidP="00CE2C8C">
      <w:pPr>
        <w:pStyle w:val="ListParagraph"/>
        <w:numPr>
          <w:ilvl w:val="0"/>
          <w:numId w:val="13"/>
        </w:numPr>
        <w:spacing w:after="200"/>
        <w:contextualSpacing/>
        <w:rPr>
          <w:lang w:val="en-US"/>
        </w:rPr>
      </w:pPr>
      <w:r>
        <w:rPr>
          <w:lang w:val="en-US"/>
        </w:rPr>
        <w:t>Best practice documents to be created for SMPG users so that the input / naming, etc. will be consistent across the groups</w:t>
      </w:r>
    </w:p>
    <w:p w:rsidR="00CE2C8C" w:rsidRDefault="00CE2C8C" w:rsidP="00CE2C8C">
      <w:pPr>
        <w:pStyle w:val="ListParagraph"/>
        <w:numPr>
          <w:ilvl w:val="0"/>
          <w:numId w:val="13"/>
        </w:numPr>
        <w:spacing w:after="200"/>
        <w:contextualSpacing/>
        <w:rPr>
          <w:lang w:val="en-US"/>
        </w:rPr>
      </w:pPr>
      <w:r>
        <w:rPr>
          <w:lang w:val="en-US"/>
        </w:rPr>
        <w:t xml:space="preserve">Common Elements:  </w:t>
      </w:r>
    </w:p>
    <w:p w:rsidR="00CE2C8C" w:rsidRDefault="00CE2C8C" w:rsidP="00CE2C8C">
      <w:pPr>
        <w:pStyle w:val="ListParagraph"/>
        <w:numPr>
          <w:ilvl w:val="1"/>
          <w:numId w:val="13"/>
        </w:numPr>
        <w:spacing w:after="200"/>
        <w:contextualSpacing/>
        <w:rPr>
          <w:lang w:val="en-US"/>
        </w:rPr>
      </w:pPr>
      <w:r>
        <w:rPr>
          <w:lang w:val="en-US"/>
        </w:rPr>
        <w:t xml:space="preserve">Addition of optional elements (for implementation purposes):  Poland agrees, Germany and South Africa disagree.  </w:t>
      </w:r>
    </w:p>
    <w:p w:rsidR="00CE2C8C" w:rsidRPr="005B50F8" w:rsidRDefault="00CE2C8C" w:rsidP="00CE2C8C">
      <w:pPr>
        <w:pStyle w:val="ListParagraph"/>
        <w:numPr>
          <w:ilvl w:val="1"/>
          <w:numId w:val="13"/>
        </w:numPr>
        <w:spacing w:after="200"/>
        <w:contextualSpacing/>
        <w:rPr>
          <w:lang w:val="en-US"/>
        </w:rPr>
      </w:pPr>
      <w:r>
        <w:rPr>
          <w:lang w:val="en-US"/>
        </w:rPr>
        <w:t xml:space="preserve">Split of fixed income / equity:  No clear answer from the group.  </w:t>
      </w:r>
    </w:p>
    <w:p w:rsidR="00CE2C8C" w:rsidRDefault="00CE2C8C" w:rsidP="00CE2C8C">
      <w:pPr>
        <w:pStyle w:val="ListParagraph"/>
        <w:numPr>
          <w:ilvl w:val="1"/>
          <w:numId w:val="13"/>
        </w:numPr>
        <w:spacing w:after="200"/>
        <w:contextualSpacing/>
        <w:rPr>
          <w:lang w:val="en-US"/>
        </w:rPr>
      </w:pPr>
      <w:r w:rsidRPr="005B50F8">
        <w:rPr>
          <w:lang w:val="en-US"/>
        </w:rPr>
        <w:t>Units vs face amount</w:t>
      </w:r>
      <w:r>
        <w:rPr>
          <w:lang w:val="en-US"/>
        </w:rPr>
        <w:t xml:space="preserve"> to represent fixed income quantity</w:t>
      </w:r>
      <w:r w:rsidRPr="005B50F8">
        <w:rPr>
          <w:lang w:val="en-US"/>
        </w:rPr>
        <w:t>:  Poland uses units (market consultation took place and decid</w:t>
      </w:r>
      <w:r>
        <w:rPr>
          <w:lang w:val="en-US"/>
        </w:rPr>
        <w:t>ed to keep using units at CSD level, in communication between Global Custodians and Local Custodians Face Amount is used).  In AP, units sometimes used (VN uses units)</w:t>
      </w:r>
    </w:p>
    <w:p w:rsidR="00CE2C8C" w:rsidRPr="005B50F8" w:rsidRDefault="00CE2C8C" w:rsidP="00CE2C8C">
      <w:pPr>
        <w:pStyle w:val="ListParagraph"/>
        <w:numPr>
          <w:ilvl w:val="0"/>
          <w:numId w:val="16"/>
        </w:numPr>
        <w:spacing w:after="200"/>
        <w:contextualSpacing/>
        <w:rPr>
          <w:lang w:val="en-US"/>
        </w:rPr>
      </w:pPr>
      <w:r w:rsidRPr="005B50F8">
        <w:rPr>
          <w:lang w:val="en-US"/>
        </w:rPr>
        <w:t xml:space="preserve">IPO </w:t>
      </w:r>
    </w:p>
    <w:p w:rsidR="00CE2C8C" w:rsidRDefault="00CE2C8C" w:rsidP="00CE2C8C">
      <w:pPr>
        <w:pStyle w:val="ListParagraph"/>
        <w:numPr>
          <w:ilvl w:val="0"/>
          <w:numId w:val="17"/>
        </w:numPr>
        <w:spacing w:after="200"/>
        <w:contextualSpacing/>
        <w:rPr>
          <w:lang w:val="en-US"/>
        </w:rPr>
      </w:pPr>
      <w:r>
        <w:rPr>
          <w:lang w:val="en-US"/>
        </w:rPr>
        <w:t xml:space="preserve">Message types: </w:t>
      </w:r>
    </w:p>
    <w:p w:rsidR="00CE2C8C" w:rsidRDefault="00CE2C8C" w:rsidP="00CE2C8C">
      <w:pPr>
        <w:pStyle w:val="ListParagraph"/>
        <w:numPr>
          <w:ilvl w:val="1"/>
          <w:numId w:val="17"/>
        </w:numPr>
        <w:spacing w:after="200"/>
        <w:contextualSpacing/>
        <w:rPr>
          <w:lang w:val="en-US"/>
        </w:rPr>
      </w:pPr>
      <w:r>
        <w:rPr>
          <w:lang w:val="en-US"/>
        </w:rPr>
        <w:t>N</w:t>
      </w:r>
      <w:r w:rsidRPr="005B50F8">
        <w:rPr>
          <w:lang w:val="en-US"/>
        </w:rPr>
        <w:t>eed to add “free of payment” message type</w:t>
      </w:r>
      <w:r>
        <w:rPr>
          <w:lang w:val="en-US"/>
        </w:rPr>
        <w:t xml:space="preserve">s for </w:t>
      </w:r>
      <w:r w:rsidRPr="005B50F8">
        <w:rPr>
          <w:lang w:val="en-US"/>
        </w:rPr>
        <w:t xml:space="preserve">cash / securities split settlement </w:t>
      </w:r>
      <w:r>
        <w:rPr>
          <w:lang w:val="en-US"/>
        </w:rPr>
        <w:t xml:space="preserve">which can be </w:t>
      </w:r>
      <w:r w:rsidRPr="005B50F8">
        <w:rPr>
          <w:lang w:val="en-US"/>
        </w:rPr>
        <w:t>required in some cases. (MT545 + MT544 for notif</w:t>
      </w:r>
      <w:r>
        <w:rPr>
          <w:lang w:val="en-US"/>
        </w:rPr>
        <w:t xml:space="preserve">ication of receipt of shares). </w:t>
      </w:r>
    </w:p>
    <w:p w:rsidR="00CE2C8C" w:rsidRPr="005B50F8" w:rsidRDefault="00CE2C8C" w:rsidP="00CE2C8C">
      <w:pPr>
        <w:pStyle w:val="ListParagraph"/>
        <w:numPr>
          <w:ilvl w:val="1"/>
          <w:numId w:val="17"/>
        </w:numPr>
        <w:spacing w:after="200"/>
        <w:contextualSpacing/>
        <w:rPr>
          <w:lang w:val="en-US"/>
        </w:rPr>
      </w:pPr>
      <w:r>
        <w:rPr>
          <w:lang w:val="en-US"/>
        </w:rPr>
        <w:t xml:space="preserve">Germany:  Nominee scenario and </w:t>
      </w:r>
      <w:r w:rsidRPr="005B50F8">
        <w:rPr>
          <w:lang w:val="en-US"/>
        </w:rPr>
        <w:t>segregated account scenario to be separately created</w:t>
      </w:r>
      <w:r>
        <w:rPr>
          <w:lang w:val="en-US"/>
        </w:rPr>
        <w:t xml:space="preserve"> as flows differ.  </w:t>
      </w:r>
    </w:p>
    <w:p w:rsidR="00CE2C8C" w:rsidRPr="00C13954" w:rsidRDefault="00CE2C8C" w:rsidP="00CE2C8C">
      <w:pPr>
        <w:pStyle w:val="ListParagraph"/>
        <w:numPr>
          <w:ilvl w:val="1"/>
          <w:numId w:val="17"/>
        </w:numPr>
        <w:spacing w:after="200"/>
        <w:contextualSpacing/>
        <w:rPr>
          <w:lang w:val="en-US"/>
        </w:rPr>
      </w:pPr>
      <w:r>
        <w:rPr>
          <w:lang w:val="en-US"/>
        </w:rPr>
        <w:t xml:space="preserve">Germany:  CSD need to receive MT540.  </w:t>
      </w:r>
      <w:r w:rsidRPr="00C13954">
        <w:rPr>
          <w:lang w:val="en-US"/>
        </w:rPr>
        <w:t xml:space="preserve">MT544 can only come when CSD has information of where to book the securities:  CSD to receive the information from the issuer?  </w:t>
      </w:r>
    </w:p>
    <w:p w:rsidR="00CE2C8C" w:rsidRPr="00C13954" w:rsidRDefault="00CE2C8C" w:rsidP="00CE2C8C">
      <w:pPr>
        <w:pStyle w:val="ListParagraph"/>
        <w:numPr>
          <w:ilvl w:val="1"/>
          <w:numId w:val="17"/>
        </w:numPr>
        <w:spacing w:after="200"/>
        <w:contextualSpacing/>
        <w:rPr>
          <w:lang w:val="en-US"/>
        </w:rPr>
      </w:pPr>
      <w:r>
        <w:rPr>
          <w:lang w:val="en-US"/>
        </w:rPr>
        <w:t>SG</w:t>
      </w:r>
      <w:r w:rsidRPr="00C13954">
        <w:rPr>
          <w:lang w:val="en-US"/>
        </w:rPr>
        <w:t xml:space="preserve">:  MT502 – 515 flow might create the issue.  In some institutions, MT540’s will be created upon receipt of MT502.  </w:t>
      </w:r>
      <w:r>
        <w:rPr>
          <w:lang w:val="en-US"/>
        </w:rPr>
        <w:t>IN</w:t>
      </w:r>
      <w:r w:rsidRPr="00C13954">
        <w:rPr>
          <w:lang w:val="en-US"/>
        </w:rPr>
        <w:t xml:space="preserve"> replied that this can be compressed by adding a specific flag.  </w:t>
      </w:r>
    </w:p>
    <w:p w:rsidR="00CE2C8C" w:rsidRDefault="00CE2C8C" w:rsidP="00CE2C8C">
      <w:pPr>
        <w:pStyle w:val="ListParagraph"/>
        <w:numPr>
          <w:ilvl w:val="0"/>
          <w:numId w:val="17"/>
        </w:numPr>
        <w:spacing w:after="200"/>
        <w:contextualSpacing/>
        <w:rPr>
          <w:lang w:val="en-US"/>
        </w:rPr>
      </w:pPr>
      <w:r>
        <w:rPr>
          <w:lang w:val="en-US"/>
        </w:rPr>
        <w:t>Conclusion:</w:t>
      </w:r>
    </w:p>
    <w:p w:rsidR="00CE2C8C" w:rsidRDefault="00CE2C8C" w:rsidP="00CE2C8C">
      <w:pPr>
        <w:pStyle w:val="ListParagraph"/>
        <w:numPr>
          <w:ilvl w:val="1"/>
          <w:numId w:val="17"/>
        </w:numPr>
        <w:spacing w:after="200"/>
        <w:contextualSpacing/>
        <w:rPr>
          <w:lang w:val="en-US"/>
        </w:rPr>
      </w:pPr>
      <w:r w:rsidRPr="00C13954">
        <w:rPr>
          <w:lang w:val="en-US"/>
        </w:rPr>
        <w:t>Use of MT502 is accepted, but overall process flows should be re-documented as global practice.  (Current documentation was created for equity IPO in India)</w:t>
      </w:r>
    </w:p>
    <w:p w:rsidR="00CE2C8C" w:rsidRPr="00C13954" w:rsidRDefault="00CE2C8C" w:rsidP="00CE2C8C">
      <w:pPr>
        <w:pStyle w:val="ListParagraph"/>
        <w:numPr>
          <w:ilvl w:val="1"/>
          <w:numId w:val="17"/>
        </w:numPr>
        <w:spacing w:after="200"/>
        <w:contextualSpacing/>
        <w:rPr>
          <w:lang w:val="en-US"/>
        </w:rPr>
      </w:pPr>
      <w:r>
        <w:rPr>
          <w:lang w:val="en-US"/>
        </w:rPr>
        <w:t xml:space="preserve">SWIFT will re-draft as global market practice and circulate for review.  </w:t>
      </w:r>
    </w:p>
    <w:p w:rsidR="00CE2C8C" w:rsidRPr="00C13954" w:rsidRDefault="00CE2C8C" w:rsidP="00CE2C8C">
      <w:pPr>
        <w:pStyle w:val="ListParagraph"/>
        <w:numPr>
          <w:ilvl w:val="0"/>
          <w:numId w:val="17"/>
        </w:numPr>
        <w:spacing w:after="200"/>
        <w:contextualSpacing/>
        <w:rPr>
          <w:lang w:val="en-US"/>
        </w:rPr>
      </w:pPr>
      <w:r>
        <w:rPr>
          <w:lang w:val="en-US"/>
        </w:rPr>
        <w:t xml:space="preserve">Other comments / questions:  </w:t>
      </w:r>
    </w:p>
    <w:p w:rsidR="00CE2C8C" w:rsidRDefault="00CE2C8C" w:rsidP="00CE2C8C">
      <w:pPr>
        <w:pStyle w:val="ListParagraph"/>
        <w:numPr>
          <w:ilvl w:val="1"/>
          <w:numId w:val="17"/>
        </w:numPr>
        <w:spacing w:after="200"/>
        <w:contextualSpacing/>
        <w:rPr>
          <w:lang w:val="en-US"/>
        </w:rPr>
      </w:pPr>
      <w:r>
        <w:rPr>
          <w:lang w:val="en-US"/>
        </w:rPr>
        <w:t xml:space="preserve">South Africa:  </w:t>
      </w:r>
      <w:r w:rsidRPr="00C13954">
        <w:rPr>
          <w:lang w:val="en-US"/>
        </w:rPr>
        <w:t>Downstream flow should be added to make the full life cycle.  Currently only c</w:t>
      </w:r>
      <w:r>
        <w:rPr>
          <w:lang w:val="en-US"/>
        </w:rPr>
        <w:t xml:space="preserve">overs subscription process. </w:t>
      </w:r>
    </w:p>
    <w:p w:rsidR="00CE2C8C" w:rsidRDefault="00CE2C8C" w:rsidP="00CE2C8C">
      <w:pPr>
        <w:pStyle w:val="ListParagraph"/>
        <w:numPr>
          <w:ilvl w:val="1"/>
          <w:numId w:val="17"/>
        </w:numPr>
        <w:spacing w:after="200"/>
        <w:contextualSpacing/>
        <w:rPr>
          <w:lang w:val="en-US"/>
        </w:rPr>
      </w:pPr>
      <w:r>
        <w:rPr>
          <w:lang w:val="en-US"/>
        </w:rPr>
        <w:t>JASDEC:  Downstream = CSD and underwriters?</w:t>
      </w:r>
    </w:p>
    <w:p w:rsidR="00CE2C8C" w:rsidRPr="00C13954" w:rsidRDefault="00CE2C8C" w:rsidP="00CE2C8C">
      <w:pPr>
        <w:pStyle w:val="ListParagraph"/>
        <w:numPr>
          <w:ilvl w:val="1"/>
          <w:numId w:val="17"/>
        </w:numPr>
        <w:spacing w:after="200"/>
        <w:contextualSpacing/>
        <w:rPr>
          <w:lang w:val="en-US"/>
        </w:rPr>
      </w:pPr>
      <w:r>
        <w:rPr>
          <w:lang w:val="en-US"/>
        </w:rPr>
        <w:t>Germany:  MT540’s flow with the CSD is necessary.</w:t>
      </w:r>
      <w:r w:rsidRPr="00C13954">
        <w:rPr>
          <w:lang w:val="en-US"/>
        </w:rPr>
        <w:t xml:space="preserve"> </w:t>
      </w:r>
    </w:p>
    <w:p w:rsidR="00CE2C8C" w:rsidRDefault="00CE2C8C" w:rsidP="00CE2C8C">
      <w:pPr>
        <w:pStyle w:val="ListParagraph"/>
        <w:numPr>
          <w:ilvl w:val="1"/>
          <w:numId w:val="17"/>
        </w:numPr>
        <w:spacing w:after="200"/>
        <w:contextualSpacing/>
        <w:rPr>
          <w:lang w:val="en-US"/>
        </w:rPr>
      </w:pPr>
      <w:r>
        <w:rPr>
          <w:lang w:val="en-US"/>
        </w:rPr>
        <w:t xml:space="preserve">SG:  Is timing represented in the flow diagrams?  There is a time gap between “subscription request” and “response from issuer”.  AK:  In the global market practice do not provide the timing information – can be documented in the local market practice.  </w:t>
      </w:r>
    </w:p>
    <w:p w:rsidR="00CE2C8C" w:rsidRDefault="00CE2C8C" w:rsidP="00CE2C8C">
      <w:pPr>
        <w:pStyle w:val="ListParagraph"/>
        <w:numPr>
          <w:ilvl w:val="1"/>
          <w:numId w:val="17"/>
        </w:numPr>
        <w:spacing w:after="200"/>
        <w:contextualSpacing/>
        <w:rPr>
          <w:lang w:val="en-US"/>
        </w:rPr>
      </w:pPr>
      <w:r>
        <w:rPr>
          <w:lang w:val="en-US"/>
        </w:rPr>
        <w:t>South Africa:  Payment part also need to be covered (cash account information?)</w:t>
      </w:r>
    </w:p>
    <w:p w:rsidR="00CE2C8C" w:rsidRPr="00C13954" w:rsidRDefault="00CE2C8C" w:rsidP="00CE2C8C">
      <w:pPr>
        <w:pStyle w:val="ListParagraph"/>
        <w:numPr>
          <w:ilvl w:val="1"/>
          <w:numId w:val="17"/>
        </w:numPr>
        <w:spacing w:after="200"/>
        <w:contextualSpacing/>
        <w:rPr>
          <w:lang w:val="en-US"/>
        </w:rPr>
      </w:pPr>
      <w:r>
        <w:rPr>
          <w:lang w:val="en-US"/>
        </w:rPr>
        <w:t xml:space="preserve">South Africa and EU CSD flow:  </w:t>
      </w:r>
      <w:r w:rsidRPr="00C13954">
        <w:rPr>
          <w:lang w:val="en-US"/>
        </w:rPr>
        <w:t>Open an account for IPO (lead manager, co-lead manager), register global notes, then credit to the end investor account</w:t>
      </w:r>
    </w:p>
    <w:p w:rsidR="00CE2C8C" w:rsidRDefault="00CE2C8C" w:rsidP="00CE2C8C">
      <w:pPr>
        <w:pStyle w:val="ListParagraph"/>
        <w:numPr>
          <w:ilvl w:val="1"/>
          <w:numId w:val="17"/>
        </w:numPr>
        <w:spacing w:after="200"/>
        <w:contextualSpacing/>
        <w:rPr>
          <w:lang w:val="en-US"/>
        </w:rPr>
      </w:pPr>
      <w:r>
        <w:rPr>
          <w:lang w:val="en-US"/>
        </w:rPr>
        <w:t xml:space="preserve">CA flow – listing:  Place of listing, especially a timing of listing and effective date of trade.  Can this be picked up from other sources?  Exchange, prospectus, data distributors……  Some custodians might like to keep it quiet…..  to be used as IN local market practice.  </w:t>
      </w:r>
    </w:p>
    <w:p w:rsidR="00CE2C8C" w:rsidRDefault="00CE2C8C" w:rsidP="00CE2C8C">
      <w:pPr>
        <w:pStyle w:val="ListParagraph"/>
        <w:numPr>
          <w:ilvl w:val="1"/>
          <w:numId w:val="17"/>
        </w:numPr>
        <w:spacing w:after="200"/>
        <w:contextualSpacing/>
        <w:rPr>
          <w:lang w:val="en-US"/>
        </w:rPr>
      </w:pPr>
      <w:r w:rsidRPr="00C13954">
        <w:rPr>
          <w:lang w:val="en-US"/>
        </w:rPr>
        <w:t xml:space="preserve">Multiple prices / quantities:  1 MT502 per bid?  Include multiple bids in 1 MT502?  To be provided as option.  </w:t>
      </w:r>
    </w:p>
    <w:p w:rsidR="00110420" w:rsidRDefault="00110420" w:rsidP="00110420">
      <w:pPr>
        <w:pStyle w:val="ListParagraph"/>
        <w:spacing w:after="200"/>
        <w:contextualSpacing/>
        <w:rPr>
          <w:lang w:val="en-US"/>
        </w:rPr>
      </w:pPr>
    </w:p>
    <w:p w:rsidR="00110420" w:rsidRPr="00C13954" w:rsidRDefault="00110420" w:rsidP="00110420">
      <w:pPr>
        <w:pStyle w:val="ListParagraph"/>
        <w:spacing w:after="200"/>
        <w:contextualSpacing/>
        <w:rPr>
          <w:lang w:val="en-US"/>
        </w:rPr>
      </w:pPr>
    </w:p>
    <w:p w:rsidR="00CE2C8C" w:rsidRDefault="00CE2C8C" w:rsidP="00CE2C8C"/>
    <w:p w:rsidR="00CE2C8C" w:rsidRDefault="00CE2C8C" w:rsidP="00CE2C8C">
      <w:pPr>
        <w:rPr>
          <w:u w:val="single"/>
        </w:rPr>
      </w:pPr>
      <w:r w:rsidRPr="00C13954">
        <w:rPr>
          <w:u w:val="single"/>
        </w:rPr>
        <w:lastRenderedPageBreak/>
        <w:t xml:space="preserve">Nov </w:t>
      </w:r>
      <w:r w:rsidR="008A7BC3">
        <w:rPr>
          <w:u w:val="single"/>
        </w:rPr>
        <w:t>6</w:t>
      </w:r>
      <w:r w:rsidRPr="00C13954">
        <w:rPr>
          <w:u w:val="single"/>
        </w:rPr>
        <w:t>, 10:45 – 12:30</w:t>
      </w:r>
    </w:p>
    <w:p w:rsidR="00110420" w:rsidRPr="00C13954" w:rsidRDefault="00110420" w:rsidP="00CE2C8C">
      <w:pPr>
        <w:rPr>
          <w:u w:val="single"/>
        </w:rPr>
      </w:pPr>
    </w:p>
    <w:p w:rsidR="00CE2C8C" w:rsidRPr="00C13954" w:rsidRDefault="00CE2C8C" w:rsidP="00CE2C8C">
      <w:pPr>
        <w:pStyle w:val="ListParagraph"/>
        <w:numPr>
          <w:ilvl w:val="0"/>
          <w:numId w:val="18"/>
        </w:numPr>
        <w:spacing w:after="200"/>
        <w:contextualSpacing/>
        <w:rPr>
          <w:lang w:val="en-US"/>
        </w:rPr>
      </w:pPr>
      <w:r w:rsidRPr="00C13954">
        <w:rPr>
          <w:lang w:val="en-US"/>
        </w:rPr>
        <w:t>DR</w:t>
      </w:r>
    </w:p>
    <w:p w:rsidR="00CE2C8C" w:rsidRDefault="00CE2C8C" w:rsidP="00CE2C8C">
      <w:pPr>
        <w:pStyle w:val="ListParagraph"/>
        <w:numPr>
          <w:ilvl w:val="0"/>
          <w:numId w:val="19"/>
        </w:numPr>
        <w:spacing w:after="200"/>
        <w:contextualSpacing/>
        <w:rPr>
          <w:lang w:val="en-US"/>
        </w:rPr>
      </w:pPr>
      <w:r>
        <w:rPr>
          <w:lang w:val="en-US"/>
        </w:rPr>
        <w:t xml:space="preserve">The general consensus from the common session yesterday was that the global market practice can be established for DR processes.  </w:t>
      </w:r>
    </w:p>
    <w:p w:rsidR="00CE2C8C" w:rsidRDefault="00CE2C8C" w:rsidP="00CE2C8C">
      <w:pPr>
        <w:pStyle w:val="ListParagraph"/>
        <w:numPr>
          <w:ilvl w:val="0"/>
          <w:numId w:val="19"/>
        </w:numPr>
        <w:spacing w:after="200"/>
        <w:contextualSpacing/>
        <w:rPr>
          <w:lang w:val="en-US"/>
        </w:rPr>
      </w:pPr>
      <w:r w:rsidRPr="00DB0480">
        <w:rPr>
          <w:lang w:val="en-US"/>
        </w:rPr>
        <w:t>3 people</w:t>
      </w:r>
      <w:r>
        <w:rPr>
          <w:lang w:val="en-US"/>
        </w:rPr>
        <w:t xml:space="preserve"> from S&amp;R</w:t>
      </w:r>
      <w:r w:rsidRPr="00DB0480">
        <w:rPr>
          <w:lang w:val="en-US"/>
        </w:rPr>
        <w:t xml:space="preserve"> to join the new working group</w:t>
      </w:r>
      <w:r>
        <w:rPr>
          <w:lang w:val="en-US"/>
        </w:rPr>
        <w:t xml:space="preserve"> (names? Brett Kotze, Anthony Sim, Armin Borries). Call for experts will be issued by SMPG. </w:t>
      </w:r>
    </w:p>
    <w:p w:rsidR="00CE2C8C" w:rsidRDefault="00CE2C8C" w:rsidP="00CE2C8C">
      <w:pPr>
        <w:pStyle w:val="ListParagraph"/>
        <w:numPr>
          <w:ilvl w:val="0"/>
          <w:numId w:val="19"/>
        </w:numPr>
        <w:spacing w:after="200"/>
        <w:contextualSpacing/>
        <w:rPr>
          <w:lang w:val="en-US"/>
        </w:rPr>
      </w:pPr>
      <w:r w:rsidRPr="00DB0480">
        <w:rPr>
          <w:lang w:val="en-US"/>
        </w:rPr>
        <w:t>Continue the conversations with the existing DR expert contacts (Citi, JPM and DB?)</w:t>
      </w:r>
    </w:p>
    <w:p w:rsidR="00CE2C8C" w:rsidRDefault="00CE2C8C" w:rsidP="00CE2C8C">
      <w:pPr>
        <w:pStyle w:val="ListParagraph"/>
        <w:numPr>
          <w:ilvl w:val="0"/>
          <w:numId w:val="19"/>
        </w:numPr>
        <w:spacing w:after="200"/>
        <w:contextualSpacing/>
        <w:rPr>
          <w:lang w:val="en-US"/>
        </w:rPr>
      </w:pPr>
      <w:r w:rsidRPr="00DB0480">
        <w:rPr>
          <w:lang w:val="en-US"/>
        </w:rPr>
        <w:t>Revisio</w:t>
      </w:r>
      <w:r>
        <w:rPr>
          <w:lang w:val="en-US"/>
        </w:rPr>
        <w:t xml:space="preserve">n of the draft documentation: </w:t>
      </w:r>
    </w:p>
    <w:p w:rsidR="00CE2C8C" w:rsidRDefault="00CE2C8C" w:rsidP="00CE2C8C">
      <w:pPr>
        <w:pStyle w:val="ListParagraph"/>
        <w:numPr>
          <w:ilvl w:val="1"/>
          <w:numId w:val="19"/>
        </w:numPr>
        <w:spacing w:after="200"/>
        <w:contextualSpacing/>
        <w:rPr>
          <w:lang w:val="en-US"/>
        </w:rPr>
      </w:pPr>
      <w:r>
        <w:rPr>
          <w:lang w:val="en-US"/>
        </w:rPr>
        <w:t>A</w:t>
      </w:r>
      <w:r w:rsidRPr="00DB0480">
        <w:rPr>
          <w:lang w:val="en-US"/>
        </w:rPr>
        <w:t xml:space="preserve">dd more parties </w:t>
      </w:r>
      <w:r>
        <w:rPr>
          <w:lang w:val="en-US"/>
        </w:rPr>
        <w:t>(such as CSD, registrar…..)</w:t>
      </w:r>
    </w:p>
    <w:p w:rsidR="00CE2C8C" w:rsidRDefault="00CE2C8C" w:rsidP="00CE2C8C">
      <w:pPr>
        <w:pStyle w:val="ListParagraph"/>
        <w:numPr>
          <w:ilvl w:val="1"/>
          <w:numId w:val="19"/>
        </w:numPr>
        <w:spacing w:after="200"/>
        <w:contextualSpacing/>
        <w:rPr>
          <w:lang w:val="en-US"/>
        </w:rPr>
      </w:pPr>
      <w:r>
        <w:rPr>
          <w:lang w:val="en-US"/>
        </w:rPr>
        <w:t>A</w:t>
      </w:r>
      <w:r w:rsidRPr="00DB0480">
        <w:rPr>
          <w:lang w:val="en-US"/>
        </w:rPr>
        <w:t>dd normal issuance / cancellation</w:t>
      </w:r>
      <w:r>
        <w:rPr>
          <w:lang w:val="en-US"/>
        </w:rPr>
        <w:t xml:space="preserve"> process</w:t>
      </w:r>
      <w:r w:rsidRPr="00DB0480">
        <w:rPr>
          <w:lang w:val="en-US"/>
        </w:rPr>
        <w:t xml:space="preserve"> (current “cancellation”</w:t>
      </w:r>
      <w:r>
        <w:rPr>
          <w:lang w:val="en-US"/>
        </w:rPr>
        <w:t xml:space="preserve"> seems to represent “arbitrage” transaction</w:t>
      </w:r>
      <w:r w:rsidRPr="00DB0480">
        <w:rPr>
          <w:lang w:val="en-US"/>
        </w:rPr>
        <w:t>)</w:t>
      </w:r>
    </w:p>
    <w:p w:rsidR="00CE2C8C" w:rsidRPr="00DB0480" w:rsidRDefault="00CE2C8C" w:rsidP="00CE2C8C">
      <w:pPr>
        <w:pStyle w:val="ListParagraph"/>
        <w:numPr>
          <w:ilvl w:val="1"/>
          <w:numId w:val="19"/>
        </w:numPr>
        <w:spacing w:after="200"/>
        <w:contextualSpacing/>
        <w:rPr>
          <w:lang w:val="en-US"/>
        </w:rPr>
      </w:pPr>
      <w:r>
        <w:rPr>
          <w:lang w:val="en-US"/>
        </w:rPr>
        <w:t>S</w:t>
      </w:r>
      <w:r w:rsidRPr="00DB0480">
        <w:rPr>
          <w:lang w:val="en-US"/>
        </w:rPr>
        <w:t>ponsored or non-sponsored</w:t>
      </w:r>
      <w:r>
        <w:rPr>
          <w:lang w:val="en-US"/>
        </w:rPr>
        <w:t xml:space="preserve"> to be distinguished</w:t>
      </w:r>
      <w:r w:rsidRPr="00DB0480">
        <w:rPr>
          <w:lang w:val="en-US"/>
        </w:rPr>
        <w:t xml:space="preserve"> (similar but differences in details – fees, how to trade, etc.?)</w:t>
      </w:r>
    </w:p>
    <w:p w:rsidR="00CE2C8C" w:rsidRDefault="00CE2C8C" w:rsidP="00CE2C8C">
      <w:pPr>
        <w:pStyle w:val="ListParagraph"/>
        <w:numPr>
          <w:ilvl w:val="0"/>
          <w:numId w:val="19"/>
        </w:numPr>
        <w:spacing w:after="200"/>
        <w:contextualSpacing/>
        <w:rPr>
          <w:lang w:val="en-US"/>
        </w:rPr>
      </w:pPr>
      <w:r>
        <w:rPr>
          <w:lang w:val="en-US"/>
        </w:rPr>
        <w:t>South Africa</w:t>
      </w:r>
      <w:r w:rsidRPr="00DB0480">
        <w:rPr>
          <w:lang w:val="en-US"/>
        </w:rPr>
        <w:t>:  Explained the ZA DR process (ppt slides with full chain)</w:t>
      </w:r>
    </w:p>
    <w:p w:rsidR="00CE2C8C" w:rsidRDefault="00CE2C8C" w:rsidP="00CE2C8C">
      <w:pPr>
        <w:pStyle w:val="ListParagraph"/>
        <w:numPr>
          <w:ilvl w:val="0"/>
          <w:numId w:val="19"/>
        </w:numPr>
        <w:spacing w:after="200"/>
        <w:contextualSpacing/>
        <w:rPr>
          <w:lang w:val="en-US"/>
        </w:rPr>
      </w:pPr>
      <w:r>
        <w:rPr>
          <w:lang w:val="en-US"/>
        </w:rPr>
        <w:t xml:space="preserve">India:  </w:t>
      </w:r>
      <w:r w:rsidRPr="00DB0480">
        <w:rPr>
          <w:lang w:val="en-US"/>
        </w:rPr>
        <w:t>Arbi</w:t>
      </w:r>
      <w:r>
        <w:rPr>
          <w:lang w:val="en-US"/>
        </w:rPr>
        <w:t>trage can be done in South Africa?  South Africa answered that i</w:t>
      </w:r>
      <w:r w:rsidRPr="00DB0480">
        <w:rPr>
          <w:lang w:val="en-US"/>
        </w:rPr>
        <w:t xml:space="preserve">t is not possible for “unsponsored DR”.    </w:t>
      </w:r>
    </w:p>
    <w:p w:rsidR="00CE2C8C" w:rsidRDefault="00CE2C8C" w:rsidP="00CE2C8C">
      <w:pPr>
        <w:pStyle w:val="ListParagraph"/>
        <w:numPr>
          <w:ilvl w:val="0"/>
          <w:numId w:val="19"/>
        </w:numPr>
        <w:spacing w:after="200"/>
        <w:contextualSpacing/>
        <w:rPr>
          <w:lang w:val="en-US"/>
        </w:rPr>
      </w:pPr>
      <w:r>
        <w:rPr>
          <w:lang w:val="en-US"/>
        </w:rPr>
        <w:t>Is Unsponsored DR s</w:t>
      </w:r>
      <w:r w:rsidRPr="00DB0480">
        <w:rPr>
          <w:lang w:val="en-US"/>
        </w:rPr>
        <w:t xml:space="preserve">imilar to ETF?:  ETF has removal process and returned to the issuer.  In case of DR, equity will not be returned to the issuer.  (going back to the investor).  </w:t>
      </w:r>
      <w:r>
        <w:rPr>
          <w:lang w:val="en-US"/>
        </w:rPr>
        <w:t>South Africa commented that if there a bas</w:t>
      </w:r>
      <w:r w:rsidRPr="00DB0480">
        <w:rPr>
          <w:lang w:val="en-US"/>
        </w:rPr>
        <w:t xml:space="preserve">ket of DR, </w:t>
      </w:r>
      <w:r>
        <w:rPr>
          <w:lang w:val="en-US"/>
        </w:rPr>
        <w:t xml:space="preserve">is may be similar.  </w:t>
      </w:r>
      <w:r w:rsidRPr="00DB0480">
        <w:rPr>
          <w:lang w:val="en-US"/>
        </w:rPr>
        <w:t xml:space="preserve">  </w:t>
      </w:r>
    </w:p>
    <w:p w:rsidR="00CE2C8C" w:rsidRDefault="00CE2C8C" w:rsidP="00CE2C8C">
      <w:pPr>
        <w:pStyle w:val="ListParagraph"/>
        <w:numPr>
          <w:ilvl w:val="0"/>
          <w:numId w:val="19"/>
        </w:numPr>
        <w:spacing w:after="200"/>
        <w:contextualSpacing/>
        <w:rPr>
          <w:lang w:val="en-US"/>
        </w:rPr>
      </w:pPr>
      <w:r w:rsidRPr="00DB0480">
        <w:rPr>
          <w:lang w:val="en-US"/>
        </w:rPr>
        <w:t>Do STRATE check about the status of DR securities? (</w:t>
      </w:r>
      <w:r>
        <w:rPr>
          <w:lang w:val="en-US"/>
        </w:rPr>
        <w:t>Germany</w:t>
      </w:r>
      <w:r w:rsidRPr="00DB0480">
        <w:rPr>
          <w:lang w:val="en-US"/>
        </w:rPr>
        <w:t xml:space="preserve">):  </w:t>
      </w:r>
      <w:r>
        <w:rPr>
          <w:lang w:val="en-US"/>
        </w:rPr>
        <w:t>South Africa answered that there is no check.  A</w:t>
      </w:r>
      <w:r w:rsidRPr="00DB0480">
        <w:rPr>
          <w:lang w:val="en-US"/>
        </w:rPr>
        <w:t xml:space="preserve">/c wise, it is a specific DR account and the securities need to be safe-stored / segregated.  </w:t>
      </w:r>
      <w:r>
        <w:rPr>
          <w:lang w:val="en-US"/>
        </w:rPr>
        <w:t>Germany added that in case of Germany</w:t>
      </w:r>
      <w:r w:rsidRPr="00DB0480">
        <w:rPr>
          <w:lang w:val="en-US"/>
        </w:rPr>
        <w:t xml:space="preserve">, CSDs and agents will be “checked” to assure the safe-store of the DR securities.  </w:t>
      </w:r>
    </w:p>
    <w:p w:rsidR="00CE2C8C" w:rsidRPr="00DB0480" w:rsidRDefault="00CE2C8C" w:rsidP="00CE2C8C">
      <w:pPr>
        <w:pStyle w:val="ListParagraph"/>
        <w:numPr>
          <w:ilvl w:val="0"/>
          <w:numId w:val="19"/>
        </w:numPr>
        <w:spacing w:after="200"/>
        <w:contextualSpacing/>
        <w:rPr>
          <w:lang w:val="en-US"/>
        </w:rPr>
      </w:pPr>
      <w:r>
        <w:rPr>
          <w:lang w:val="en-US"/>
        </w:rPr>
        <w:t xml:space="preserve">CA:  </w:t>
      </w:r>
      <w:r w:rsidRPr="00DB0480">
        <w:rPr>
          <w:lang w:val="en-US"/>
        </w:rPr>
        <w:t xml:space="preserve">Unsponsored DR </w:t>
      </w:r>
      <w:r>
        <w:rPr>
          <w:lang w:val="en-US"/>
        </w:rPr>
        <w:t xml:space="preserve">will </w:t>
      </w:r>
      <w:r w:rsidRPr="00DB0480">
        <w:rPr>
          <w:lang w:val="en-US"/>
        </w:rPr>
        <w:t xml:space="preserve">not </w:t>
      </w:r>
      <w:r>
        <w:rPr>
          <w:lang w:val="en-US"/>
        </w:rPr>
        <w:t xml:space="preserve">be </w:t>
      </w:r>
      <w:r w:rsidRPr="00DB0480">
        <w:rPr>
          <w:lang w:val="en-US"/>
        </w:rPr>
        <w:t xml:space="preserve">paid dividends – taken as “fees”, saves issues of double taxation.  </w:t>
      </w:r>
      <w:r>
        <w:rPr>
          <w:lang w:val="en-US"/>
        </w:rPr>
        <w:t>(</w:t>
      </w:r>
      <w:r w:rsidRPr="00DB0480">
        <w:rPr>
          <w:lang w:val="en-US"/>
        </w:rPr>
        <w:t xml:space="preserve">Sponsored DR are charged with the “fees”. </w:t>
      </w:r>
      <w:r>
        <w:rPr>
          <w:lang w:val="en-US"/>
        </w:rPr>
        <w:t>)</w:t>
      </w:r>
      <w:r w:rsidRPr="00DB0480">
        <w:rPr>
          <w:lang w:val="en-US"/>
        </w:rPr>
        <w:t xml:space="preserve"> </w:t>
      </w:r>
    </w:p>
    <w:p w:rsidR="00CE2C8C" w:rsidRPr="00DB0480" w:rsidRDefault="00CE2C8C" w:rsidP="00CE2C8C">
      <w:pPr>
        <w:pStyle w:val="ListParagraph"/>
        <w:numPr>
          <w:ilvl w:val="0"/>
          <w:numId w:val="18"/>
        </w:numPr>
        <w:spacing w:after="200"/>
        <w:contextualSpacing/>
        <w:rPr>
          <w:lang w:val="en-US"/>
        </w:rPr>
      </w:pPr>
      <w:r w:rsidRPr="00DB0480">
        <w:rPr>
          <w:lang w:val="en-US"/>
        </w:rPr>
        <w:t xml:space="preserve">Block Trade </w:t>
      </w:r>
    </w:p>
    <w:p w:rsidR="00CE2C8C" w:rsidRPr="00DB0480" w:rsidRDefault="00CE2C8C" w:rsidP="00CE2C8C">
      <w:pPr>
        <w:pStyle w:val="ListParagraph"/>
        <w:numPr>
          <w:ilvl w:val="0"/>
          <w:numId w:val="20"/>
        </w:numPr>
        <w:spacing w:after="200"/>
        <w:contextualSpacing/>
        <w:rPr>
          <w:lang w:val="en-US"/>
        </w:rPr>
      </w:pPr>
      <w:r w:rsidRPr="00DB0480">
        <w:rPr>
          <w:lang w:val="en-US"/>
        </w:rPr>
        <w:t>JASDEC</w:t>
      </w:r>
      <w:r>
        <w:rPr>
          <w:lang w:val="en-US"/>
        </w:rPr>
        <w:t xml:space="preserve"> requested for clarification as the naming of the practice is very confusing and other participants from JP agreed (can be seen as trade related subject).  AK answered that t</w:t>
      </w:r>
      <w:r w:rsidRPr="00DB0480">
        <w:rPr>
          <w:lang w:val="en-US"/>
        </w:rPr>
        <w:t xml:space="preserve">his is a block trade “settlement” when the allocation was not made at the trade level: Street trade is 1M, but settlement need to be separated </w:t>
      </w:r>
      <w:r>
        <w:rPr>
          <w:lang w:val="en-US"/>
        </w:rPr>
        <w:t>(</w:t>
      </w:r>
      <w:r w:rsidRPr="00DB0480">
        <w:rPr>
          <w:lang w:val="en-US"/>
        </w:rPr>
        <w:t>allocation at the global custodian level</w:t>
      </w:r>
      <w:r>
        <w:rPr>
          <w:lang w:val="en-US"/>
        </w:rPr>
        <w:t>) and this is w</w:t>
      </w:r>
      <w:r w:rsidRPr="00DB0480">
        <w:rPr>
          <w:lang w:val="en-US"/>
        </w:rPr>
        <w:t xml:space="preserve">orkable when using one GC for multiple funds.  Same process applies to SLB with large amount.  </w:t>
      </w:r>
    </w:p>
    <w:p w:rsidR="00CE2C8C" w:rsidRDefault="00CE2C8C" w:rsidP="00CE2C8C">
      <w:pPr>
        <w:pStyle w:val="ListParagraph"/>
        <w:numPr>
          <w:ilvl w:val="0"/>
          <w:numId w:val="20"/>
        </w:numPr>
        <w:spacing w:after="200"/>
        <w:contextualSpacing/>
        <w:rPr>
          <w:lang w:val="en-US"/>
        </w:rPr>
      </w:pPr>
      <w:r>
        <w:rPr>
          <w:lang w:val="en-US"/>
        </w:rPr>
        <w:t xml:space="preserve">AK agreed to change the name to “Block Trade/Bulk Settlement”.  </w:t>
      </w:r>
    </w:p>
    <w:p w:rsidR="00CE2C8C" w:rsidRPr="00CF7BF4" w:rsidRDefault="00CE2C8C" w:rsidP="00CE2C8C">
      <w:pPr>
        <w:pStyle w:val="ListParagraph"/>
        <w:numPr>
          <w:ilvl w:val="0"/>
          <w:numId w:val="20"/>
        </w:numPr>
        <w:spacing w:after="200"/>
        <w:contextualSpacing/>
        <w:rPr>
          <w:lang w:val="en-US"/>
        </w:rPr>
      </w:pPr>
      <w:r>
        <w:rPr>
          <w:lang w:val="en-US"/>
        </w:rPr>
        <w:t>P</w:t>
      </w:r>
      <w:r w:rsidRPr="00DF287C">
        <w:rPr>
          <w:lang w:val="en-US"/>
        </w:rPr>
        <w:t>artial settlement in different markets (US</w:t>
      </w:r>
      <w:r>
        <w:rPr>
          <w:lang w:val="en-US"/>
        </w:rPr>
        <w:t>, UK</w:t>
      </w:r>
      <w:r w:rsidRPr="00DF287C">
        <w:rPr>
          <w:lang w:val="en-US"/>
        </w:rPr>
        <w:t>, AP)</w:t>
      </w:r>
      <w:r>
        <w:rPr>
          <w:lang w:val="en-US"/>
        </w:rPr>
        <w:t xml:space="preserve"> to be checked.  </w:t>
      </w:r>
      <w:r w:rsidRPr="00DF287C">
        <w:rPr>
          <w:lang w:val="en-US"/>
        </w:rPr>
        <w:t xml:space="preserve">Method of allocation:  pro ratio?  What about remaining share (allocate 1/3 each to 3 accounts?)  </w:t>
      </w:r>
      <w:r>
        <w:rPr>
          <w:lang w:val="en-US"/>
        </w:rPr>
        <w:t xml:space="preserve">No clear practice so will remain SLA based. </w:t>
      </w:r>
    </w:p>
    <w:p w:rsidR="00CE2C8C" w:rsidRDefault="00CE2C8C" w:rsidP="00CE2C8C">
      <w:pPr>
        <w:pStyle w:val="ListParagraph"/>
        <w:numPr>
          <w:ilvl w:val="0"/>
          <w:numId w:val="18"/>
        </w:numPr>
        <w:spacing w:after="200"/>
        <w:contextualSpacing/>
        <w:rPr>
          <w:lang w:val="en-US"/>
        </w:rPr>
      </w:pPr>
      <w:r w:rsidRPr="00DF287C">
        <w:rPr>
          <w:lang w:val="en-US"/>
        </w:rPr>
        <w:t>Global time deposit</w:t>
      </w:r>
    </w:p>
    <w:p w:rsidR="00CE2C8C" w:rsidRDefault="00CE2C8C" w:rsidP="00CE2C8C">
      <w:pPr>
        <w:pStyle w:val="ListParagraph"/>
        <w:numPr>
          <w:ilvl w:val="0"/>
          <w:numId w:val="21"/>
        </w:numPr>
        <w:spacing w:after="200"/>
        <w:contextualSpacing/>
        <w:rPr>
          <w:lang w:val="en-US"/>
        </w:rPr>
      </w:pPr>
      <w:r w:rsidRPr="00DF287C">
        <w:rPr>
          <w:lang w:val="en-US"/>
        </w:rPr>
        <w:t>MT321 Instruction to Settle a Third Party Loan/Deposit</w:t>
      </w:r>
      <w:r>
        <w:rPr>
          <w:lang w:val="en-US"/>
        </w:rPr>
        <w:t xml:space="preserve"> (Cash)</w:t>
      </w:r>
      <w:r w:rsidRPr="00DF287C">
        <w:rPr>
          <w:lang w:val="en-US"/>
        </w:rPr>
        <w:t>:  Need to document the handling of the negative interest and amount</w:t>
      </w:r>
      <w:r>
        <w:rPr>
          <w:lang w:val="en-US"/>
        </w:rPr>
        <w:t xml:space="preserve"> which is currently happening in Denmark and few other countries</w:t>
      </w:r>
      <w:r w:rsidRPr="00DF287C">
        <w:rPr>
          <w:lang w:val="en-US"/>
        </w:rPr>
        <w:t>.</w:t>
      </w:r>
    </w:p>
    <w:p w:rsidR="00CE2C8C" w:rsidRDefault="00CE2C8C" w:rsidP="00CE2C8C">
      <w:pPr>
        <w:pStyle w:val="ListParagraph"/>
        <w:numPr>
          <w:ilvl w:val="0"/>
          <w:numId w:val="21"/>
        </w:numPr>
        <w:spacing w:after="200"/>
        <w:contextualSpacing/>
        <w:rPr>
          <w:lang w:val="en-US"/>
        </w:rPr>
      </w:pPr>
      <w:r>
        <w:rPr>
          <w:lang w:val="en-US"/>
        </w:rPr>
        <w:t xml:space="preserve">SG:  </w:t>
      </w:r>
      <w:r w:rsidRPr="00DF287C">
        <w:rPr>
          <w:lang w:val="en-US"/>
        </w:rPr>
        <w:t>Report back to RMPG (use of MT321 can be beneficial to many AP users – still lot of paper works for short term loan / deposits)</w:t>
      </w:r>
    </w:p>
    <w:p w:rsidR="00CE2C8C" w:rsidRPr="00DF287C" w:rsidRDefault="00CE2C8C" w:rsidP="00CE2C8C">
      <w:pPr>
        <w:pStyle w:val="ListParagraph"/>
        <w:numPr>
          <w:ilvl w:val="0"/>
          <w:numId w:val="21"/>
        </w:numPr>
        <w:spacing w:after="200"/>
        <w:contextualSpacing/>
        <w:rPr>
          <w:lang w:val="en-US"/>
        </w:rPr>
      </w:pPr>
      <w:r>
        <w:rPr>
          <w:lang w:val="en-US"/>
        </w:rPr>
        <w:t xml:space="preserve">SG:  </w:t>
      </w:r>
      <w:r w:rsidRPr="00DF287C">
        <w:rPr>
          <w:lang w:val="en-US"/>
        </w:rPr>
        <w:t>Short term loan/deposit is treated as “financial instruments” in developing countries</w:t>
      </w:r>
      <w:r>
        <w:rPr>
          <w:lang w:val="en-US"/>
        </w:rPr>
        <w:t xml:space="preserve"> and shown in MT535</w:t>
      </w:r>
      <w:r w:rsidRPr="00DF287C">
        <w:rPr>
          <w:lang w:val="en-US"/>
        </w:rPr>
        <w:t xml:space="preserve">.  </w:t>
      </w:r>
      <w:r>
        <w:rPr>
          <w:lang w:val="en-US"/>
        </w:rPr>
        <w:t xml:space="preserve">AK:  </w:t>
      </w:r>
      <w:r w:rsidRPr="00DF287C">
        <w:rPr>
          <w:lang w:val="en-US"/>
        </w:rPr>
        <w:t xml:space="preserve">In ISO 20022 there is total portfolio valuation message which can handle both cash and securities.  </w:t>
      </w:r>
    </w:p>
    <w:p w:rsidR="00CE2C8C" w:rsidRDefault="00CE2C8C" w:rsidP="00CE2C8C">
      <w:pPr>
        <w:pStyle w:val="ListParagraph"/>
        <w:numPr>
          <w:ilvl w:val="0"/>
          <w:numId w:val="18"/>
        </w:numPr>
        <w:spacing w:after="200"/>
        <w:contextualSpacing/>
        <w:rPr>
          <w:lang w:val="en-US"/>
        </w:rPr>
      </w:pPr>
      <w:r w:rsidRPr="00DF287C">
        <w:rPr>
          <w:lang w:val="en-US"/>
        </w:rPr>
        <w:t>MT537 Pending Reports</w:t>
      </w:r>
    </w:p>
    <w:p w:rsidR="00CE2C8C" w:rsidRDefault="00CE2C8C" w:rsidP="00CE2C8C">
      <w:pPr>
        <w:pStyle w:val="ListParagraph"/>
        <w:numPr>
          <w:ilvl w:val="0"/>
          <w:numId w:val="22"/>
        </w:numPr>
        <w:spacing w:after="200"/>
        <w:contextualSpacing/>
        <w:rPr>
          <w:lang w:val="en-US"/>
        </w:rPr>
      </w:pPr>
      <w:r w:rsidRPr="00DF287C">
        <w:rPr>
          <w:lang w:val="en-US"/>
        </w:rPr>
        <w:t>Handling of the cancel transactions:  1</w:t>
      </w:r>
      <w:r w:rsidRPr="00DF287C">
        <w:rPr>
          <w:vertAlign w:val="superscript"/>
          <w:lang w:val="en-US"/>
        </w:rPr>
        <w:t>st</w:t>
      </w:r>
      <w:r w:rsidRPr="00DF287C">
        <w:rPr>
          <w:lang w:val="en-US"/>
        </w:rPr>
        <w:t xml:space="preserve"> time, include cancel transaction (as transitional information), then remove, rather than remove it as soon as cancel request is received.  Should we keep this practice?  Or not?  US / UK might like to</w:t>
      </w:r>
      <w:r>
        <w:rPr>
          <w:lang w:val="en-US"/>
        </w:rPr>
        <w:t xml:space="preserve"> keep – SWIFT to double check.</w:t>
      </w:r>
    </w:p>
    <w:p w:rsidR="00CE2C8C" w:rsidRDefault="00CE2C8C" w:rsidP="00CE2C8C">
      <w:pPr>
        <w:pStyle w:val="ListParagraph"/>
        <w:numPr>
          <w:ilvl w:val="0"/>
          <w:numId w:val="22"/>
        </w:numPr>
        <w:spacing w:after="200"/>
        <w:contextualSpacing/>
        <w:rPr>
          <w:lang w:val="en-US"/>
        </w:rPr>
      </w:pPr>
      <w:r>
        <w:rPr>
          <w:lang w:val="en-US"/>
        </w:rPr>
        <w:t xml:space="preserve">SG:  </w:t>
      </w:r>
      <w:r w:rsidRPr="00DF287C">
        <w:rPr>
          <w:lang w:val="en-US"/>
        </w:rPr>
        <w:t xml:space="preserve">Having </w:t>
      </w:r>
      <w:r>
        <w:rPr>
          <w:lang w:val="en-US"/>
        </w:rPr>
        <w:t>a</w:t>
      </w:r>
      <w:r w:rsidRPr="00DF287C">
        <w:rPr>
          <w:lang w:val="en-US"/>
        </w:rPr>
        <w:t xml:space="preserve"> cancellation report will help both </w:t>
      </w:r>
      <w:r>
        <w:rPr>
          <w:lang w:val="en-US"/>
        </w:rPr>
        <w:t>a/c servicer and a/c owner</w:t>
      </w:r>
      <w:r w:rsidRPr="00DF287C">
        <w:rPr>
          <w:lang w:val="en-US"/>
        </w:rPr>
        <w:t xml:space="preserve">.  No cancellation report at the moment. </w:t>
      </w:r>
      <w:r>
        <w:rPr>
          <w:lang w:val="en-US"/>
        </w:rPr>
        <w:t xml:space="preserve"> Very much limited to the sub-custody, but cancellation report can be useful.  After </w:t>
      </w:r>
      <w:r>
        <w:rPr>
          <w:lang w:val="en-US"/>
        </w:rPr>
        <w:lastRenderedPageBreak/>
        <w:t xml:space="preserve">MT548, there is no “fail safe” for cancellation process.  Cancel records are kept in the system, but no “report” for cancellation.   </w:t>
      </w:r>
    </w:p>
    <w:p w:rsidR="00CE2C8C" w:rsidRPr="00DF287C" w:rsidRDefault="00CE2C8C" w:rsidP="00CE2C8C">
      <w:pPr>
        <w:pStyle w:val="ListParagraph"/>
        <w:numPr>
          <w:ilvl w:val="0"/>
          <w:numId w:val="22"/>
        </w:numPr>
        <w:spacing w:after="200"/>
        <w:contextualSpacing/>
        <w:rPr>
          <w:lang w:val="en-US"/>
        </w:rPr>
      </w:pPr>
      <w:r w:rsidRPr="00DF287C">
        <w:rPr>
          <w:lang w:val="en-US"/>
        </w:rPr>
        <w:t xml:space="preserve">AK:  It was once discussed and not agreed in the past.   SWIFT to double check with the members re. possibility of the cancellation report as new message type.  </w:t>
      </w:r>
    </w:p>
    <w:p w:rsidR="00CE2C8C" w:rsidRPr="00DF287C" w:rsidRDefault="00CE2C8C" w:rsidP="00CE2C8C">
      <w:pPr>
        <w:pStyle w:val="ListParagraph"/>
        <w:numPr>
          <w:ilvl w:val="0"/>
          <w:numId w:val="22"/>
        </w:numPr>
        <w:spacing w:after="200"/>
        <w:contextualSpacing/>
        <w:rPr>
          <w:lang w:val="en-US"/>
        </w:rPr>
      </w:pPr>
      <w:r>
        <w:rPr>
          <w:lang w:val="en-US"/>
        </w:rPr>
        <w:t>The usage of MT by meeting participants are as below (status of the cancellation):</w:t>
      </w:r>
    </w:p>
    <w:p w:rsidR="00CE2C8C" w:rsidRDefault="00CE2C8C" w:rsidP="00CE2C8C">
      <w:pPr>
        <w:ind w:firstLine="720"/>
      </w:pPr>
      <w:r>
        <w:t>Germany:  If no MT548, refer to MT537. No cancellations in MT537</w:t>
      </w:r>
    </w:p>
    <w:p w:rsidR="00CE2C8C" w:rsidRDefault="00CE2C8C" w:rsidP="00CE2C8C">
      <w:pPr>
        <w:ind w:left="720"/>
      </w:pPr>
      <w:r>
        <w:t>Spain:  Use MT548, also for cancellation.  1</w:t>
      </w:r>
      <w:r w:rsidRPr="00D61F6A">
        <w:rPr>
          <w:vertAlign w:val="superscript"/>
        </w:rPr>
        <w:t>st</w:t>
      </w:r>
      <w:r>
        <w:t xml:space="preserve"> pending report vs 2</w:t>
      </w:r>
      <w:r w:rsidRPr="00D61F6A">
        <w:rPr>
          <w:vertAlign w:val="superscript"/>
        </w:rPr>
        <w:t>nd</w:t>
      </w:r>
      <w:r>
        <w:t xml:space="preserve"> pending report:  Disappeared ones are “settled” or “cancelled” – details can be seen in MT548.  </w:t>
      </w:r>
    </w:p>
    <w:p w:rsidR="00CE2C8C" w:rsidRDefault="00CE2C8C" w:rsidP="00CE2C8C">
      <w:pPr>
        <w:ind w:firstLine="720"/>
      </w:pPr>
      <w:r>
        <w:t>Poland:  MT548</w:t>
      </w:r>
    </w:p>
    <w:p w:rsidR="00CE2C8C" w:rsidRDefault="00CE2C8C" w:rsidP="00CE2C8C">
      <w:pPr>
        <w:ind w:firstLine="720"/>
      </w:pPr>
      <w:r>
        <w:t>South Africa:  MT548</w:t>
      </w:r>
    </w:p>
    <w:p w:rsidR="00CE2C8C" w:rsidRDefault="00CE2C8C" w:rsidP="00CE2C8C">
      <w:pPr>
        <w:ind w:firstLine="720"/>
      </w:pPr>
      <w:r>
        <w:t>India:  Might be relevant to have cancellation report.</w:t>
      </w:r>
    </w:p>
    <w:p w:rsidR="00CE2C8C" w:rsidRDefault="00CE2C8C" w:rsidP="00CE2C8C">
      <w:pPr>
        <w:ind w:firstLine="720"/>
      </w:pPr>
      <w:r>
        <w:t xml:space="preserve">Japan:  Yes, may be.  </w:t>
      </w:r>
    </w:p>
    <w:p w:rsidR="00CE2C8C" w:rsidRDefault="00CE2C8C" w:rsidP="00CE2C8C"/>
    <w:p w:rsidR="00CE2C8C" w:rsidRPr="00DF287C" w:rsidRDefault="00CE2C8C" w:rsidP="00CE2C8C">
      <w:pPr>
        <w:rPr>
          <w:u w:val="single"/>
        </w:rPr>
      </w:pPr>
      <w:r w:rsidRPr="00DF287C">
        <w:rPr>
          <w:u w:val="single"/>
        </w:rPr>
        <w:t xml:space="preserve">Nov </w:t>
      </w:r>
      <w:r w:rsidR="008A7BC3">
        <w:rPr>
          <w:u w:val="single"/>
        </w:rPr>
        <w:t>6</w:t>
      </w:r>
      <w:r w:rsidRPr="00DF287C">
        <w:rPr>
          <w:u w:val="single"/>
        </w:rPr>
        <w:t>, 13:30 – 15:00</w:t>
      </w:r>
    </w:p>
    <w:p w:rsidR="00CE2C8C" w:rsidRDefault="00CE2C8C" w:rsidP="00CE2C8C">
      <w:pPr>
        <w:pStyle w:val="ListParagraph"/>
        <w:numPr>
          <w:ilvl w:val="0"/>
          <w:numId w:val="23"/>
        </w:numPr>
        <w:spacing w:after="200"/>
        <w:contextualSpacing/>
        <w:rPr>
          <w:lang w:val="en-US"/>
        </w:rPr>
      </w:pPr>
      <w:r w:rsidRPr="00DF287C">
        <w:rPr>
          <w:lang w:val="en-US"/>
        </w:rPr>
        <w:t>Tri-party party collateral management Appendix (MT527, MT540’s, etc.) – segregation of cash/securities collaterals</w:t>
      </w:r>
    </w:p>
    <w:p w:rsidR="00CE2C8C" w:rsidRDefault="00CE2C8C" w:rsidP="00CE2C8C">
      <w:pPr>
        <w:pStyle w:val="ListParagraph"/>
        <w:numPr>
          <w:ilvl w:val="0"/>
          <w:numId w:val="24"/>
        </w:numPr>
        <w:spacing w:after="200"/>
        <w:contextualSpacing/>
        <w:rPr>
          <w:lang w:val="en-US"/>
        </w:rPr>
      </w:pPr>
      <w:r w:rsidRPr="00DF287C">
        <w:rPr>
          <w:lang w:val="en-US"/>
        </w:rPr>
        <w:t xml:space="preserve">Established by ISITC, AMF, ISDA, SWIFT to meet the regulatory requirement.  </w:t>
      </w:r>
    </w:p>
    <w:p w:rsidR="00CE2C8C" w:rsidRPr="00C25A66" w:rsidRDefault="00CE2C8C" w:rsidP="00CE2C8C">
      <w:pPr>
        <w:pStyle w:val="ListParagraph"/>
        <w:numPr>
          <w:ilvl w:val="0"/>
          <w:numId w:val="24"/>
        </w:numPr>
        <w:spacing w:after="200"/>
        <w:contextualSpacing/>
        <w:rPr>
          <w:lang w:val="en-US"/>
        </w:rPr>
      </w:pPr>
      <w:r w:rsidRPr="00CF7BF4">
        <w:rPr>
          <w:lang w:val="en-US"/>
        </w:rPr>
        <w:t xml:space="preserve">Current users </w:t>
      </w:r>
      <w:r>
        <w:rPr>
          <w:lang w:val="en-US"/>
        </w:rPr>
        <w:t>of the MT 527-558 and 569</w:t>
      </w:r>
      <w:r w:rsidRPr="00DF287C">
        <w:rPr>
          <w:lang w:val="en-US"/>
        </w:rPr>
        <w:t xml:space="preserve"> </w:t>
      </w:r>
      <w:r w:rsidRPr="00CF7BF4">
        <w:rPr>
          <w:lang w:val="en-US"/>
        </w:rPr>
        <w:t>are  Clearstream, Euroclear and B</w:t>
      </w:r>
      <w:r>
        <w:rPr>
          <w:lang w:val="en-US"/>
        </w:rPr>
        <w:t>o</w:t>
      </w:r>
      <w:r w:rsidRPr="00CF7BF4">
        <w:rPr>
          <w:lang w:val="en-US"/>
        </w:rPr>
        <w:t>NYM</w:t>
      </w:r>
      <w:r>
        <w:rPr>
          <w:lang w:val="en-US"/>
        </w:rPr>
        <w:t>ellon, JPMorgan for their historical tri-party collateral management service offering.</w:t>
      </w:r>
    </w:p>
    <w:p w:rsidR="00CE2C8C" w:rsidRDefault="00CE2C8C" w:rsidP="00CE2C8C">
      <w:pPr>
        <w:pStyle w:val="ListParagraph"/>
        <w:numPr>
          <w:ilvl w:val="0"/>
          <w:numId w:val="24"/>
        </w:numPr>
        <w:spacing w:after="200"/>
        <w:contextualSpacing/>
        <w:rPr>
          <w:lang w:val="en-US"/>
        </w:rPr>
      </w:pPr>
      <w:r>
        <w:rPr>
          <w:lang w:val="en-US"/>
        </w:rPr>
        <w:t>On Diagram 1, Germany questioned about the</w:t>
      </w:r>
      <w:r w:rsidRPr="00DF287C">
        <w:rPr>
          <w:lang w:val="en-US"/>
        </w:rPr>
        <w:t xml:space="preserve"> A/c </w:t>
      </w:r>
      <w:r>
        <w:rPr>
          <w:lang w:val="en-US"/>
        </w:rPr>
        <w:t>owner – dealer communication</w:t>
      </w:r>
      <w:r w:rsidRPr="00DF287C">
        <w:rPr>
          <w:lang w:val="en-US"/>
        </w:rPr>
        <w:t xml:space="preserve">:  </w:t>
      </w:r>
      <w:r>
        <w:rPr>
          <w:lang w:val="en-US"/>
        </w:rPr>
        <w:t xml:space="preserve">AK:  </w:t>
      </w:r>
      <w:r w:rsidRPr="00DF287C">
        <w:rPr>
          <w:lang w:val="en-US"/>
        </w:rPr>
        <w:t xml:space="preserve">Bilateral collateral management messages can be used between the a/c owner and dealer communication (not included in the tri-party security and cash collateral segregation (normal collateral management messages).  Underlying transaction flow not included as well.  </w:t>
      </w:r>
    </w:p>
    <w:p w:rsidR="00CE2C8C" w:rsidRDefault="00CE2C8C" w:rsidP="00CE2C8C">
      <w:pPr>
        <w:pStyle w:val="ListParagraph"/>
        <w:numPr>
          <w:ilvl w:val="0"/>
          <w:numId w:val="24"/>
        </w:numPr>
        <w:spacing w:after="200"/>
        <w:contextualSpacing/>
        <w:rPr>
          <w:lang w:val="en-US"/>
        </w:rPr>
      </w:pPr>
      <w:r w:rsidRPr="00853E88">
        <w:rPr>
          <w:lang w:val="en-US"/>
        </w:rPr>
        <w:t xml:space="preserve">On </w:t>
      </w:r>
      <w:r>
        <w:rPr>
          <w:lang w:val="en-US"/>
        </w:rPr>
        <w:t>Diagram 2, Germany questioned about the actual settlement:  AK</w:t>
      </w:r>
      <w:r w:rsidRPr="00853E88">
        <w:rPr>
          <w:lang w:val="en-US"/>
        </w:rPr>
        <w:t xml:space="preserve">:  Will take place at the CSD but CSD is excluded from the diagram to avoid confusion.  </w:t>
      </w:r>
    </w:p>
    <w:p w:rsidR="00CE2C8C" w:rsidRDefault="00CE2C8C" w:rsidP="00CE2C8C">
      <w:pPr>
        <w:pStyle w:val="ListParagraph"/>
        <w:numPr>
          <w:ilvl w:val="0"/>
          <w:numId w:val="24"/>
        </w:numPr>
        <w:spacing w:after="200"/>
        <w:contextualSpacing/>
        <w:rPr>
          <w:lang w:val="en-US"/>
        </w:rPr>
      </w:pPr>
      <w:r w:rsidRPr="00853E88">
        <w:rPr>
          <w:lang w:val="en-US"/>
        </w:rPr>
        <w:t>On Diagram 2 (D) MT540</w:t>
      </w:r>
      <w:r>
        <w:rPr>
          <w:lang w:val="en-US"/>
        </w:rPr>
        <w:t xml:space="preserve"> (custodian and Triparty collateral agent are different parties)</w:t>
      </w:r>
      <w:r w:rsidRPr="00853E88">
        <w:rPr>
          <w:lang w:val="en-US"/>
        </w:rPr>
        <w:t xml:space="preserve">:  </w:t>
      </w:r>
      <w:r>
        <w:rPr>
          <w:lang w:val="en-US"/>
        </w:rPr>
        <w:t>Shown as collateral receipt, but this is n</w:t>
      </w:r>
      <w:r w:rsidRPr="00853E88">
        <w:rPr>
          <w:lang w:val="en-US"/>
        </w:rPr>
        <w:t>ot a collateral receipt for the account servicer</w:t>
      </w:r>
      <w:r>
        <w:rPr>
          <w:lang w:val="en-US"/>
        </w:rPr>
        <w:t xml:space="preserve"> 1 (custodian)</w:t>
      </w:r>
      <w:r w:rsidRPr="00853E88">
        <w:rPr>
          <w:lang w:val="en-US"/>
        </w:rPr>
        <w:t>.</w:t>
      </w:r>
      <w:r>
        <w:rPr>
          <w:lang w:val="en-US"/>
        </w:rPr>
        <w:t xml:space="preserve"> To be checked with JB.</w:t>
      </w:r>
      <w:r w:rsidRPr="00853E88">
        <w:rPr>
          <w:lang w:val="en-US"/>
        </w:rPr>
        <w:t xml:space="preserve"> </w:t>
      </w:r>
    </w:p>
    <w:p w:rsidR="00CE2C8C" w:rsidRDefault="00CE2C8C" w:rsidP="00CE2C8C">
      <w:pPr>
        <w:pStyle w:val="ListParagraph"/>
        <w:numPr>
          <w:ilvl w:val="0"/>
          <w:numId w:val="24"/>
        </w:numPr>
        <w:spacing w:after="200"/>
        <w:contextualSpacing/>
        <w:rPr>
          <w:lang w:val="en-US"/>
        </w:rPr>
      </w:pPr>
      <w:r w:rsidRPr="00853E88">
        <w:rPr>
          <w:lang w:val="en-US"/>
        </w:rPr>
        <w:t>On Diagram 6:  MT202</w:t>
      </w:r>
      <w:r>
        <w:rPr>
          <w:lang w:val="en-US"/>
        </w:rPr>
        <w:t xml:space="preserve"> is used</w:t>
      </w:r>
      <w:r w:rsidRPr="00853E88">
        <w:rPr>
          <w:lang w:val="en-US"/>
        </w:rPr>
        <w:t xml:space="preserve"> because IM are </w:t>
      </w:r>
      <w:r>
        <w:rPr>
          <w:lang w:val="en-US"/>
        </w:rPr>
        <w:t xml:space="preserve">considered as </w:t>
      </w:r>
      <w:r w:rsidRPr="00853E88">
        <w:rPr>
          <w:lang w:val="en-US"/>
        </w:rPr>
        <w:t>FI in the US?  Yes</w:t>
      </w:r>
      <w:r>
        <w:rPr>
          <w:lang w:val="en-US"/>
        </w:rPr>
        <w:t>.</w:t>
      </w:r>
    </w:p>
    <w:p w:rsidR="00CE2C8C" w:rsidRDefault="00CE2C8C" w:rsidP="00CE2C8C">
      <w:pPr>
        <w:pStyle w:val="ListParagraph"/>
        <w:numPr>
          <w:ilvl w:val="0"/>
          <w:numId w:val="24"/>
        </w:numPr>
        <w:spacing w:after="200"/>
        <w:contextualSpacing/>
        <w:rPr>
          <w:lang w:val="en-US"/>
        </w:rPr>
      </w:pPr>
      <w:r w:rsidRPr="00853E88">
        <w:rPr>
          <w:lang w:val="en-US"/>
        </w:rPr>
        <w:t xml:space="preserve">Settlement information in MT527:  Not yet materialized </w:t>
      </w:r>
      <w:r>
        <w:rPr>
          <w:lang w:val="en-US"/>
        </w:rPr>
        <w:t xml:space="preserve">as the </w:t>
      </w:r>
      <w:r w:rsidRPr="00853E88">
        <w:rPr>
          <w:lang w:val="en-US"/>
        </w:rPr>
        <w:t xml:space="preserve"> change request.  </w:t>
      </w:r>
      <w:r>
        <w:rPr>
          <w:lang w:val="en-US"/>
        </w:rPr>
        <w:t>US says that they w</w:t>
      </w:r>
      <w:r w:rsidRPr="00853E88">
        <w:rPr>
          <w:lang w:val="en-US"/>
        </w:rPr>
        <w:t>ill test the practice first and if it is effective enough, they will submit the change request.</w:t>
      </w:r>
    </w:p>
    <w:p w:rsidR="00CE2C8C" w:rsidRDefault="00CE2C8C" w:rsidP="00CE2C8C">
      <w:pPr>
        <w:pStyle w:val="ListParagraph"/>
        <w:numPr>
          <w:ilvl w:val="0"/>
          <w:numId w:val="24"/>
        </w:numPr>
        <w:spacing w:after="200"/>
        <w:contextualSpacing/>
        <w:rPr>
          <w:lang w:val="en-US"/>
        </w:rPr>
      </w:pPr>
      <w:r>
        <w:rPr>
          <w:lang w:val="en-US"/>
        </w:rPr>
        <w:t>Mr. Katayama questioned about</w:t>
      </w:r>
      <w:r w:rsidRPr="00853E88">
        <w:rPr>
          <w:lang w:val="en-US"/>
        </w:rPr>
        <w:t xml:space="preserve"> the m</w:t>
      </w:r>
      <w:r>
        <w:rPr>
          <w:lang w:val="en-US"/>
        </w:rPr>
        <w:t>ajor vendors in this area:  Need to be checked and answered (with JB).</w:t>
      </w:r>
    </w:p>
    <w:p w:rsidR="00CE2C8C" w:rsidRPr="00853E88" w:rsidRDefault="00CE2C8C" w:rsidP="00CE2C8C">
      <w:pPr>
        <w:pStyle w:val="ListParagraph"/>
        <w:numPr>
          <w:ilvl w:val="0"/>
          <w:numId w:val="24"/>
        </w:numPr>
        <w:spacing w:after="200"/>
        <w:contextualSpacing/>
        <w:rPr>
          <w:lang w:val="en-US"/>
        </w:rPr>
      </w:pPr>
      <w:r>
        <w:rPr>
          <w:lang w:val="en-US"/>
        </w:rPr>
        <w:t>JASDEC questioned the s</w:t>
      </w:r>
      <w:r w:rsidRPr="00853E88">
        <w:rPr>
          <w:lang w:val="en-US"/>
        </w:rPr>
        <w:t>tatus of the ISO 2002</w:t>
      </w:r>
      <w:r>
        <w:rPr>
          <w:lang w:val="en-US"/>
        </w:rPr>
        <w:t>2 Triparty Collateral Management Message.  AK</w:t>
      </w:r>
      <w:r w:rsidRPr="00853E88">
        <w:rPr>
          <w:lang w:val="en-US"/>
        </w:rPr>
        <w:t xml:space="preserve">:  No particular status.  </w:t>
      </w:r>
      <w:r>
        <w:rPr>
          <w:lang w:val="en-US"/>
        </w:rPr>
        <w:t>Has been withdrawn as no interest expressed by the existing ISO 15022 users</w:t>
      </w:r>
      <w:r w:rsidRPr="00853E88">
        <w:rPr>
          <w:lang w:val="en-US"/>
        </w:rPr>
        <w:t>.</w:t>
      </w:r>
    </w:p>
    <w:p w:rsidR="00CE2C8C" w:rsidRDefault="00CE2C8C" w:rsidP="00CE2C8C">
      <w:pPr>
        <w:pStyle w:val="ListParagraph"/>
        <w:numPr>
          <w:ilvl w:val="0"/>
          <w:numId w:val="23"/>
        </w:numPr>
        <w:spacing w:after="200"/>
        <w:contextualSpacing/>
        <w:rPr>
          <w:lang w:val="en-US"/>
        </w:rPr>
      </w:pPr>
      <w:r w:rsidRPr="00AC0CE8">
        <w:rPr>
          <w:lang w:val="en-US"/>
        </w:rPr>
        <w:t>Earmarking</w:t>
      </w:r>
    </w:p>
    <w:p w:rsidR="00CE2C8C" w:rsidRDefault="00CE2C8C" w:rsidP="00CE2C8C">
      <w:pPr>
        <w:pStyle w:val="ListParagraph"/>
        <w:numPr>
          <w:ilvl w:val="0"/>
          <w:numId w:val="25"/>
        </w:numPr>
        <w:spacing w:after="200"/>
        <w:contextualSpacing/>
        <w:rPr>
          <w:lang w:val="en-US"/>
        </w:rPr>
      </w:pPr>
      <w:r w:rsidRPr="00AC0CE8">
        <w:rPr>
          <w:lang w:val="en-US"/>
        </w:rPr>
        <w:t xml:space="preserve">MT598 messages were established to meet </w:t>
      </w:r>
      <w:r>
        <w:rPr>
          <w:lang w:val="en-US"/>
        </w:rPr>
        <w:t>Vietnam</w:t>
      </w:r>
      <w:r w:rsidRPr="00AC0CE8">
        <w:rPr>
          <w:lang w:val="en-US"/>
        </w:rPr>
        <w:t xml:space="preserve"> specific requirements to reserve cash and securities before the trade execution for institutional investors.  (Between the broker and the custody bank of the investor)</w:t>
      </w:r>
    </w:p>
    <w:p w:rsidR="00CE2C8C" w:rsidRDefault="00CE2C8C" w:rsidP="00CE2C8C">
      <w:pPr>
        <w:pStyle w:val="ListParagraph"/>
        <w:numPr>
          <w:ilvl w:val="0"/>
          <w:numId w:val="25"/>
        </w:numPr>
        <w:spacing w:after="200"/>
        <w:contextualSpacing/>
        <w:rPr>
          <w:lang w:val="en-US"/>
        </w:rPr>
      </w:pPr>
      <w:r w:rsidRPr="00AC0CE8">
        <w:rPr>
          <w:lang w:val="en-US"/>
        </w:rPr>
        <w:t xml:space="preserve">Mr. Inui commented that in China same process happens.  </w:t>
      </w:r>
    </w:p>
    <w:p w:rsidR="00CE2C8C" w:rsidRDefault="00CE2C8C" w:rsidP="00CE2C8C">
      <w:pPr>
        <w:pStyle w:val="ListParagraph"/>
        <w:numPr>
          <w:ilvl w:val="0"/>
          <w:numId w:val="25"/>
        </w:numPr>
        <w:spacing w:after="200"/>
        <w:contextualSpacing/>
        <w:rPr>
          <w:lang w:val="en-US"/>
        </w:rPr>
      </w:pPr>
      <w:r>
        <w:rPr>
          <w:lang w:val="en-US"/>
        </w:rPr>
        <w:t>Singapore commented that in Taiwan</w:t>
      </w:r>
      <w:r w:rsidRPr="00AC0CE8">
        <w:rPr>
          <w:lang w:val="en-US"/>
        </w:rPr>
        <w:t xml:space="preserve"> same process happens (even more critical as </w:t>
      </w:r>
      <w:r>
        <w:rPr>
          <w:lang w:val="en-US"/>
        </w:rPr>
        <w:t>Taiwan</w:t>
      </w:r>
      <w:r w:rsidRPr="00AC0CE8">
        <w:rPr>
          <w:lang w:val="en-US"/>
        </w:rPr>
        <w:t xml:space="preserve"> settlement cycle is T+1)</w:t>
      </w:r>
    </w:p>
    <w:p w:rsidR="00CE2C8C" w:rsidRDefault="00CE2C8C" w:rsidP="00CE2C8C">
      <w:pPr>
        <w:pStyle w:val="ListParagraph"/>
        <w:numPr>
          <w:ilvl w:val="0"/>
          <w:numId w:val="25"/>
        </w:numPr>
        <w:spacing w:after="200"/>
        <w:contextualSpacing/>
        <w:rPr>
          <w:lang w:val="en-US"/>
        </w:rPr>
      </w:pPr>
      <w:r>
        <w:rPr>
          <w:lang w:val="en-US"/>
        </w:rPr>
        <w:t xml:space="preserve">AK:  </w:t>
      </w:r>
      <w:r w:rsidRPr="00AC0CE8">
        <w:rPr>
          <w:lang w:val="en-US"/>
        </w:rPr>
        <w:t xml:space="preserve">In PH, between the different parties (CSD and central bank), the cash reservation is needed.  </w:t>
      </w:r>
    </w:p>
    <w:p w:rsidR="00CE2C8C" w:rsidRDefault="00CE2C8C" w:rsidP="00CE2C8C">
      <w:pPr>
        <w:pStyle w:val="ListParagraph"/>
        <w:numPr>
          <w:ilvl w:val="0"/>
          <w:numId w:val="25"/>
        </w:numPr>
        <w:spacing w:after="200"/>
        <w:contextualSpacing/>
        <w:rPr>
          <w:lang w:val="en-US"/>
        </w:rPr>
      </w:pPr>
      <w:r>
        <w:rPr>
          <w:lang w:val="en-US"/>
        </w:rPr>
        <w:t>Singapore questioned about the t</w:t>
      </w:r>
      <w:r w:rsidRPr="00AC0CE8">
        <w:rPr>
          <w:lang w:val="en-US"/>
        </w:rPr>
        <w:t>oleran</w:t>
      </w:r>
      <w:r>
        <w:rPr>
          <w:lang w:val="en-US"/>
        </w:rPr>
        <w:t>ce level and FX (t</w:t>
      </w:r>
      <w:r w:rsidRPr="00AC0CE8">
        <w:rPr>
          <w:lang w:val="en-US"/>
        </w:rPr>
        <w:t>here must be some accepted tolerance level and FX market practice.</w:t>
      </w:r>
      <w:r>
        <w:rPr>
          <w:lang w:val="en-US"/>
        </w:rPr>
        <w:t xml:space="preserve">)  AK:  At the moment no information included in the Vietnam guideline. </w:t>
      </w:r>
      <w:r w:rsidRPr="00AC0CE8">
        <w:rPr>
          <w:lang w:val="en-US"/>
        </w:rPr>
        <w:t xml:space="preserve">  Need to investigate more with </w:t>
      </w:r>
      <w:r>
        <w:rPr>
          <w:lang w:val="en-US"/>
        </w:rPr>
        <w:t>Vietnamese market</w:t>
      </w:r>
      <w:r w:rsidRPr="00AC0CE8">
        <w:rPr>
          <w:lang w:val="en-US"/>
        </w:rPr>
        <w:t xml:space="preserve"> participants.</w:t>
      </w:r>
    </w:p>
    <w:p w:rsidR="00CE2C8C" w:rsidRDefault="00CE2C8C" w:rsidP="00CE2C8C">
      <w:pPr>
        <w:pStyle w:val="ListParagraph"/>
        <w:numPr>
          <w:ilvl w:val="0"/>
          <w:numId w:val="25"/>
        </w:numPr>
        <w:spacing w:after="200"/>
        <w:contextualSpacing/>
        <w:rPr>
          <w:lang w:val="en-US"/>
        </w:rPr>
      </w:pPr>
      <w:r>
        <w:rPr>
          <w:lang w:val="en-US"/>
        </w:rPr>
        <w:t>Singapore questioned if the current document is a working document or not:  MM:  Yes.  Revisions are made for additional requirements, regulatory changes, etc.</w:t>
      </w:r>
    </w:p>
    <w:p w:rsidR="00CE2C8C" w:rsidRDefault="00CE2C8C" w:rsidP="00CE2C8C">
      <w:pPr>
        <w:pStyle w:val="ListParagraph"/>
        <w:numPr>
          <w:ilvl w:val="0"/>
          <w:numId w:val="25"/>
        </w:numPr>
        <w:spacing w:after="200"/>
        <w:contextualSpacing/>
        <w:rPr>
          <w:lang w:val="en-US"/>
        </w:rPr>
      </w:pPr>
      <w:r>
        <w:rPr>
          <w:lang w:val="en-US"/>
        </w:rPr>
        <w:t>Germany added that B</w:t>
      </w:r>
      <w:r w:rsidRPr="00AC0CE8">
        <w:rPr>
          <w:lang w:val="en-US"/>
        </w:rPr>
        <w:t xml:space="preserve">razil may be interested – </w:t>
      </w:r>
      <w:r>
        <w:rPr>
          <w:lang w:val="en-US"/>
        </w:rPr>
        <w:t>BRL</w:t>
      </w:r>
      <w:r w:rsidRPr="00AC0CE8">
        <w:rPr>
          <w:lang w:val="en-US"/>
        </w:rPr>
        <w:t xml:space="preserve"> vs US</w:t>
      </w:r>
      <w:r>
        <w:rPr>
          <w:lang w:val="en-US"/>
        </w:rPr>
        <w:t>D</w:t>
      </w:r>
      <w:r w:rsidRPr="00AC0CE8">
        <w:rPr>
          <w:lang w:val="en-US"/>
        </w:rPr>
        <w:t xml:space="preserve">/EUR to cover short in Real.  </w:t>
      </w:r>
      <w:r>
        <w:rPr>
          <w:lang w:val="en-US"/>
        </w:rPr>
        <w:t>BRL</w:t>
      </w:r>
      <w:r w:rsidRPr="00AC0CE8">
        <w:rPr>
          <w:lang w:val="en-US"/>
        </w:rPr>
        <w:t xml:space="preserve"> cannot be traded outside of Brazil.  </w:t>
      </w:r>
    </w:p>
    <w:p w:rsidR="00CE2C8C" w:rsidRDefault="00CE2C8C" w:rsidP="00CE2C8C">
      <w:pPr>
        <w:pStyle w:val="ListParagraph"/>
        <w:numPr>
          <w:ilvl w:val="0"/>
          <w:numId w:val="25"/>
        </w:numPr>
        <w:spacing w:after="200"/>
        <w:contextualSpacing/>
        <w:rPr>
          <w:lang w:val="en-US"/>
        </w:rPr>
      </w:pPr>
      <w:r>
        <w:rPr>
          <w:lang w:val="en-US"/>
        </w:rPr>
        <w:lastRenderedPageBreak/>
        <w:t xml:space="preserve">AK:  </w:t>
      </w:r>
      <w:r w:rsidRPr="00AC0CE8">
        <w:rPr>
          <w:lang w:val="en-US"/>
        </w:rPr>
        <w:t>T2S uses cash intra balance movement and securities intra position movement messages (but not for 3</w:t>
      </w:r>
      <w:r w:rsidRPr="00AC0CE8">
        <w:rPr>
          <w:vertAlign w:val="superscript"/>
          <w:lang w:val="en-US"/>
        </w:rPr>
        <w:t>rd</w:t>
      </w:r>
      <w:r w:rsidRPr="00AC0CE8">
        <w:rPr>
          <w:lang w:val="en-US"/>
        </w:rPr>
        <w:t xml:space="preserve"> party usage like </w:t>
      </w:r>
      <w:r>
        <w:rPr>
          <w:lang w:val="en-US"/>
        </w:rPr>
        <w:t>Vietnam</w:t>
      </w:r>
      <w:r w:rsidRPr="00AC0CE8">
        <w:rPr>
          <w:lang w:val="en-US"/>
        </w:rPr>
        <w:t xml:space="preserve">):  Communication to debit/credit from the central bank account or securities reserve.  </w:t>
      </w:r>
    </w:p>
    <w:p w:rsidR="00CE2C8C" w:rsidRPr="00AC0CE8" w:rsidRDefault="00CE2C8C" w:rsidP="00CE2C8C">
      <w:pPr>
        <w:pStyle w:val="ListParagraph"/>
        <w:numPr>
          <w:ilvl w:val="0"/>
          <w:numId w:val="25"/>
        </w:numPr>
        <w:spacing w:after="200"/>
        <w:contextualSpacing/>
        <w:rPr>
          <w:lang w:val="en-US"/>
        </w:rPr>
      </w:pPr>
      <w:r>
        <w:rPr>
          <w:lang w:val="en-US"/>
        </w:rPr>
        <w:t>Mr. Ishida’s s</w:t>
      </w:r>
      <w:r w:rsidRPr="00AC0CE8">
        <w:rPr>
          <w:lang w:val="en-US"/>
        </w:rPr>
        <w:t>ugge</w:t>
      </w:r>
      <w:r>
        <w:rPr>
          <w:lang w:val="en-US"/>
        </w:rPr>
        <w:t>stion</w:t>
      </w:r>
      <w:r w:rsidRPr="00AC0CE8">
        <w:rPr>
          <w:lang w:val="en-US"/>
        </w:rPr>
        <w:t xml:space="preserve">:  SWIFT should tell the market players that it is not the best way – need to introduce the idea of collateralization, etc., so that the liquidity of the cash can be retained.  </w:t>
      </w:r>
    </w:p>
    <w:p w:rsidR="00CE2C8C" w:rsidRPr="00AC0CE8" w:rsidRDefault="00CE2C8C" w:rsidP="00CE2C8C">
      <w:pPr>
        <w:pStyle w:val="ListParagraph"/>
        <w:numPr>
          <w:ilvl w:val="0"/>
          <w:numId w:val="23"/>
        </w:numPr>
        <w:spacing w:after="200"/>
        <w:contextualSpacing/>
        <w:rPr>
          <w:lang w:val="en-US"/>
        </w:rPr>
      </w:pPr>
      <w:r w:rsidRPr="00AC0CE8">
        <w:rPr>
          <w:lang w:val="en-US"/>
        </w:rPr>
        <w:t>SLB KR market practice</w:t>
      </w:r>
    </w:p>
    <w:p w:rsidR="00CE2C8C" w:rsidRDefault="00CE2C8C" w:rsidP="00CE2C8C">
      <w:pPr>
        <w:pStyle w:val="ListParagraph"/>
        <w:numPr>
          <w:ilvl w:val="0"/>
          <w:numId w:val="26"/>
        </w:numPr>
        <w:spacing w:after="200"/>
        <w:contextualSpacing/>
        <w:rPr>
          <w:lang w:val="en-US"/>
        </w:rPr>
      </w:pPr>
      <w:r w:rsidRPr="00AC0CE8">
        <w:rPr>
          <w:lang w:val="en-US"/>
        </w:rPr>
        <w:t>Suggestion is to keep it as a NMPG market practice.  But should explore the change request possibility for STCO codes.</w:t>
      </w:r>
    </w:p>
    <w:p w:rsidR="00CE2C8C" w:rsidRDefault="00CE2C8C" w:rsidP="00CE2C8C">
      <w:pPr>
        <w:pStyle w:val="ListParagraph"/>
        <w:numPr>
          <w:ilvl w:val="0"/>
          <w:numId w:val="23"/>
        </w:numPr>
        <w:spacing w:after="200"/>
        <w:contextualSpacing/>
        <w:rPr>
          <w:lang w:val="en-US"/>
        </w:rPr>
      </w:pPr>
      <w:r w:rsidRPr="00AC0CE8">
        <w:rPr>
          <w:lang w:val="en-US"/>
        </w:rPr>
        <w:t>BE case on requested for delivery out MT542 of account of CSD by Issuer agent after redemption</w:t>
      </w:r>
    </w:p>
    <w:p w:rsidR="00CE2C8C" w:rsidRDefault="00CE2C8C" w:rsidP="00CE2C8C">
      <w:pPr>
        <w:pStyle w:val="ListParagraph"/>
        <w:numPr>
          <w:ilvl w:val="0"/>
          <w:numId w:val="26"/>
        </w:numPr>
        <w:spacing w:after="200"/>
        <w:contextualSpacing/>
        <w:rPr>
          <w:lang w:val="en-US"/>
        </w:rPr>
      </w:pPr>
      <w:r w:rsidRPr="00AC0CE8">
        <w:rPr>
          <w:lang w:val="en-US"/>
        </w:rPr>
        <w:t>For redemption, after MT564/566 process is done, issuer agent to instruct the deliver out with MT542 (deliver out to nobody)</w:t>
      </w:r>
    </w:p>
    <w:p w:rsidR="00CE2C8C" w:rsidRDefault="00CE2C8C" w:rsidP="00CE2C8C">
      <w:pPr>
        <w:pStyle w:val="ListParagraph"/>
        <w:numPr>
          <w:ilvl w:val="0"/>
          <w:numId w:val="26"/>
        </w:numPr>
        <w:spacing w:after="200"/>
        <w:contextualSpacing/>
        <w:rPr>
          <w:lang w:val="en-US"/>
        </w:rPr>
      </w:pPr>
      <w:r>
        <w:rPr>
          <w:lang w:val="en-US"/>
        </w:rPr>
        <w:t xml:space="preserve">South Africa: </w:t>
      </w:r>
      <w:r w:rsidRPr="00AC0CE8">
        <w:rPr>
          <w:lang w:val="en-US"/>
        </w:rPr>
        <w:t xml:space="preserve"> no automation for this process.  Fax.  </w:t>
      </w:r>
    </w:p>
    <w:p w:rsidR="00CE2C8C" w:rsidRDefault="00CE2C8C" w:rsidP="00CE2C8C">
      <w:pPr>
        <w:pStyle w:val="ListParagraph"/>
        <w:numPr>
          <w:ilvl w:val="0"/>
          <w:numId w:val="26"/>
        </w:numPr>
        <w:spacing w:after="200"/>
        <w:contextualSpacing/>
        <w:rPr>
          <w:lang w:val="en-US"/>
        </w:rPr>
      </w:pPr>
      <w:r>
        <w:rPr>
          <w:lang w:val="en-US"/>
        </w:rPr>
        <w:t>Germany</w:t>
      </w:r>
      <w:r w:rsidRPr="00AC0CE8">
        <w:rPr>
          <w:lang w:val="en-US"/>
        </w:rPr>
        <w:t xml:space="preserve">:  Mark down instruction (proprietary) to </w:t>
      </w:r>
      <w:r>
        <w:rPr>
          <w:lang w:val="en-US"/>
        </w:rPr>
        <w:t>be used.  ISO mark down message is possible</w:t>
      </w:r>
      <w:r w:rsidRPr="00AC0CE8">
        <w:rPr>
          <w:lang w:val="en-US"/>
        </w:rPr>
        <w:t xml:space="preserve">  Partial mark down also possible.  (MT540’s, Seq E 22F SETR)</w:t>
      </w:r>
    </w:p>
    <w:p w:rsidR="00CE2C8C" w:rsidRPr="00AC0CE8" w:rsidRDefault="00CE2C8C" w:rsidP="00CE2C8C">
      <w:pPr>
        <w:pStyle w:val="ListParagraph"/>
        <w:numPr>
          <w:ilvl w:val="0"/>
          <w:numId w:val="26"/>
        </w:numPr>
        <w:spacing w:after="200"/>
        <w:contextualSpacing/>
        <w:rPr>
          <w:lang w:val="en-US"/>
        </w:rPr>
      </w:pPr>
      <w:r>
        <w:rPr>
          <w:lang w:val="en-US"/>
        </w:rPr>
        <w:t>Poland</w:t>
      </w:r>
      <w:r w:rsidRPr="00AC0CE8">
        <w:rPr>
          <w:lang w:val="en-US"/>
        </w:rPr>
        <w:t>:  No specific STP process.  Automatically withdrawn from the account.</w:t>
      </w:r>
    </w:p>
    <w:p w:rsidR="00CE2C8C" w:rsidRDefault="00CE2C8C" w:rsidP="00CE2C8C">
      <w:pPr>
        <w:pStyle w:val="ListParagraph"/>
        <w:numPr>
          <w:ilvl w:val="0"/>
          <w:numId w:val="23"/>
        </w:numPr>
        <w:spacing w:after="200"/>
        <w:contextualSpacing/>
        <w:rPr>
          <w:lang w:val="en-US"/>
        </w:rPr>
      </w:pPr>
      <w:r w:rsidRPr="00AC0CE8">
        <w:rPr>
          <w:lang w:val="en-US"/>
        </w:rPr>
        <w:t xml:space="preserve">Markets with trading and registry market accounts at CSD but one custody account </w:t>
      </w:r>
      <w:r>
        <w:rPr>
          <w:lang w:val="en-US"/>
        </w:rPr>
        <w:t>at custodian (Middle East, etc.)</w:t>
      </w:r>
    </w:p>
    <w:p w:rsidR="00CE2C8C" w:rsidRDefault="00CE2C8C" w:rsidP="00CE2C8C">
      <w:pPr>
        <w:pStyle w:val="ListParagraph"/>
        <w:numPr>
          <w:ilvl w:val="0"/>
          <w:numId w:val="27"/>
        </w:numPr>
        <w:spacing w:after="200"/>
        <w:contextualSpacing/>
        <w:rPr>
          <w:lang w:val="en-US"/>
        </w:rPr>
      </w:pPr>
      <w:r>
        <w:rPr>
          <w:lang w:val="en-US"/>
        </w:rPr>
        <w:t>Singapore</w:t>
      </w:r>
      <w:r w:rsidRPr="00AC0CE8">
        <w:rPr>
          <w:lang w:val="en-US"/>
        </w:rPr>
        <w:t xml:space="preserve">:  What is the meaning of “registry” in this case?  “out </w:t>
      </w:r>
      <w:r>
        <w:rPr>
          <w:lang w:val="en-US"/>
        </w:rPr>
        <w:t>for</w:t>
      </w:r>
      <w:r w:rsidRPr="00AC0CE8">
        <w:rPr>
          <w:lang w:val="en-US"/>
        </w:rPr>
        <w:t xml:space="preserve"> registration”?  </w:t>
      </w:r>
    </w:p>
    <w:p w:rsidR="00CE2C8C" w:rsidRDefault="00CE2C8C" w:rsidP="00CE2C8C">
      <w:pPr>
        <w:pStyle w:val="ListParagraph"/>
        <w:numPr>
          <w:ilvl w:val="0"/>
          <w:numId w:val="27"/>
        </w:numPr>
        <w:spacing w:after="200"/>
        <w:contextualSpacing/>
        <w:rPr>
          <w:lang w:val="en-US"/>
        </w:rPr>
      </w:pPr>
      <w:r>
        <w:rPr>
          <w:lang w:val="en-US"/>
        </w:rPr>
        <w:t>Germany</w:t>
      </w:r>
      <w:r w:rsidRPr="00AC0CE8">
        <w:rPr>
          <w:lang w:val="en-US"/>
        </w:rPr>
        <w:t xml:space="preserve">:  German Group of Registrars?  Registered, non-registered and out on registration.  </w:t>
      </w:r>
    </w:p>
    <w:p w:rsidR="00CE2C8C" w:rsidRDefault="00CE2C8C" w:rsidP="00CE2C8C">
      <w:pPr>
        <w:pStyle w:val="ListParagraph"/>
        <w:numPr>
          <w:ilvl w:val="0"/>
          <w:numId w:val="27"/>
        </w:numPr>
        <w:spacing w:after="200"/>
        <w:contextualSpacing/>
        <w:rPr>
          <w:lang w:val="en-US"/>
        </w:rPr>
      </w:pPr>
      <w:r w:rsidRPr="00AC0CE8">
        <w:rPr>
          <w:lang w:val="en-US"/>
        </w:rPr>
        <w:t xml:space="preserve">Sub balance of the custody bank – available for trading or not?  Use of MT524/508 possible.  </w:t>
      </w:r>
    </w:p>
    <w:p w:rsidR="00CE2C8C" w:rsidRDefault="00CE2C8C" w:rsidP="00CE2C8C">
      <w:pPr>
        <w:pStyle w:val="ListParagraph"/>
        <w:numPr>
          <w:ilvl w:val="0"/>
          <w:numId w:val="27"/>
        </w:numPr>
        <w:spacing w:after="200"/>
        <w:contextualSpacing/>
        <w:rPr>
          <w:lang w:val="en-US"/>
        </w:rPr>
      </w:pPr>
      <w:r>
        <w:rPr>
          <w:lang w:val="en-US"/>
        </w:rPr>
        <w:t>Spain</w:t>
      </w:r>
      <w:r w:rsidRPr="00AC0CE8">
        <w:rPr>
          <w:lang w:val="en-US"/>
        </w:rPr>
        <w:t>:  Auto registration system?  Not applicable as it is custodian level communication.</w:t>
      </w:r>
    </w:p>
    <w:p w:rsidR="00CE2C8C" w:rsidRDefault="00CE2C8C" w:rsidP="00CE2C8C">
      <w:pPr>
        <w:pStyle w:val="ListParagraph"/>
        <w:numPr>
          <w:ilvl w:val="0"/>
          <w:numId w:val="27"/>
        </w:numPr>
        <w:spacing w:after="200"/>
        <w:contextualSpacing/>
        <w:rPr>
          <w:lang w:val="en-US"/>
        </w:rPr>
      </w:pPr>
      <w:r w:rsidRPr="00AC0CE8">
        <w:rPr>
          <w:lang w:val="en-US"/>
        </w:rPr>
        <w:t>97B makes sense</w:t>
      </w:r>
      <w:r>
        <w:rPr>
          <w:lang w:val="en-US"/>
        </w:rPr>
        <w:t xml:space="preserve"> to be used for identification of registry versus trading account but another option would be to use a registration field (:22F::REGT) to identify whether the shares are to be kept in registry account or not</w:t>
      </w:r>
      <w:r w:rsidRPr="00AC0CE8">
        <w:rPr>
          <w:lang w:val="en-US"/>
        </w:rPr>
        <w:t xml:space="preserve">.  </w:t>
      </w:r>
    </w:p>
    <w:p w:rsidR="00CE2C8C" w:rsidRDefault="00CE2C8C" w:rsidP="00CE2C8C">
      <w:pPr>
        <w:pStyle w:val="ListParagraph"/>
        <w:numPr>
          <w:ilvl w:val="0"/>
          <w:numId w:val="23"/>
        </w:numPr>
        <w:spacing w:after="200"/>
        <w:contextualSpacing/>
        <w:rPr>
          <w:lang w:val="en-US"/>
        </w:rPr>
      </w:pPr>
      <w:r w:rsidRPr="00AC0CE8">
        <w:rPr>
          <w:lang w:val="en-US"/>
        </w:rPr>
        <w:t>How to communicate among SMP</w:t>
      </w:r>
      <w:r>
        <w:rPr>
          <w:lang w:val="en-US"/>
        </w:rPr>
        <w:t>G with 3 different time zones</w:t>
      </w:r>
    </w:p>
    <w:p w:rsidR="00CE2C8C" w:rsidRPr="007465F8" w:rsidRDefault="00CE2C8C" w:rsidP="00CE2C8C">
      <w:pPr>
        <w:pStyle w:val="ListParagraph"/>
        <w:numPr>
          <w:ilvl w:val="0"/>
          <w:numId w:val="27"/>
        </w:numPr>
        <w:spacing w:after="200"/>
        <w:contextualSpacing/>
        <w:rPr>
          <w:lang w:val="en-US"/>
        </w:rPr>
      </w:pPr>
      <w:r>
        <w:rPr>
          <w:lang w:val="en-US"/>
        </w:rPr>
        <w:t xml:space="preserve">Germany:  Stop conference calls. </w:t>
      </w:r>
      <w:r w:rsidRPr="00AC0CE8">
        <w:rPr>
          <w:lang w:val="en-US"/>
        </w:rPr>
        <w:t xml:space="preserve">  Accumulate the topics/items and only have physical meeting.  </w:t>
      </w:r>
      <w:r>
        <w:rPr>
          <w:lang w:val="en-US"/>
        </w:rPr>
        <w:t xml:space="preserve"> Need better preparation on the topics and directly “create” the market practice together.  Traveling:  Budget, timing and location.  Also need enough contents for 2.5 days – cannot travel to South Africa only for 1.5 days meeting……</w:t>
      </w:r>
    </w:p>
    <w:p w:rsidR="00CE2C8C" w:rsidRPr="007465F8" w:rsidRDefault="00CE2C8C" w:rsidP="00CE2C8C">
      <w:pPr>
        <w:pStyle w:val="ListParagraph"/>
        <w:numPr>
          <w:ilvl w:val="0"/>
          <w:numId w:val="28"/>
        </w:numPr>
        <w:spacing w:after="200"/>
        <w:contextualSpacing/>
        <w:rPr>
          <w:lang w:val="en-US"/>
        </w:rPr>
      </w:pPr>
      <w:r>
        <w:rPr>
          <w:lang w:val="en-US"/>
        </w:rPr>
        <w:t xml:space="preserve">Spain:  </w:t>
      </w:r>
      <w:r w:rsidRPr="007465F8">
        <w:rPr>
          <w:lang w:val="en-US"/>
        </w:rPr>
        <w:t xml:space="preserve">Flexibility – call from home, change time, etc.  </w:t>
      </w:r>
    </w:p>
    <w:p w:rsidR="00CE2C8C" w:rsidRDefault="00CE2C8C" w:rsidP="00CE2C8C">
      <w:pPr>
        <w:pStyle w:val="ListParagraph"/>
        <w:numPr>
          <w:ilvl w:val="0"/>
          <w:numId w:val="23"/>
        </w:numPr>
        <w:spacing w:after="200"/>
        <w:contextualSpacing/>
        <w:rPr>
          <w:lang w:val="en-US"/>
        </w:rPr>
      </w:pPr>
      <w:r w:rsidRPr="007465F8">
        <w:rPr>
          <w:lang w:val="en-US"/>
        </w:rPr>
        <w:t>FTT – status reporting</w:t>
      </w:r>
      <w:r>
        <w:rPr>
          <w:lang w:val="en-US"/>
        </w:rPr>
        <w:t xml:space="preserve"> by Axelle Wurmser (FR)</w:t>
      </w:r>
    </w:p>
    <w:p w:rsidR="00CE2C8C" w:rsidRDefault="00CE2C8C" w:rsidP="00CE2C8C">
      <w:pPr>
        <w:pStyle w:val="ListParagraph"/>
        <w:numPr>
          <w:ilvl w:val="0"/>
          <w:numId w:val="28"/>
        </w:numPr>
        <w:spacing w:after="200"/>
        <w:contextualSpacing/>
        <w:rPr>
          <w:lang w:val="en-US"/>
        </w:rPr>
      </w:pPr>
      <w:r w:rsidRPr="007465F8">
        <w:rPr>
          <w:lang w:val="en-US"/>
        </w:rPr>
        <w:t>Nov 9 2012 – data files start to be collected.  First FTT payment will start.  At the moment it is under T&amp;T. (for transactions settled at Euroclear France)</w:t>
      </w:r>
    </w:p>
    <w:p w:rsidR="00CE2C8C" w:rsidRDefault="00CE2C8C" w:rsidP="00CE2C8C">
      <w:pPr>
        <w:pStyle w:val="ListParagraph"/>
        <w:numPr>
          <w:ilvl w:val="0"/>
          <w:numId w:val="28"/>
        </w:numPr>
        <w:spacing w:after="200"/>
        <w:contextualSpacing/>
        <w:rPr>
          <w:lang w:val="en-US"/>
        </w:rPr>
      </w:pPr>
      <w:r w:rsidRPr="007465F8">
        <w:rPr>
          <w:lang w:val="en-US"/>
        </w:rPr>
        <w:t>French ISIN with capital higher than 1Bil Euro –</w:t>
      </w:r>
      <w:r>
        <w:rPr>
          <w:lang w:val="en-US"/>
        </w:rPr>
        <w:t xml:space="preserve"> list will be published in December for the next year</w:t>
      </w:r>
    </w:p>
    <w:p w:rsidR="00CE2C8C" w:rsidRDefault="00CE2C8C" w:rsidP="00CE2C8C">
      <w:pPr>
        <w:pStyle w:val="ListParagraph"/>
        <w:numPr>
          <w:ilvl w:val="0"/>
          <w:numId w:val="28"/>
        </w:numPr>
        <w:spacing w:after="200"/>
        <w:contextualSpacing/>
        <w:rPr>
          <w:lang w:val="en-US"/>
        </w:rPr>
      </w:pPr>
      <w:r w:rsidRPr="007465F8">
        <w:rPr>
          <w:lang w:val="en-US"/>
        </w:rPr>
        <w:t>9 types of transactions</w:t>
      </w:r>
      <w:r>
        <w:rPr>
          <w:lang w:val="en-US"/>
        </w:rPr>
        <w:t xml:space="preserve"> or parties are </w:t>
      </w:r>
      <w:r w:rsidRPr="007465F8">
        <w:rPr>
          <w:lang w:val="en-US"/>
        </w:rPr>
        <w:t xml:space="preserve"> exempted:  SLB</w:t>
      </w:r>
      <w:r>
        <w:rPr>
          <w:lang w:val="en-US"/>
        </w:rPr>
        <w:t xml:space="preserve">, Intracompany trades, CCP’s, Market Makers, </w:t>
      </w:r>
      <w:r w:rsidRPr="007465F8">
        <w:rPr>
          <w:lang w:val="en-US"/>
        </w:rPr>
        <w:t xml:space="preserve">  CA </w:t>
      </w:r>
      <w:r>
        <w:rPr>
          <w:lang w:val="en-US"/>
        </w:rPr>
        <w:t xml:space="preserve">can be taxable </w:t>
      </w:r>
      <w:r w:rsidRPr="007465F8">
        <w:rPr>
          <w:lang w:val="en-US"/>
        </w:rPr>
        <w:t>(attributions of shares)</w:t>
      </w:r>
    </w:p>
    <w:p w:rsidR="00CE2C8C" w:rsidRDefault="00CE2C8C" w:rsidP="00CE2C8C">
      <w:pPr>
        <w:pStyle w:val="ListParagraph"/>
        <w:numPr>
          <w:ilvl w:val="0"/>
          <w:numId w:val="28"/>
        </w:numPr>
        <w:spacing w:after="200"/>
        <w:contextualSpacing/>
        <w:rPr>
          <w:lang w:val="en-US"/>
        </w:rPr>
      </w:pPr>
      <w:r w:rsidRPr="007465F8">
        <w:rPr>
          <w:lang w:val="en-US"/>
        </w:rPr>
        <w:t xml:space="preserve">FR SMPG CA / S&amp;R discussed:  business will not copy the white papers but providing the link.  More emphasis to CA market practice (more complexity because of the exemption scheme).  For S&amp;R, flows between the major actors will not change.  Drafts will be delivered.  </w:t>
      </w:r>
    </w:p>
    <w:p w:rsidR="00CE2C8C" w:rsidRDefault="00CE2C8C" w:rsidP="00CE2C8C">
      <w:pPr>
        <w:pStyle w:val="ListParagraph"/>
        <w:numPr>
          <w:ilvl w:val="0"/>
          <w:numId w:val="28"/>
        </w:numPr>
        <w:spacing w:after="200"/>
        <w:contextualSpacing/>
        <w:rPr>
          <w:lang w:val="en-US"/>
        </w:rPr>
      </w:pPr>
      <w:r w:rsidRPr="007465F8">
        <w:rPr>
          <w:lang w:val="en-US"/>
        </w:rPr>
        <w:t>On Nov 24 2012, or after, the French Government may have an announcement on the result of the new regulation (they are keen to see the tax collected).   Depending on the outcome, there may be an amendment of the regulation (which can impact the market practice)</w:t>
      </w:r>
    </w:p>
    <w:p w:rsidR="00CE2C8C" w:rsidRDefault="00CE2C8C" w:rsidP="00CE2C8C">
      <w:pPr>
        <w:pStyle w:val="ListParagraph"/>
        <w:numPr>
          <w:ilvl w:val="0"/>
          <w:numId w:val="28"/>
        </w:numPr>
        <w:spacing w:after="200"/>
        <w:contextualSpacing/>
        <w:rPr>
          <w:lang w:val="en-US"/>
        </w:rPr>
      </w:pPr>
      <w:r w:rsidRPr="007465F8">
        <w:rPr>
          <w:lang w:val="en-US"/>
        </w:rPr>
        <w:t xml:space="preserve">In the EU, FTT 9 countries agreed on the regulation.  Plus 4 countries may join.  The US will also have FTT?  </w:t>
      </w:r>
    </w:p>
    <w:p w:rsidR="00CE2C8C" w:rsidRDefault="00CE2C8C" w:rsidP="00CE2C8C">
      <w:pPr>
        <w:pStyle w:val="ListParagraph"/>
        <w:numPr>
          <w:ilvl w:val="0"/>
          <w:numId w:val="28"/>
        </w:numPr>
        <w:spacing w:after="200"/>
        <w:contextualSpacing/>
        <w:rPr>
          <w:lang w:val="en-US"/>
        </w:rPr>
      </w:pPr>
      <w:r w:rsidRPr="007465F8">
        <w:rPr>
          <w:lang w:val="en-US"/>
        </w:rPr>
        <w:t xml:space="preserve">Possible scenario to carry the FTT at an international level </w:t>
      </w:r>
    </w:p>
    <w:p w:rsidR="00CE2C8C" w:rsidRDefault="00CE2C8C" w:rsidP="00CE2C8C">
      <w:pPr>
        <w:pStyle w:val="ListParagraph"/>
        <w:numPr>
          <w:ilvl w:val="0"/>
          <w:numId w:val="28"/>
        </w:numPr>
        <w:spacing w:after="200"/>
        <w:contextualSpacing/>
        <w:rPr>
          <w:lang w:val="en-US"/>
        </w:rPr>
      </w:pPr>
      <w:r w:rsidRPr="007465F8">
        <w:rPr>
          <w:lang w:val="en-US"/>
        </w:rPr>
        <w:t xml:space="preserve">Qualifier:  LOCL?  But some customers may ask for a new qualifier if they use it for another purpose. </w:t>
      </w:r>
    </w:p>
    <w:p w:rsidR="00CE2C8C" w:rsidRDefault="00CE2C8C" w:rsidP="00CE2C8C">
      <w:pPr>
        <w:pStyle w:val="ListParagraph"/>
        <w:numPr>
          <w:ilvl w:val="0"/>
          <w:numId w:val="28"/>
        </w:numPr>
        <w:spacing w:after="200"/>
        <w:contextualSpacing/>
        <w:rPr>
          <w:lang w:val="en-US"/>
        </w:rPr>
      </w:pPr>
      <w:r w:rsidRPr="007465F8">
        <w:rPr>
          <w:lang w:val="en-US"/>
        </w:rPr>
        <w:t xml:space="preserve">Need discussions with other NMPG in Europe at least based on FR draft.  OTC Derivatives may have to </w:t>
      </w:r>
      <w:r>
        <w:rPr>
          <w:lang w:val="en-US"/>
        </w:rPr>
        <w:t xml:space="preserve">be </w:t>
      </w:r>
      <w:r w:rsidRPr="007465F8">
        <w:rPr>
          <w:lang w:val="en-US"/>
        </w:rPr>
        <w:t xml:space="preserve">added in the scope.  </w:t>
      </w:r>
    </w:p>
    <w:p w:rsidR="00CE2C8C" w:rsidRDefault="00CE2C8C" w:rsidP="00CE2C8C">
      <w:pPr>
        <w:pStyle w:val="ListParagraph"/>
        <w:numPr>
          <w:ilvl w:val="0"/>
          <w:numId w:val="28"/>
        </w:numPr>
        <w:spacing w:after="200"/>
        <w:contextualSpacing/>
        <w:rPr>
          <w:lang w:val="en-US"/>
        </w:rPr>
      </w:pPr>
      <w:r w:rsidRPr="007465F8">
        <w:rPr>
          <w:lang w:val="en-US"/>
        </w:rPr>
        <w:t xml:space="preserve">Where to input the tax amount in SWIFT messages:  At the moment local usage.  CA SMPG subgroup will cover the tax subject.  May be also necessary for S&amp;R?    </w:t>
      </w:r>
    </w:p>
    <w:p w:rsidR="00CE2C8C" w:rsidRDefault="00CE2C8C" w:rsidP="00CE2C8C">
      <w:pPr>
        <w:pStyle w:val="ListParagraph"/>
        <w:numPr>
          <w:ilvl w:val="0"/>
          <w:numId w:val="28"/>
        </w:numPr>
        <w:spacing w:after="200"/>
        <w:contextualSpacing/>
        <w:rPr>
          <w:lang w:val="en-US"/>
        </w:rPr>
      </w:pPr>
      <w:r w:rsidRPr="007465F8">
        <w:rPr>
          <w:lang w:val="en-US"/>
        </w:rPr>
        <w:t xml:space="preserve">Frankfurt SMPG:  to discuss all the qualifiers and codes, etc.  </w:t>
      </w:r>
    </w:p>
    <w:p w:rsidR="00CE2C8C" w:rsidRDefault="00CE2C8C" w:rsidP="00CE2C8C"/>
    <w:p w:rsidR="00CE2C8C" w:rsidRDefault="008A7BC3" w:rsidP="00CE2C8C">
      <w:r>
        <w:t>Nov. 7</w:t>
      </w:r>
      <w:r w:rsidR="00CE2C8C">
        <w:t xml:space="preserve"> – no S&amp;R meeting as we covered all agenda in the 1</w:t>
      </w:r>
      <w:r w:rsidR="00CE2C8C" w:rsidRPr="007465F8">
        <w:rPr>
          <w:vertAlign w:val="superscript"/>
        </w:rPr>
        <w:t>st</w:t>
      </w:r>
      <w:r w:rsidR="00CE2C8C">
        <w:t xml:space="preserve"> 2 days.  </w:t>
      </w:r>
    </w:p>
    <w:p w:rsidR="00CE2C8C" w:rsidRDefault="00CE2C8C" w:rsidP="00CE2C8C"/>
    <w:p w:rsidR="00CE2C8C" w:rsidRPr="007465F8" w:rsidRDefault="00CE2C8C" w:rsidP="00CE2C8C">
      <w:r>
        <w:t xml:space="preserve">END.  </w:t>
      </w:r>
    </w:p>
    <w:p w:rsidR="00867797" w:rsidRPr="00143F2A" w:rsidRDefault="00867797" w:rsidP="00EB2B5B">
      <w:pPr>
        <w:pStyle w:val="ListParagraph"/>
        <w:spacing w:before="240"/>
      </w:pPr>
      <w:bookmarkStart w:id="1" w:name="_GoBack"/>
      <w:bookmarkEnd w:id="1"/>
    </w:p>
    <w:sectPr w:rsidR="00867797" w:rsidRPr="00143F2A" w:rsidSect="00F94B1F">
      <w:headerReference w:type="default" r:id="rId13"/>
      <w:footerReference w:type="even" r:id="rId14"/>
      <w:footerReference w:type="default" r:id="rId15"/>
      <w:pgSz w:w="12240" w:h="15840"/>
      <w:pgMar w:top="993" w:right="1183" w:bottom="851" w:left="1276" w:header="720" w:footer="5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C5" w:rsidRDefault="00E779C5">
      <w:r>
        <w:separator/>
      </w:r>
    </w:p>
  </w:endnote>
  <w:endnote w:type="continuationSeparator" w:id="0">
    <w:p w:rsidR="00E779C5" w:rsidRDefault="00E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8" w:rsidRDefault="00D10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10C58" w:rsidRDefault="00D10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8" w:rsidRDefault="00D10C58" w:rsidP="008D471F">
    <w:pPr>
      <w:pStyle w:val="Footer"/>
      <w:ind w:right="360"/>
    </w:pPr>
    <w:r>
      <w:tab/>
      <w:t xml:space="preserve">Page </w:t>
    </w:r>
    <w:r>
      <w:fldChar w:fldCharType="begin"/>
    </w:r>
    <w:r>
      <w:instrText xml:space="preserve"> PAGE  \* Arabic  \* MERGEFORMAT </w:instrText>
    </w:r>
    <w:r>
      <w:fldChar w:fldCharType="separate"/>
    </w:r>
    <w:r w:rsidR="008A7BC3">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C5" w:rsidRDefault="00E779C5">
      <w:r>
        <w:separator/>
      </w:r>
    </w:p>
  </w:footnote>
  <w:footnote w:type="continuationSeparator" w:id="0">
    <w:p w:rsidR="00E779C5" w:rsidRDefault="00E7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58" w:rsidRPr="00461AB9" w:rsidRDefault="00D10C58" w:rsidP="00505767">
    <w:pPr>
      <w:pStyle w:val="Header"/>
      <w:tabs>
        <w:tab w:val="clear" w:pos="8640"/>
        <w:tab w:val="left" w:pos="3960"/>
        <w:tab w:val="left" w:pos="4860"/>
        <w:tab w:val="center" w:pos="7020"/>
        <w:tab w:val="right" w:pos="13860"/>
      </w:tabs>
      <w:jc w:val="center"/>
      <w:rPr>
        <w:b/>
        <w:sz w:val="20"/>
        <w:lang w:val="en-GB"/>
      </w:rPr>
    </w:pPr>
    <w:r>
      <w:rPr>
        <w:b/>
        <w:sz w:val="20"/>
        <w:lang w:val="en-GB"/>
      </w:rPr>
      <w:t>S&amp;R</w:t>
    </w:r>
    <w:r w:rsidRPr="00461AB9">
      <w:rPr>
        <w:b/>
        <w:sz w:val="20"/>
        <w:lang w:val="en-GB"/>
      </w:rPr>
      <w:t xml:space="preserve"> SMPG Detailed Agenda </w:t>
    </w:r>
    <w:r>
      <w:rPr>
        <w:b/>
        <w:sz w:val="20"/>
        <w:lang w:val="en-GB"/>
      </w:rPr>
      <w:t>&amp; Minutes</w:t>
    </w:r>
    <w:r w:rsidRPr="00461AB9">
      <w:rPr>
        <w:b/>
        <w:sz w:val="20"/>
        <w:lang w:val="en-GB"/>
      </w:rPr>
      <w:t xml:space="preserve">– </w:t>
    </w:r>
    <w:r>
      <w:rPr>
        <w:b/>
        <w:sz w:val="20"/>
        <w:lang w:val="en-GB"/>
      </w:rPr>
      <w:t>Osaka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3237314"/>
    <w:multiLevelType w:val="hybridMultilevel"/>
    <w:tmpl w:val="C83402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nsid w:val="05DA3A00"/>
    <w:multiLevelType w:val="hybridMultilevel"/>
    <w:tmpl w:val="04D6F4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065FB"/>
    <w:multiLevelType w:val="hybridMultilevel"/>
    <w:tmpl w:val="FE243C5A"/>
    <w:lvl w:ilvl="0" w:tplc="3692E3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F840D1"/>
    <w:multiLevelType w:val="hybridMultilevel"/>
    <w:tmpl w:val="9824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91499"/>
    <w:multiLevelType w:val="hybridMultilevel"/>
    <w:tmpl w:val="D39E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B7E63"/>
    <w:multiLevelType w:val="hybridMultilevel"/>
    <w:tmpl w:val="062C3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D40272"/>
    <w:multiLevelType w:val="hybridMultilevel"/>
    <w:tmpl w:val="E8D859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6655F"/>
    <w:multiLevelType w:val="hybridMultilevel"/>
    <w:tmpl w:val="5264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3E6EA7"/>
    <w:multiLevelType w:val="hybridMultilevel"/>
    <w:tmpl w:val="7AE0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3CE97C75"/>
    <w:multiLevelType w:val="hybridMultilevel"/>
    <w:tmpl w:val="B12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AE4EA3"/>
    <w:multiLevelType w:val="hybridMultilevel"/>
    <w:tmpl w:val="043E257E"/>
    <w:lvl w:ilvl="0" w:tplc="F7BA64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0372DA0"/>
    <w:multiLevelType w:val="hybridMultilevel"/>
    <w:tmpl w:val="1C5433EC"/>
    <w:lvl w:ilvl="0" w:tplc="A6C08B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0BA66CA"/>
    <w:multiLevelType w:val="hybridMultilevel"/>
    <w:tmpl w:val="7976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722FE"/>
    <w:multiLevelType w:val="hybridMultilevel"/>
    <w:tmpl w:val="9288CF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5BB8610B"/>
    <w:multiLevelType w:val="hybridMultilevel"/>
    <w:tmpl w:val="72CC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E17D8"/>
    <w:multiLevelType w:val="hybridMultilevel"/>
    <w:tmpl w:val="54908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6171DE"/>
    <w:multiLevelType w:val="hybridMultilevel"/>
    <w:tmpl w:val="C90C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E7796"/>
    <w:multiLevelType w:val="hybridMultilevel"/>
    <w:tmpl w:val="3280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DF36FF"/>
    <w:multiLevelType w:val="hybridMultilevel"/>
    <w:tmpl w:val="8D92B882"/>
    <w:lvl w:ilvl="0" w:tplc="05B8B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1884A89"/>
    <w:multiLevelType w:val="hybridMultilevel"/>
    <w:tmpl w:val="DAAE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197456"/>
    <w:multiLevelType w:val="hybridMultilevel"/>
    <w:tmpl w:val="ADDE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890B30"/>
    <w:multiLevelType w:val="hybridMultilevel"/>
    <w:tmpl w:val="A532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12"/>
  </w:num>
  <w:num w:numId="6">
    <w:abstractNumId w:val="13"/>
  </w:num>
  <w:num w:numId="7">
    <w:abstractNumId w:val="4"/>
  </w:num>
  <w:num w:numId="8">
    <w:abstractNumId w:val="21"/>
  </w:num>
  <w:num w:numId="9">
    <w:abstractNumId w:val="27"/>
  </w:num>
  <w:num w:numId="10">
    <w:abstractNumId w:val="8"/>
  </w:num>
  <w:num w:numId="11">
    <w:abstractNumId w:val="26"/>
  </w:num>
  <w:num w:numId="12">
    <w:abstractNumId w:val="17"/>
  </w:num>
  <w:num w:numId="13">
    <w:abstractNumId w:val="18"/>
  </w:num>
  <w:num w:numId="14">
    <w:abstractNumId w:val="14"/>
  </w:num>
  <w:num w:numId="15">
    <w:abstractNumId w:val="15"/>
  </w:num>
  <w:num w:numId="16">
    <w:abstractNumId w:val="16"/>
  </w:num>
  <w:num w:numId="17">
    <w:abstractNumId w:val="9"/>
  </w:num>
  <w:num w:numId="18">
    <w:abstractNumId w:val="5"/>
  </w:num>
  <w:num w:numId="19">
    <w:abstractNumId w:val="2"/>
  </w:num>
  <w:num w:numId="20">
    <w:abstractNumId w:val="7"/>
  </w:num>
  <w:num w:numId="21">
    <w:abstractNumId w:val="23"/>
  </w:num>
  <w:num w:numId="22">
    <w:abstractNumId w:val="20"/>
  </w:num>
  <w:num w:numId="23">
    <w:abstractNumId w:val="24"/>
  </w:num>
  <w:num w:numId="24">
    <w:abstractNumId w:val="11"/>
  </w:num>
  <w:num w:numId="25">
    <w:abstractNumId w:val="10"/>
  </w:num>
  <w:num w:numId="26">
    <w:abstractNumId w:val="22"/>
  </w:num>
  <w:num w:numId="27">
    <w:abstractNumId w:val="6"/>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421"/>
    <w:rsid w:val="00003C0D"/>
    <w:rsid w:val="00005084"/>
    <w:rsid w:val="0001226B"/>
    <w:rsid w:val="00013BCB"/>
    <w:rsid w:val="00017B3C"/>
    <w:rsid w:val="00024476"/>
    <w:rsid w:val="00032F81"/>
    <w:rsid w:val="000404FA"/>
    <w:rsid w:val="0004195E"/>
    <w:rsid w:val="0004464A"/>
    <w:rsid w:val="0005501C"/>
    <w:rsid w:val="00070AEA"/>
    <w:rsid w:val="0008141C"/>
    <w:rsid w:val="000814B9"/>
    <w:rsid w:val="00092B17"/>
    <w:rsid w:val="00097817"/>
    <w:rsid w:val="000978E1"/>
    <w:rsid w:val="000A2F7E"/>
    <w:rsid w:val="000A3CFA"/>
    <w:rsid w:val="000B1276"/>
    <w:rsid w:val="000B514D"/>
    <w:rsid w:val="000C0F47"/>
    <w:rsid w:val="000C1747"/>
    <w:rsid w:val="000C2638"/>
    <w:rsid w:val="000C33FE"/>
    <w:rsid w:val="000C663B"/>
    <w:rsid w:val="000D0505"/>
    <w:rsid w:val="000D25BF"/>
    <w:rsid w:val="000D42D1"/>
    <w:rsid w:val="000D6DD1"/>
    <w:rsid w:val="00102F08"/>
    <w:rsid w:val="00110420"/>
    <w:rsid w:val="00120CB6"/>
    <w:rsid w:val="00121B6A"/>
    <w:rsid w:val="001320FF"/>
    <w:rsid w:val="001332B6"/>
    <w:rsid w:val="00133374"/>
    <w:rsid w:val="00136D5B"/>
    <w:rsid w:val="001412AA"/>
    <w:rsid w:val="00143F2A"/>
    <w:rsid w:val="00157A81"/>
    <w:rsid w:val="001665EC"/>
    <w:rsid w:val="001670A3"/>
    <w:rsid w:val="00172FE0"/>
    <w:rsid w:val="001801EB"/>
    <w:rsid w:val="001846D1"/>
    <w:rsid w:val="00196F68"/>
    <w:rsid w:val="001A6223"/>
    <w:rsid w:val="001A7D30"/>
    <w:rsid w:val="001D3C47"/>
    <w:rsid w:val="001E472D"/>
    <w:rsid w:val="001E5E83"/>
    <w:rsid w:val="001F1203"/>
    <w:rsid w:val="0021424D"/>
    <w:rsid w:val="00220559"/>
    <w:rsid w:val="00220B79"/>
    <w:rsid w:val="00222079"/>
    <w:rsid w:val="0022371C"/>
    <w:rsid w:val="00225E45"/>
    <w:rsid w:val="00232CA4"/>
    <w:rsid w:val="0023786B"/>
    <w:rsid w:val="00240E88"/>
    <w:rsid w:val="00250BB5"/>
    <w:rsid w:val="00252776"/>
    <w:rsid w:val="002605D8"/>
    <w:rsid w:val="002643EF"/>
    <w:rsid w:val="002761B6"/>
    <w:rsid w:val="00283E7D"/>
    <w:rsid w:val="00284666"/>
    <w:rsid w:val="002857C8"/>
    <w:rsid w:val="002861A1"/>
    <w:rsid w:val="00297C89"/>
    <w:rsid w:val="00297D2F"/>
    <w:rsid w:val="002A0F7E"/>
    <w:rsid w:val="002A19E0"/>
    <w:rsid w:val="002A482F"/>
    <w:rsid w:val="002A6B93"/>
    <w:rsid w:val="002A7A46"/>
    <w:rsid w:val="002C413B"/>
    <w:rsid w:val="002D2AE2"/>
    <w:rsid w:val="002F54A0"/>
    <w:rsid w:val="002F6DDB"/>
    <w:rsid w:val="00305B60"/>
    <w:rsid w:val="00305EB4"/>
    <w:rsid w:val="0031107F"/>
    <w:rsid w:val="00317C6F"/>
    <w:rsid w:val="00321314"/>
    <w:rsid w:val="0032440E"/>
    <w:rsid w:val="00337885"/>
    <w:rsid w:val="00345560"/>
    <w:rsid w:val="003500D5"/>
    <w:rsid w:val="00352BAD"/>
    <w:rsid w:val="00352DDA"/>
    <w:rsid w:val="00354B3A"/>
    <w:rsid w:val="0035652B"/>
    <w:rsid w:val="0036407A"/>
    <w:rsid w:val="003675D5"/>
    <w:rsid w:val="00371D29"/>
    <w:rsid w:val="00371F17"/>
    <w:rsid w:val="003778E2"/>
    <w:rsid w:val="00383446"/>
    <w:rsid w:val="0038605D"/>
    <w:rsid w:val="003A657E"/>
    <w:rsid w:val="003B2456"/>
    <w:rsid w:val="003C0CC0"/>
    <w:rsid w:val="003C5909"/>
    <w:rsid w:val="003C5ADC"/>
    <w:rsid w:val="003C5FE9"/>
    <w:rsid w:val="003C606B"/>
    <w:rsid w:val="003C6769"/>
    <w:rsid w:val="003D139F"/>
    <w:rsid w:val="003D6356"/>
    <w:rsid w:val="003E5E36"/>
    <w:rsid w:val="00411CE4"/>
    <w:rsid w:val="00415EEE"/>
    <w:rsid w:val="00417F60"/>
    <w:rsid w:val="00420876"/>
    <w:rsid w:val="004211E3"/>
    <w:rsid w:val="00430421"/>
    <w:rsid w:val="004327ED"/>
    <w:rsid w:val="00435B37"/>
    <w:rsid w:val="00440A61"/>
    <w:rsid w:val="00442B50"/>
    <w:rsid w:val="00450996"/>
    <w:rsid w:val="00457C92"/>
    <w:rsid w:val="00461AB9"/>
    <w:rsid w:val="00471518"/>
    <w:rsid w:val="004746DF"/>
    <w:rsid w:val="004858C9"/>
    <w:rsid w:val="00486575"/>
    <w:rsid w:val="00487C84"/>
    <w:rsid w:val="00491260"/>
    <w:rsid w:val="00491EA7"/>
    <w:rsid w:val="00493A99"/>
    <w:rsid w:val="004A054C"/>
    <w:rsid w:val="004A70ED"/>
    <w:rsid w:val="004B0127"/>
    <w:rsid w:val="004C0A5B"/>
    <w:rsid w:val="004C2678"/>
    <w:rsid w:val="004C2E3B"/>
    <w:rsid w:val="004D2578"/>
    <w:rsid w:val="004D276E"/>
    <w:rsid w:val="004D5F86"/>
    <w:rsid w:val="004D6738"/>
    <w:rsid w:val="004E340D"/>
    <w:rsid w:val="004E779A"/>
    <w:rsid w:val="004F3D06"/>
    <w:rsid w:val="00505767"/>
    <w:rsid w:val="00516856"/>
    <w:rsid w:val="00517214"/>
    <w:rsid w:val="00522B61"/>
    <w:rsid w:val="00523DF9"/>
    <w:rsid w:val="00524590"/>
    <w:rsid w:val="00526048"/>
    <w:rsid w:val="0052736C"/>
    <w:rsid w:val="0053352D"/>
    <w:rsid w:val="00533B00"/>
    <w:rsid w:val="00537CC6"/>
    <w:rsid w:val="00544EB4"/>
    <w:rsid w:val="0054627A"/>
    <w:rsid w:val="00555C96"/>
    <w:rsid w:val="005622CA"/>
    <w:rsid w:val="005708BE"/>
    <w:rsid w:val="00571AD2"/>
    <w:rsid w:val="00577FF5"/>
    <w:rsid w:val="00581BAB"/>
    <w:rsid w:val="00583121"/>
    <w:rsid w:val="005845AE"/>
    <w:rsid w:val="005A6FA9"/>
    <w:rsid w:val="005B1AD8"/>
    <w:rsid w:val="005B3AC3"/>
    <w:rsid w:val="005B4B6A"/>
    <w:rsid w:val="005B60F5"/>
    <w:rsid w:val="005C1454"/>
    <w:rsid w:val="005C52BD"/>
    <w:rsid w:val="005D2851"/>
    <w:rsid w:val="005D5AFD"/>
    <w:rsid w:val="005E0C50"/>
    <w:rsid w:val="005E4B1B"/>
    <w:rsid w:val="005E65E9"/>
    <w:rsid w:val="005F24C7"/>
    <w:rsid w:val="00605106"/>
    <w:rsid w:val="00613162"/>
    <w:rsid w:val="00613E7E"/>
    <w:rsid w:val="006210E0"/>
    <w:rsid w:val="00626AA4"/>
    <w:rsid w:val="00634DB0"/>
    <w:rsid w:val="00635FCF"/>
    <w:rsid w:val="00640734"/>
    <w:rsid w:val="00651654"/>
    <w:rsid w:val="00651C16"/>
    <w:rsid w:val="0065498B"/>
    <w:rsid w:val="006616AA"/>
    <w:rsid w:val="00663572"/>
    <w:rsid w:val="00664FC3"/>
    <w:rsid w:val="0068202E"/>
    <w:rsid w:val="0068294D"/>
    <w:rsid w:val="006872CA"/>
    <w:rsid w:val="006A3B5C"/>
    <w:rsid w:val="006A5A81"/>
    <w:rsid w:val="006B4B50"/>
    <w:rsid w:val="006B6CD5"/>
    <w:rsid w:val="006D21AB"/>
    <w:rsid w:val="006D6A54"/>
    <w:rsid w:val="006E23D4"/>
    <w:rsid w:val="006E5958"/>
    <w:rsid w:val="006F113D"/>
    <w:rsid w:val="006F3517"/>
    <w:rsid w:val="00705EF4"/>
    <w:rsid w:val="00710ECC"/>
    <w:rsid w:val="00714C28"/>
    <w:rsid w:val="00720FFD"/>
    <w:rsid w:val="00721C9A"/>
    <w:rsid w:val="00722186"/>
    <w:rsid w:val="007253BB"/>
    <w:rsid w:val="00725A2A"/>
    <w:rsid w:val="00725B6D"/>
    <w:rsid w:val="00725E26"/>
    <w:rsid w:val="00726E70"/>
    <w:rsid w:val="00730767"/>
    <w:rsid w:val="00734E6E"/>
    <w:rsid w:val="00753644"/>
    <w:rsid w:val="00754FFA"/>
    <w:rsid w:val="0077124A"/>
    <w:rsid w:val="00771AA2"/>
    <w:rsid w:val="0078075D"/>
    <w:rsid w:val="00783AC4"/>
    <w:rsid w:val="007870CD"/>
    <w:rsid w:val="00790B22"/>
    <w:rsid w:val="007B13E5"/>
    <w:rsid w:val="007B1583"/>
    <w:rsid w:val="007B2B7D"/>
    <w:rsid w:val="007B6097"/>
    <w:rsid w:val="007B6889"/>
    <w:rsid w:val="007C04D3"/>
    <w:rsid w:val="007D16CA"/>
    <w:rsid w:val="007E210A"/>
    <w:rsid w:val="007E4D5A"/>
    <w:rsid w:val="007F5626"/>
    <w:rsid w:val="008034E8"/>
    <w:rsid w:val="00806A08"/>
    <w:rsid w:val="00814AE8"/>
    <w:rsid w:val="0082232D"/>
    <w:rsid w:val="00827C2A"/>
    <w:rsid w:val="00837BEF"/>
    <w:rsid w:val="008431F4"/>
    <w:rsid w:val="00847B5E"/>
    <w:rsid w:val="00867797"/>
    <w:rsid w:val="00870863"/>
    <w:rsid w:val="008722F1"/>
    <w:rsid w:val="00874F05"/>
    <w:rsid w:val="008871E6"/>
    <w:rsid w:val="00891366"/>
    <w:rsid w:val="008A02FB"/>
    <w:rsid w:val="008A2AB1"/>
    <w:rsid w:val="008A69AA"/>
    <w:rsid w:val="008A7BC3"/>
    <w:rsid w:val="008B0A8F"/>
    <w:rsid w:val="008D1EDD"/>
    <w:rsid w:val="008D471F"/>
    <w:rsid w:val="008E0485"/>
    <w:rsid w:val="008E09A7"/>
    <w:rsid w:val="008E2384"/>
    <w:rsid w:val="008E5C4E"/>
    <w:rsid w:val="008F7927"/>
    <w:rsid w:val="00903069"/>
    <w:rsid w:val="00907E96"/>
    <w:rsid w:val="00907F47"/>
    <w:rsid w:val="00912C99"/>
    <w:rsid w:val="00922AEF"/>
    <w:rsid w:val="00924661"/>
    <w:rsid w:val="00931B7C"/>
    <w:rsid w:val="00932609"/>
    <w:rsid w:val="00934E91"/>
    <w:rsid w:val="0094461E"/>
    <w:rsid w:val="00944A2D"/>
    <w:rsid w:val="00951A6E"/>
    <w:rsid w:val="0095321C"/>
    <w:rsid w:val="00961597"/>
    <w:rsid w:val="00981EB9"/>
    <w:rsid w:val="00992B74"/>
    <w:rsid w:val="00995B1E"/>
    <w:rsid w:val="009A1DE6"/>
    <w:rsid w:val="009A3851"/>
    <w:rsid w:val="009A5F85"/>
    <w:rsid w:val="009A74BC"/>
    <w:rsid w:val="009B4B95"/>
    <w:rsid w:val="009B6EC0"/>
    <w:rsid w:val="009C2626"/>
    <w:rsid w:val="009C669E"/>
    <w:rsid w:val="009D5B67"/>
    <w:rsid w:val="009E7AEB"/>
    <w:rsid w:val="009F4C45"/>
    <w:rsid w:val="009F66EC"/>
    <w:rsid w:val="00A019BF"/>
    <w:rsid w:val="00A030B3"/>
    <w:rsid w:val="00A14F20"/>
    <w:rsid w:val="00A156FF"/>
    <w:rsid w:val="00A15FD1"/>
    <w:rsid w:val="00A167D7"/>
    <w:rsid w:val="00A17C1F"/>
    <w:rsid w:val="00A3073C"/>
    <w:rsid w:val="00A37E87"/>
    <w:rsid w:val="00A414D3"/>
    <w:rsid w:val="00A42AD8"/>
    <w:rsid w:val="00A475BD"/>
    <w:rsid w:val="00A515FC"/>
    <w:rsid w:val="00A52610"/>
    <w:rsid w:val="00A55054"/>
    <w:rsid w:val="00A604FA"/>
    <w:rsid w:val="00A67B96"/>
    <w:rsid w:val="00A70BDA"/>
    <w:rsid w:val="00A8565D"/>
    <w:rsid w:val="00A85E19"/>
    <w:rsid w:val="00A934B0"/>
    <w:rsid w:val="00A954DC"/>
    <w:rsid w:val="00A96B06"/>
    <w:rsid w:val="00A97398"/>
    <w:rsid w:val="00AA0F50"/>
    <w:rsid w:val="00AA5367"/>
    <w:rsid w:val="00AA6100"/>
    <w:rsid w:val="00AA7F36"/>
    <w:rsid w:val="00AB11CB"/>
    <w:rsid w:val="00AB46B9"/>
    <w:rsid w:val="00AB4947"/>
    <w:rsid w:val="00AB5A16"/>
    <w:rsid w:val="00AC37DF"/>
    <w:rsid w:val="00AC4DED"/>
    <w:rsid w:val="00AC6616"/>
    <w:rsid w:val="00AD2740"/>
    <w:rsid w:val="00AD6D8D"/>
    <w:rsid w:val="00AF2C18"/>
    <w:rsid w:val="00AF750B"/>
    <w:rsid w:val="00B066A5"/>
    <w:rsid w:val="00B120E6"/>
    <w:rsid w:val="00B14A53"/>
    <w:rsid w:val="00B14FDC"/>
    <w:rsid w:val="00B2728A"/>
    <w:rsid w:val="00B31D13"/>
    <w:rsid w:val="00B34098"/>
    <w:rsid w:val="00B350E9"/>
    <w:rsid w:val="00B41461"/>
    <w:rsid w:val="00B42F39"/>
    <w:rsid w:val="00B62F91"/>
    <w:rsid w:val="00B6610F"/>
    <w:rsid w:val="00B66316"/>
    <w:rsid w:val="00B669B8"/>
    <w:rsid w:val="00B7557D"/>
    <w:rsid w:val="00B756E2"/>
    <w:rsid w:val="00B81AD5"/>
    <w:rsid w:val="00B948A4"/>
    <w:rsid w:val="00B97965"/>
    <w:rsid w:val="00BA37A4"/>
    <w:rsid w:val="00BA59E0"/>
    <w:rsid w:val="00BB1945"/>
    <w:rsid w:val="00BB6E48"/>
    <w:rsid w:val="00BB7D44"/>
    <w:rsid w:val="00BC194C"/>
    <w:rsid w:val="00BD3AE7"/>
    <w:rsid w:val="00BD3CCA"/>
    <w:rsid w:val="00BE2E05"/>
    <w:rsid w:val="00BE32D4"/>
    <w:rsid w:val="00BF05AD"/>
    <w:rsid w:val="00C11067"/>
    <w:rsid w:val="00C15DFE"/>
    <w:rsid w:val="00C246BD"/>
    <w:rsid w:val="00C309DC"/>
    <w:rsid w:val="00C34B1A"/>
    <w:rsid w:val="00C42259"/>
    <w:rsid w:val="00C51862"/>
    <w:rsid w:val="00C54883"/>
    <w:rsid w:val="00C606D0"/>
    <w:rsid w:val="00C70FB0"/>
    <w:rsid w:val="00C7124F"/>
    <w:rsid w:val="00C7131D"/>
    <w:rsid w:val="00C75CB2"/>
    <w:rsid w:val="00C81FCC"/>
    <w:rsid w:val="00C825CF"/>
    <w:rsid w:val="00C82EFB"/>
    <w:rsid w:val="00C94F05"/>
    <w:rsid w:val="00CA1E3F"/>
    <w:rsid w:val="00CA5C8D"/>
    <w:rsid w:val="00CC07EA"/>
    <w:rsid w:val="00CC0CF6"/>
    <w:rsid w:val="00CD39F6"/>
    <w:rsid w:val="00CE2C8C"/>
    <w:rsid w:val="00CF1E9F"/>
    <w:rsid w:val="00CF2BAF"/>
    <w:rsid w:val="00CF2FA7"/>
    <w:rsid w:val="00D03778"/>
    <w:rsid w:val="00D05A33"/>
    <w:rsid w:val="00D10C58"/>
    <w:rsid w:val="00D14151"/>
    <w:rsid w:val="00D14AFE"/>
    <w:rsid w:val="00D15D15"/>
    <w:rsid w:val="00D27359"/>
    <w:rsid w:val="00D316FB"/>
    <w:rsid w:val="00D36539"/>
    <w:rsid w:val="00D41A7C"/>
    <w:rsid w:val="00D42FA9"/>
    <w:rsid w:val="00D4401F"/>
    <w:rsid w:val="00D52F59"/>
    <w:rsid w:val="00D57B2F"/>
    <w:rsid w:val="00D65BBE"/>
    <w:rsid w:val="00D65E01"/>
    <w:rsid w:val="00D773BD"/>
    <w:rsid w:val="00D83FAA"/>
    <w:rsid w:val="00D87D71"/>
    <w:rsid w:val="00D921E0"/>
    <w:rsid w:val="00DA27B1"/>
    <w:rsid w:val="00DA66ED"/>
    <w:rsid w:val="00DD09C6"/>
    <w:rsid w:val="00DD1FB5"/>
    <w:rsid w:val="00DD58CE"/>
    <w:rsid w:val="00DE0AC0"/>
    <w:rsid w:val="00DE2F9C"/>
    <w:rsid w:val="00E03897"/>
    <w:rsid w:val="00E1638B"/>
    <w:rsid w:val="00E1649D"/>
    <w:rsid w:val="00E25945"/>
    <w:rsid w:val="00E26ACF"/>
    <w:rsid w:val="00E45D70"/>
    <w:rsid w:val="00E46149"/>
    <w:rsid w:val="00E61285"/>
    <w:rsid w:val="00E63C17"/>
    <w:rsid w:val="00E63CA5"/>
    <w:rsid w:val="00E64B02"/>
    <w:rsid w:val="00E74BF2"/>
    <w:rsid w:val="00E779C5"/>
    <w:rsid w:val="00E8494C"/>
    <w:rsid w:val="00E90B3F"/>
    <w:rsid w:val="00E926A4"/>
    <w:rsid w:val="00EB2B5B"/>
    <w:rsid w:val="00EC1F0B"/>
    <w:rsid w:val="00EC52DB"/>
    <w:rsid w:val="00EC7B0C"/>
    <w:rsid w:val="00ED4675"/>
    <w:rsid w:val="00EE39EA"/>
    <w:rsid w:val="00EF4AEE"/>
    <w:rsid w:val="00EF7D59"/>
    <w:rsid w:val="00F004D1"/>
    <w:rsid w:val="00F02B36"/>
    <w:rsid w:val="00F05972"/>
    <w:rsid w:val="00F07E21"/>
    <w:rsid w:val="00F127B0"/>
    <w:rsid w:val="00F1439B"/>
    <w:rsid w:val="00F225BB"/>
    <w:rsid w:val="00F32E4A"/>
    <w:rsid w:val="00F414AC"/>
    <w:rsid w:val="00F50885"/>
    <w:rsid w:val="00F56E11"/>
    <w:rsid w:val="00F64044"/>
    <w:rsid w:val="00F6733E"/>
    <w:rsid w:val="00F75B50"/>
    <w:rsid w:val="00F76FA5"/>
    <w:rsid w:val="00F83295"/>
    <w:rsid w:val="00F910BC"/>
    <w:rsid w:val="00F94B1F"/>
    <w:rsid w:val="00FA545F"/>
    <w:rsid w:val="00FA5A40"/>
    <w:rsid w:val="00FA6678"/>
    <w:rsid w:val="00FB0D55"/>
    <w:rsid w:val="00FB0F54"/>
    <w:rsid w:val="00FC5B1A"/>
    <w:rsid w:val="00FD1E25"/>
    <w:rsid w:val="00FE374B"/>
    <w:rsid w:val="00FE799C"/>
    <w:rsid w:val="00FF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9"/>
    <w:qFormat/>
    <w:rsid w:val="00F94B1F"/>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F94B1F"/>
    <w:pPr>
      <w:keepNext/>
      <w:numPr>
        <w:ilvl w:val="1"/>
        <w:numId w:val="2"/>
      </w:numPr>
      <w:spacing w:before="120"/>
      <w:outlineLvl w:val="1"/>
    </w:pPr>
    <w:rPr>
      <w:b/>
      <w:i/>
      <w:sz w:val="24"/>
    </w:rPr>
  </w:style>
  <w:style w:type="paragraph" w:styleId="Heading3">
    <w:name w:val="heading 3"/>
    <w:aliases w:val="TSBTHREE"/>
    <w:basedOn w:val="Normal"/>
    <w:next w:val="Normal"/>
    <w:link w:val="Heading3Char"/>
    <w:uiPriority w:val="99"/>
    <w:qFormat/>
    <w:rsid w:val="00F94B1F"/>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F94B1F"/>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F94B1F"/>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F94B1F"/>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F94B1F"/>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F94B1F"/>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F94B1F"/>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4F05"/>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9"/>
    <w:locked/>
    <w:rsid w:val="00874F05"/>
    <w:rPr>
      <w:rFonts w:ascii="Arial" w:hAnsi="Arial"/>
      <w:b/>
      <w:i/>
      <w:sz w:val="24"/>
      <w:lang w:val="en-US" w:eastAsia="en-US"/>
    </w:rPr>
  </w:style>
  <w:style w:type="character" w:customStyle="1" w:styleId="Heading3Char">
    <w:name w:val="Heading 3 Char"/>
    <w:aliases w:val="TSBTHREE Char"/>
    <w:basedOn w:val="DefaultParagraphFont"/>
    <w:link w:val="Heading3"/>
    <w:uiPriority w:val="99"/>
    <w:locked/>
    <w:rsid w:val="00874F05"/>
    <w:rPr>
      <w:rFonts w:ascii="Arial" w:hAnsi="Arial"/>
      <w:sz w:val="22"/>
      <w:u w:val="dotted"/>
      <w:lang w:eastAsia="en-US"/>
    </w:rPr>
  </w:style>
  <w:style w:type="character" w:customStyle="1" w:styleId="Heading4Char">
    <w:name w:val="Heading 4 Char"/>
    <w:aliases w:val="TSBFOUR Char"/>
    <w:basedOn w:val="DefaultParagraphFont"/>
    <w:link w:val="Heading4"/>
    <w:uiPriority w:val="99"/>
    <w:locked/>
    <w:rsid w:val="00874F05"/>
    <w:rPr>
      <w:rFonts w:ascii="Arial" w:hAnsi="Arial"/>
      <w:b/>
      <w:i/>
      <w:sz w:val="22"/>
      <w:lang w:eastAsia="en-US"/>
    </w:rPr>
  </w:style>
  <w:style w:type="character" w:customStyle="1" w:styleId="Heading5Char">
    <w:name w:val="Heading 5 Char"/>
    <w:basedOn w:val="DefaultParagraphFont"/>
    <w:link w:val="Heading5"/>
    <w:uiPriority w:val="99"/>
    <w:locked/>
    <w:rsid w:val="00874F05"/>
    <w:rPr>
      <w:rFonts w:ascii="Arial" w:hAnsi="Arial"/>
      <w:sz w:val="22"/>
      <w:lang w:val="en-US" w:eastAsia="en-US"/>
    </w:rPr>
  </w:style>
  <w:style w:type="character" w:customStyle="1" w:styleId="Heading6Char">
    <w:name w:val="Heading 6 Char"/>
    <w:basedOn w:val="DefaultParagraphFont"/>
    <w:link w:val="Heading6"/>
    <w:uiPriority w:val="99"/>
    <w:locked/>
    <w:rsid w:val="00874F05"/>
    <w:rPr>
      <w:rFonts w:ascii="Arial" w:hAnsi="Arial"/>
      <w:i/>
      <w:sz w:val="22"/>
      <w:lang w:val="en-US" w:eastAsia="en-US"/>
    </w:rPr>
  </w:style>
  <w:style w:type="character" w:customStyle="1" w:styleId="Heading7Char">
    <w:name w:val="Heading 7 Char"/>
    <w:basedOn w:val="DefaultParagraphFont"/>
    <w:link w:val="Heading7"/>
    <w:uiPriority w:val="99"/>
    <w:locked/>
    <w:rsid w:val="00874F05"/>
    <w:rPr>
      <w:rFonts w:ascii="Arial" w:hAnsi="Arial"/>
      <w:sz w:val="22"/>
      <w:lang w:val="en-US" w:eastAsia="en-US"/>
    </w:rPr>
  </w:style>
  <w:style w:type="character" w:customStyle="1" w:styleId="Heading8Char">
    <w:name w:val="Heading 8 Char"/>
    <w:basedOn w:val="DefaultParagraphFont"/>
    <w:link w:val="Heading8"/>
    <w:uiPriority w:val="99"/>
    <w:locked/>
    <w:rsid w:val="00874F05"/>
    <w:rPr>
      <w:rFonts w:ascii="Arial" w:hAnsi="Arial"/>
      <w:color w:val="FFFFFF"/>
      <w:sz w:val="22"/>
      <w:u w:val="single"/>
      <w:lang w:val="es-ES" w:eastAsia="en-US"/>
    </w:rPr>
  </w:style>
  <w:style w:type="character" w:customStyle="1" w:styleId="Heading9Char">
    <w:name w:val="Heading 9 Char"/>
    <w:basedOn w:val="DefaultParagraphFont"/>
    <w:link w:val="Heading9"/>
    <w:uiPriority w:val="99"/>
    <w:locked/>
    <w:rsid w:val="00874F05"/>
    <w:rPr>
      <w:rFonts w:ascii="Arial" w:hAnsi="Arial"/>
      <w:b/>
      <w:i/>
      <w:sz w:val="18"/>
      <w:lang w:val="en-US" w:eastAsia="en-US"/>
    </w:rPr>
  </w:style>
  <w:style w:type="paragraph" w:styleId="BlockText">
    <w:name w:val="Block Text"/>
    <w:basedOn w:val="Normal"/>
    <w:uiPriority w:val="99"/>
    <w:rsid w:val="00F94B1F"/>
    <w:pPr>
      <w:spacing w:before="40"/>
    </w:pPr>
  </w:style>
  <w:style w:type="paragraph" w:styleId="Title">
    <w:name w:val="Title"/>
    <w:basedOn w:val="Normal"/>
    <w:next w:val="Normal"/>
    <w:link w:val="TitleChar"/>
    <w:uiPriority w:val="99"/>
    <w:qFormat/>
    <w:rsid w:val="00F94B1F"/>
    <w:pPr>
      <w:spacing w:before="120" w:after="240"/>
      <w:jc w:val="center"/>
    </w:pPr>
    <w:rPr>
      <w:sz w:val="56"/>
      <w:u w:val="double"/>
      <w:lang w:val="en-GB"/>
    </w:rPr>
  </w:style>
  <w:style w:type="character" w:customStyle="1" w:styleId="TitleChar">
    <w:name w:val="Title Char"/>
    <w:basedOn w:val="DefaultParagraphFont"/>
    <w:link w:val="Title"/>
    <w:uiPriority w:val="99"/>
    <w:locked/>
    <w:rsid w:val="00874F05"/>
    <w:rPr>
      <w:rFonts w:ascii="Cambria" w:hAnsi="Cambria" w:cs="Times New Roman"/>
      <w:b/>
      <w:bCs/>
      <w:kern w:val="28"/>
      <w:sz w:val="32"/>
      <w:szCs w:val="32"/>
    </w:rPr>
  </w:style>
  <w:style w:type="paragraph" w:styleId="BodyText">
    <w:name w:val="Body Text"/>
    <w:basedOn w:val="Normal"/>
    <w:link w:val="BodyTextChar"/>
    <w:uiPriority w:val="99"/>
    <w:rsid w:val="00F94B1F"/>
    <w:rPr>
      <w:sz w:val="36"/>
      <w:u w:val="single"/>
      <w:lang w:val="es-ES"/>
    </w:rPr>
  </w:style>
  <w:style w:type="character" w:customStyle="1" w:styleId="BodyTextChar">
    <w:name w:val="Body Text Char"/>
    <w:basedOn w:val="DefaultParagraphFont"/>
    <w:link w:val="BodyText"/>
    <w:uiPriority w:val="99"/>
    <w:semiHidden/>
    <w:locked/>
    <w:rsid w:val="00874F05"/>
    <w:rPr>
      <w:rFonts w:ascii="Arial" w:hAnsi="Arial" w:cs="Times New Roman"/>
      <w:sz w:val="20"/>
      <w:szCs w:val="20"/>
    </w:rPr>
  </w:style>
  <w:style w:type="paragraph" w:styleId="BodyTextIndent3">
    <w:name w:val="Body Text Indent 3"/>
    <w:basedOn w:val="Normal"/>
    <w:link w:val="BodyTextIndent3Char"/>
    <w:uiPriority w:val="99"/>
    <w:rsid w:val="00F94B1F"/>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874F05"/>
    <w:rPr>
      <w:rFonts w:ascii="Arial" w:hAnsi="Arial" w:cs="Times New Roman"/>
      <w:sz w:val="16"/>
      <w:szCs w:val="16"/>
    </w:rPr>
  </w:style>
  <w:style w:type="paragraph" w:styleId="BodyText3">
    <w:name w:val="Body Text 3"/>
    <w:basedOn w:val="Normal"/>
    <w:link w:val="BodyText3Char"/>
    <w:uiPriority w:val="99"/>
    <w:rsid w:val="00F94B1F"/>
    <w:pPr>
      <w:spacing w:before="80" w:after="60"/>
    </w:pPr>
    <w:rPr>
      <w:sz w:val="24"/>
      <w:lang w:val="en-GB"/>
    </w:rPr>
  </w:style>
  <w:style w:type="character" w:customStyle="1" w:styleId="BodyText3Char">
    <w:name w:val="Body Text 3 Char"/>
    <w:basedOn w:val="DefaultParagraphFont"/>
    <w:link w:val="BodyText3"/>
    <w:uiPriority w:val="99"/>
    <w:semiHidden/>
    <w:locked/>
    <w:rsid w:val="00874F05"/>
    <w:rPr>
      <w:rFonts w:ascii="Arial" w:hAnsi="Arial" w:cs="Times New Roman"/>
      <w:sz w:val="16"/>
      <w:szCs w:val="16"/>
    </w:rPr>
  </w:style>
  <w:style w:type="paragraph" w:styleId="BodyText2">
    <w:name w:val="Body Text 2"/>
    <w:basedOn w:val="Normal"/>
    <w:link w:val="BodyText2Char"/>
    <w:uiPriority w:val="99"/>
    <w:rsid w:val="00F94B1F"/>
    <w:pPr>
      <w:jc w:val="center"/>
    </w:pPr>
    <w:rPr>
      <w:b/>
      <w:color w:val="FF0000"/>
      <w:sz w:val="24"/>
    </w:rPr>
  </w:style>
  <w:style w:type="character" w:customStyle="1" w:styleId="BodyText2Char">
    <w:name w:val="Body Text 2 Char"/>
    <w:basedOn w:val="DefaultParagraphFont"/>
    <w:link w:val="BodyText2"/>
    <w:uiPriority w:val="99"/>
    <w:semiHidden/>
    <w:locked/>
    <w:rsid w:val="00874F05"/>
    <w:rPr>
      <w:rFonts w:ascii="Arial" w:hAnsi="Arial" w:cs="Times New Roman"/>
      <w:sz w:val="20"/>
      <w:szCs w:val="20"/>
    </w:rPr>
  </w:style>
  <w:style w:type="paragraph" w:styleId="Subtitle">
    <w:name w:val="Subtitle"/>
    <w:basedOn w:val="Normal"/>
    <w:link w:val="SubtitleChar"/>
    <w:uiPriority w:val="99"/>
    <w:qFormat/>
    <w:rsid w:val="00F94B1F"/>
    <w:rPr>
      <w:b/>
      <w:color w:val="FF0000"/>
      <w:u w:val="single"/>
    </w:rPr>
  </w:style>
  <w:style w:type="character" w:customStyle="1" w:styleId="SubtitleChar">
    <w:name w:val="Subtitle Char"/>
    <w:basedOn w:val="DefaultParagraphFont"/>
    <w:link w:val="Subtitle"/>
    <w:uiPriority w:val="99"/>
    <w:locked/>
    <w:rsid w:val="00874F05"/>
    <w:rPr>
      <w:rFonts w:ascii="Cambria" w:hAnsi="Cambria" w:cs="Times New Roman"/>
      <w:sz w:val="24"/>
      <w:szCs w:val="24"/>
    </w:rPr>
  </w:style>
  <w:style w:type="paragraph" w:styleId="Header">
    <w:name w:val="header"/>
    <w:basedOn w:val="Normal"/>
    <w:link w:val="HeaderChar"/>
    <w:uiPriority w:val="99"/>
    <w:rsid w:val="00F94B1F"/>
    <w:pPr>
      <w:tabs>
        <w:tab w:val="center" w:pos="4320"/>
        <w:tab w:val="right" w:pos="8640"/>
      </w:tabs>
    </w:pPr>
  </w:style>
  <w:style w:type="character" w:customStyle="1" w:styleId="HeaderChar">
    <w:name w:val="Header Char"/>
    <w:basedOn w:val="DefaultParagraphFont"/>
    <w:link w:val="Header"/>
    <w:uiPriority w:val="99"/>
    <w:locked/>
    <w:rsid w:val="00505767"/>
    <w:rPr>
      <w:rFonts w:ascii="Arial" w:hAnsi="Arial" w:cs="Times New Roman"/>
      <w:sz w:val="22"/>
      <w:lang w:val="en-US" w:eastAsia="en-US"/>
    </w:rPr>
  </w:style>
  <w:style w:type="paragraph" w:styleId="Footer">
    <w:name w:val="footer"/>
    <w:basedOn w:val="Normal"/>
    <w:link w:val="FooterChar"/>
    <w:uiPriority w:val="99"/>
    <w:rsid w:val="00F94B1F"/>
    <w:pPr>
      <w:tabs>
        <w:tab w:val="center" w:pos="4320"/>
        <w:tab w:val="right" w:pos="8640"/>
      </w:tabs>
    </w:pPr>
  </w:style>
  <w:style w:type="character" w:customStyle="1" w:styleId="FooterChar">
    <w:name w:val="Footer Char"/>
    <w:basedOn w:val="DefaultParagraphFont"/>
    <w:link w:val="Footer"/>
    <w:uiPriority w:val="99"/>
    <w:locked/>
    <w:rsid w:val="00EF4AEE"/>
    <w:rPr>
      <w:rFonts w:ascii="Arial" w:hAnsi="Arial" w:cs="Times New Roman"/>
      <w:sz w:val="22"/>
      <w:lang w:val="en-US" w:eastAsia="en-US"/>
    </w:rPr>
  </w:style>
  <w:style w:type="character" w:styleId="PageNumber">
    <w:name w:val="page number"/>
    <w:basedOn w:val="DefaultParagraphFont"/>
    <w:uiPriority w:val="99"/>
    <w:rsid w:val="00F94B1F"/>
    <w:rPr>
      <w:rFonts w:cs="Times New Roman"/>
    </w:rPr>
  </w:style>
  <w:style w:type="paragraph" w:customStyle="1" w:styleId="Tabletext">
    <w:name w:val="Table text"/>
    <w:uiPriority w:val="99"/>
    <w:rsid w:val="00F94B1F"/>
    <w:rPr>
      <w:noProof/>
      <w:sz w:val="24"/>
      <w:lang w:val="en-US" w:eastAsia="en-US"/>
    </w:rPr>
  </w:style>
  <w:style w:type="paragraph" w:customStyle="1" w:styleId="Liste21">
    <w:name w:val="Liste 21"/>
    <w:basedOn w:val="Normal"/>
    <w:uiPriority w:val="99"/>
    <w:rsid w:val="00F94B1F"/>
    <w:pPr>
      <w:numPr>
        <w:numId w:val="3"/>
      </w:numPr>
      <w:jc w:val="left"/>
    </w:pPr>
    <w:rPr>
      <w:sz w:val="16"/>
    </w:rPr>
  </w:style>
  <w:style w:type="paragraph" w:styleId="ListBullet">
    <w:name w:val="List Bullet"/>
    <w:basedOn w:val="Normal"/>
    <w:autoRedefine/>
    <w:uiPriority w:val="99"/>
    <w:rsid w:val="00F94B1F"/>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F94B1F"/>
    <w:pPr>
      <w:widowControl w:val="0"/>
      <w:jc w:val="left"/>
    </w:pPr>
  </w:style>
  <w:style w:type="character" w:customStyle="1" w:styleId="FootnoteTextChar">
    <w:name w:val="Footnote Text Char"/>
    <w:basedOn w:val="DefaultParagraphFont"/>
    <w:link w:val="FootnoteText"/>
    <w:uiPriority w:val="99"/>
    <w:semiHidden/>
    <w:locked/>
    <w:rsid w:val="00874F05"/>
    <w:rPr>
      <w:rFonts w:ascii="Arial" w:hAnsi="Arial" w:cs="Times New Roman"/>
      <w:sz w:val="20"/>
      <w:szCs w:val="20"/>
    </w:rPr>
  </w:style>
  <w:style w:type="character" w:styleId="Hyperlink">
    <w:name w:val="Hyperlink"/>
    <w:basedOn w:val="DefaultParagraphFont"/>
    <w:uiPriority w:val="99"/>
    <w:rsid w:val="00F94B1F"/>
    <w:rPr>
      <w:rFonts w:cs="Times New Roman"/>
      <w:color w:val="0000FF"/>
      <w:u w:val="single"/>
    </w:rPr>
  </w:style>
  <w:style w:type="paragraph" w:customStyle="1" w:styleId="Documenttitle">
    <w:name w:val="Document title"/>
    <w:basedOn w:val="Normal"/>
    <w:uiPriority w:val="99"/>
    <w:rsid w:val="00F94B1F"/>
    <w:pPr>
      <w:spacing w:before="140" w:after="280"/>
      <w:jc w:val="center"/>
    </w:pPr>
    <w:rPr>
      <w:b/>
      <w:sz w:val="32"/>
    </w:rPr>
  </w:style>
  <w:style w:type="character" w:customStyle="1" w:styleId="arialhelvetica131">
    <w:name w:val="arialhelvetica131"/>
    <w:basedOn w:val="DefaultParagraphFont"/>
    <w:uiPriority w:val="99"/>
    <w:rsid w:val="00F94B1F"/>
    <w:rPr>
      <w:rFonts w:ascii="Arial" w:hAnsi="Arial" w:cs="Arial"/>
      <w:sz w:val="22"/>
      <w:szCs w:val="22"/>
    </w:rPr>
  </w:style>
  <w:style w:type="character" w:customStyle="1" w:styleId="stdtext1">
    <w:name w:val="stdtext1"/>
    <w:basedOn w:val="DefaultParagraphFont"/>
    <w:uiPriority w:val="99"/>
    <w:rsid w:val="00F94B1F"/>
    <w:rPr>
      <w:rFonts w:ascii="Verdana" w:hAnsi="Verdana" w:cs="Times New Roman"/>
      <w:color w:val="666633"/>
      <w:sz w:val="18"/>
      <w:szCs w:val="18"/>
    </w:rPr>
  </w:style>
  <w:style w:type="paragraph" w:styleId="ListBullet2">
    <w:name w:val="List Bullet 2"/>
    <w:basedOn w:val="Normal"/>
    <w:autoRedefine/>
    <w:uiPriority w:val="99"/>
    <w:rsid w:val="00F94B1F"/>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F94B1F"/>
    <w:pPr>
      <w:tabs>
        <w:tab w:val="left" w:pos="360"/>
      </w:tabs>
    </w:pPr>
  </w:style>
  <w:style w:type="paragraph" w:styleId="TOC2">
    <w:name w:val="toc 2"/>
    <w:basedOn w:val="Normal"/>
    <w:next w:val="Normal"/>
    <w:autoRedefine/>
    <w:uiPriority w:val="99"/>
    <w:semiHidden/>
    <w:rsid w:val="00F94B1F"/>
    <w:pPr>
      <w:ind w:left="220"/>
    </w:pPr>
  </w:style>
  <w:style w:type="paragraph" w:styleId="TOC3">
    <w:name w:val="toc 3"/>
    <w:basedOn w:val="Normal"/>
    <w:next w:val="Normal"/>
    <w:autoRedefine/>
    <w:uiPriority w:val="99"/>
    <w:semiHidden/>
    <w:rsid w:val="00F94B1F"/>
    <w:pPr>
      <w:ind w:left="440"/>
    </w:pPr>
  </w:style>
  <w:style w:type="paragraph" w:styleId="TOC4">
    <w:name w:val="toc 4"/>
    <w:basedOn w:val="Normal"/>
    <w:next w:val="Normal"/>
    <w:autoRedefine/>
    <w:uiPriority w:val="99"/>
    <w:semiHidden/>
    <w:rsid w:val="00F94B1F"/>
    <w:pPr>
      <w:ind w:left="660"/>
    </w:pPr>
  </w:style>
  <w:style w:type="paragraph" w:styleId="TOC5">
    <w:name w:val="toc 5"/>
    <w:basedOn w:val="Normal"/>
    <w:next w:val="Normal"/>
    <w:autoRedefine/>
    <w:uiPriority w:val="99"/>
    <w:semiHidden/>
    <w:rsid w:val="00F94B1F"/>
    <w:pPr>
      <w:ind w:left="880"/>
    </w:pPr>
  </w:style>
  <w:style w:type="paragraph" w:styleId="TOC6">
    <w:name w:val="toc 6"/>
    <w:basedOn w:val="Normal"/>
    <w:next w:val="Normal"/>
    <w:autoRedefine/>
    <w:uiPriority w:val="99"/>
    <w:semiHidden/>
    <w:rsid w:val="00F94B1F"/>
    <w:pPr>
      <w:ind w:left="1100"/>
    </w:pPr>
  </w:style>
  <w:style w:type="paragraph" w:styleId="TOC7">
    <w:name w:val="toc 7"/>
    <w:basedOn w:val="Normal"/>
    <w:next w:val="Normal"/>
    <w:autoRedefine/>
    <w:uiPriority w:val="99"/>
    <w:semiHidden/>
    <w:rsid w:val="00F94B1F"/>
    <w:pPr>
      <w:ind w:left="1320"/>
    </w:pPr>
  </w:style>
  <w:style w:type="paragraph" w:styleId="TOC8">
    <w:name w:val="toc 8"/>
    <w:basedOn w:val="Normal"/>
    <w:next w:val="Normal"/>
    <w:autoRedefine/>
    <w:uiPriority w:val="99"/>
    <w:semiHidden/>
    <w:rsid w:val="00F94B1F"/>
    <w:pPr>
      <w:ind w:left="1540"/>
    </w:pPr>
  </w:style>
  <w:style w:type="paragraph" w:styleId="TOC9">
    <w:name w:val="toc 9"/>
    <w:basedOn w:val="Normal"/>
    <w:next w:val="Normal"/>
    <w:autoRedefine/>
    <w:uiPriority w:val="99"/>
    <w:semiHidden/>
    <w:rsid w:val="00F94B1F"/>
    <w:pPr>
      <w:ind w:left="1760"/>
    </w:pPr>
  </w:style>
  <w:style w:type="character" w:styleId="FollowedHyperlink">
    <w:name w:val="FollowedHyperlink"/>
    <w:basedOn w:val="DefaultParagraphFont"/>
    <w:uiPriority w:val="99"/>
    <w:rsid w:val="00F94B1F"/>
    <w:rPr>
      <w:rFonts w:cs="Times New Roman"/>
      <w:color w:val="800080"/>
      <w:u w:val="single"/>
    </w:rPr>
  </w:style>
  <w:style w:type="character" w:styleId="FootnoteReference">
    <w:name w:val="footnote reference"/>
    <w:basedOn w:val="DefaultParagraphFont"/>
    <w:uiPriority w:val="99"/>
    <w:semiHidden/>
    <w:rsid w:val="00F94B1F"/>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4F05"/>
    <w:rPr>
      <w:rFonts w:ascii="Arial" w:hAnsi="Arial" w:cs="Times New Roman"/>
      <w:sz w:val="20"/>
      <w:szCs w:val="20"/>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customStyle="1" w:styleId="FaxReceiver">
    <w:name w:val="Fax Receiver"/>
    <w:basedOn w:val="Normal"/>
    <w:uiPriority w:val="99"/>
    <w:rsid w:val="00EF4AEE"/>
    <w:pPr>
      <w:tabs>
        <w:tab w:val="right" w:pos="8180"/>
      </w:tabs>
      <w:spacing w:before="300"/>
      <w:jc w:val="left"/>
    </w:pPr>
    <w:rPr>
      <w:rFonts w:ascii="Times" w:hAnsi="Times"/>
      <w:sz w:val="24"/>
    </w:rPr>
  </w:style>
  <w:style w:type="paragraph" w:styleId="BalloonText">
    <w:name w:val="Balloon Text"/>
    <w:basedOn w:val="Normal"/>
    <w:link w:val="BalloonTextChar"/>
    <w:uiPriority w:val="99"/>
    <w:rsid w:val="007B6097"/>
    <w:rPr>
      <w:rFonts w:ascii="Tahoma" w:hAnsi="Tahoma" w:cs="Tahoma"/>
      <w:sz w:val="16"/>
      <w:szCs w:val="16"/>
    </w:rPr>
  </w:style>
  <w:style w:type="character" w:customStyle="1" w:styleId="BalloonTextChar">
    <w:name w:val="Balloon Text Char"/>
    <w:basedOn w:val="DefaultParagraphFont"/>
    <w:link w:val="BalloonText"/>
    <w:uiPriority w:val="99"/>
    <w:locked/>
    <w:rsid w:val="007B6097"/>
    <w:rPr>
      <w:rFonts w:ascii="Tahoma" w:hAnsi="Tahoma" w:cs="Tahoma"/>
      <w:sz w:val="16"/>
      <w:szCs w:val="16"/>
      <w:lang w:val="en-US" w:eastAsia="en-US"/>
    </w:rPr>
  </w:style>
  <w:style w:type="paragraph" w:styleId="CommentText">
    <w:name w:val="annotation text"/>
    <w:basedOn w:val="Normal"/>
    <w:link w:val="CommentTextChar"/>
    <w:uiPriority w:val="99"/>
    <w:rsid w:val="002A482F"/>
    <w:pPr>
      <w:jc w:val="left"/>
    </w:pPr>
    <w:rPr>
      <w:rFonts w:ascii="Times New Roman" w:hAnsi="Times New Roman"/>
      <w:sz w:val="20"/>
    </w:rPr>
  </w:style>
  <w:style w:type="character" w:customStyle="1" w:styleId="CommentTextChar">
    <w:name w:val="Comment Text Char"/>
    <w:basedOn w:val="DefaultParagraphFont"/>
    <w:link w:val="CommentText"/>
    <w:uiPriority w:val="99"/>
    <w:locked/>
    <w:rsid w:val="002A482F"/>
    <w:rPr>
      <w:rFonts w:cs="Times New Roman"/>
      <w:lang w:val="en-US" w:eastAsia="en-US"/>
    </w:rPr>
  </w:style>
  <w:style w:type="character" w:styleId="CommentReference">
    <w:name w:val="annotation reference"/>
    <w:basedOn w:val="DefaultParagraphFont"/>
    <w:uiPriority w:val="99"/>
    <w:semiHidden/>
    <w:rsid w:val="00F07E21"/>
    <w:rPr>
      <w:rFonts w:cs="Times New Roman"/>
      <w:sz w:val="16"/>
      <w:szCs w:val="16"/>
    </w:rPr>
  </w:style>
  <w:style w:type="paragraph" w:styleId="CommentSubject">
    <w:name w:val="annotation subject"/>
    <w:basedOn w:val="CommentText"/>
    <w:next w:val="CommentText"/>
    <w:link w:val="CommentSubjectChar"/>
    <w:uiPriority w:val="99"/>
    <w:semiHidden/>
    <w:rsid w:val="00F07E21"/>
    <w:pPr>
      <w:jc w:val="both"/>
    </w:pPr>
    <w:rPr>
      <w:rFonts w:ascii="Arial" w:hAnsi="Arial"/>
      <w:b/>
      <w:bCs/>
    </w:rPr>
  </w:style>
  <w:style w:type="character" w:customStyle="1" w:styleId="CommentSubjectChar">
    <w:name w:val="Comment Subject Char"/>
    <w:basedOn w:val="CommentTextChar"/>
    <w:link w:val="CommentSubject"/>
    <w:uiPriority w:val="99"/>
    <w:semiHidden/>
    <w:locked/>
    <w:rsid w:val="00874F05"/>
    <w:rPr>
      <w:rFonts w:ascii="Arial" w:hAnsi="Arial" w:cs="Times New Roman"/>
      <w:b/>
      <w:bCs/>
      <w:sz w:val="20"/>
      <w:szCs w:val="20"/>
      <w:lang w:val="en-US" w:eastAsia="en-US"/>
    </w:rPr>
  </w:style>
  <w:style w:type="numbering" w:styleId="111111">
    <w:name w:val="Outline List 2"/>
    <w:basedOn w:val="NoList"/>
    <w:uiPriority w:val="99"/>
    <w:semiHidden/>
    <w:unhideWhenUsed/>
    <w:rsid w:val="00CC2BDB"/>
    <w:pPr>
      <w:numPr>
        <w:numId w:val="6"/>
      </w:numPr>
    </w:pPr>
  </w:style>
  <w:style w:type="paragraph" w:customStyle="1" w:styleId="AMFtext">
    <w:name w:val="AMFtext"/>
    <w:basedOn w:val="Normal"/>
    <w:rsid w:val="0077124A"/>
    <w:pPr>
      <w:jc w:val="left"/>
    </w:pPr>
    <w:rPr>
      <w:rFonts w:ascii="Times New Roman" w:hAnsi="Times New Roman"/>
    </w:rPr>
  </w:style>
  <w:style w:type="character" w:styleId="Strong">
    <w:name w:val="Strong"/>
    <w:uiPriority w:val="99"/>
    <w:qFormat/>
    <w:locked/>
    <w:rsid w:val="00FA545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086">
      <w:bodyDiv w:val="1"/>
      <w:marLeft w:val="0"/>
      <w:marRight w:val="0"/>
      <w:marTop w:val="0"/>
      <w:marBottom w:val="0"/>
      <w:divBdr>
        <w:top w:val="none" w:sz="0" w:space="0" w:color="auto"/>
        <w:left w:val="none" w:sz="0" w:space="0" w:color="auto"/>
        <w:bottom w:val="none" w:sz="0" w:space="0" w:color="auto"/>
        <w:right w:val="none" w:sz="0" w:space="0" w:color="auto"/>
      </w:divBdr>
    </w:div>
    <w:div w:id="196354501">
      <w:marLeft w:val="0"/>
      <w:marRight w:val="0"/>
      <w:marTop w:val="0"/>
      <w:marBottom w:val="0"/>
      <w:divBdr>
        <w:top w:val="none" w:sz="0" w:space="0" w:color="auto"/>
        <w:left w:val="none" w:sz="0" w:space="0" w:color="auto"/>
        <w:bottom w:val="none" w:sz="0" w:space="0" w:color="auto"/>
        <w:right w:val="none" w:sz="0" w:space="0" w:color="auto"/>
      </w:divBdr>
    </w:div>
    <w:div w:id="196354503">
      <w:marLeft w:val="0"/>
      <w:marRight w:val="0"/>
      <w:marTop w:val="0"/>
      <w:marBottom w:val="0"/>
      <w:divBdr>
        <w:top w:val="none" w:sz="0" w:space="0" w:color="auto"/>
        <w:left w:val="none" w:sz="0" w:space="0" w:color="auto"/>
        <w:bottom w:val="none" w:sz="0" w:space="0" w:color="auto"/>
        <w:right w:val="none" w:sz="0" w:space="0" w:color="auto"/>
      </w:divBdr>
    </w:div>
    <w:div w:id="196354504">
      <w:marLeft w:val="0"/>
      <w:marRight w:val="0"/>
      <w:marTop w:val="0"/>
      <w:marBottom w:val="0"/>
      <w:divBdr>
        <w:top w:val="none" w:sz="0" w:space="0" w:color="auto"/>
        <w:left w:val="none" w:sz="0" w:space="0" w:color="auto"/>
        <w:bottom w:val="none" w:sz="0" w:space="0" w:color="auto"/>
        <w:right w:val="none" w:sz="0" w:space="0" w:color="auto"/>
      </w:divBdr>
    </w:div>
    <w:div w:id="196354505">
      <w:marLeft w:val="0"/>
      <w:marRight w:val="0"/>
      <w:marTop w:val="0"/>
      <w:marBottom w:val="0"/>
      <w:divBdr>
        <w:top w:val="none" w:sz="0" w:space="0" w:color="auto"/>
        <w:left w:val="none" w:sz="0" w:space="0" w:color="auto"/>
        <w:bottom w:val="none" w:sz="0" w:space="0" w:color="auto"/>
        <w:right w:val="none" w:sz="0" w:space="0" w:color="auto"/>
      </w:divBdr>
      <w:divsChild>
        <w:div w:id="196354522">
          <w:marLeft w:val="0"/>
          <w:marRight w:val="0"/>
          <w:marTop w:val="80"/>
          <w:marBottom w:val="0"/>
          <w:divBdr>
            <w:top w:val="single" w:sz="2" w:space="0" w:color="008000"/>
            <w:left w:val="single" w:sz="2" w:space="0" w:color="008000"/>
            <w:bottom w:val="single" w:sz="2" w:space="0" w:color="008000"/>
            <w:right w:val="single" w:sz="2" w:space="0" w:color="008000"/>
          </w:divBdr>
          <w:divsChild>
            <w:div w:id="196354502">
              <w:marLeft w:val="0"/>
              <w:marRight w:val="0"/>
              <w:marTop w:val="0"/>
              <w:marBottom w:val="0"/>
              <w:divBdr>
                <w:top w:val="single" w:sz="2" w:space="0" w:color="FFA500"/>
                <w:left w:val="single" w:sz="2" w:space="0" w:color="FFA500"/>
                <w:bottom w:val="single" w:sz="2" w:space="0" w:color="FFA500"/>
                <w:right w:val="single" w:sz="2" w:space="0" w:color="FFA500"/>
              </w:divBdr>
              <w:divsChild>
                <w:div w:id="196354513">
                  <w:marLeft w:val="0"/>
                  <w:marRight w:val="0"/>
                  <w:marTop w:val="0"/>
                  <w:marBottom w:val="0"/>
                  <w:divBdr>
                    <w:top w:val="none" w:sz="0" w:space="0" w:color="auto"/>
                    <w:left w:val="none" w:sz="0" w:space="0" w:color="auto"/>
                    <w:bottom w:val="none" w:sz="0" w:space="0" w:color="auto"/>
                    <w:right w:val="none" w:sz="0" w:space="0" w:color="auto"/>
                  </w:divBdr>
                  <w:divsChild>
                    <w:div w:id="196354516">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96354506">
      <w:marLeft w:val="0"/>
      <w:marRight w:val="0"/>
      <w:marTop w:val="0"/>
      <w:marBottom w:val="0"/>
      <w:divBdr>
        <w:top w:val="none" w:sz="0" w:space="0" w:color="auto"/>
        <w:left w:val="none" w:sz="0" w:space="0" w:color="auto"/>
        <w:bottom w:val="none" w:sz="0" w:space="0" w:color="auto"/>
        <w:right w:val="none" w:sz="0" w:space="0" w:color="auto"/>
      </w:divBdr>
    </w:div>
    <w:div w:id="196354507">
      <w:marLeft w:val="0"/>
      <w:marRight w:val="0"/>
      <w:marTop w:val="0"/>
      <w:marBottom w:val="0"/>
      <w:divBdr>
        <w:top w:val="none" w:sz="0" w:space="0" w:color="auto"/>
        <w:left w:val="none" w:sz="0" w:space="0" w:color="auto"/>
        <w:bottom w:val="none" w:sz="0" w:space="0" w:color="auto"/>
        <w:right w:val="none" w:sz="0" w:space="0" w:color="auto"/>
      </w:divBdr>
    </w:div>
    <w:div w:id="196354508">
      <w:marLeft w:val="0"/>
      <w:marRight w:val="0"/>
      <w:marTop w:val="0"/>
      <w:marBottom w:val="0"/>
      <w:divBdr>
        <w:top w:val="none" w:sz="0" w:space="0" w:color="auto"/>
        <w:left w:val="none" w:sz="0" w:space="0" w:color="auto"/>
        <w:bottom w:val="none" w:sz="0" w:space="0" w:color="auto"/>
        <w:right w:val="none" w:sz="0" w:space="0" w:color="auto"/>
      </w:divBdr>
    </w:div>
    <w:div w:id="196354509">
      <w:marLeft w:val="0"/>
      <w:marRight w:val="0"/>
      <w:marTop w:val="0"/>
      <w:marBottom w:val="0"/>
      <w:divBdr>
        <w:top w:val="none" w:sz="0" w:space="0" w:color="auto"/>
        <w:left w:val="none" w:sz="0" w:space="0" w:color="auto"/>
        <w:bottom w:val="none" w:sz="0" w:space="0" w:color="auto"/>
        <w:right w:val="none" w:sz="0" w:space="0" w:color="auto"/>
      </w:divBdr>
    </w:div>
    <w:div w:id="196354510">
      <w:marLeft w:val="0"/>
      <w:marRight w:val="0"/>
      <w:marTop w:val="0"/>
      <w:marBottom w:val="0"/>
      <w:divBdr>
        <w:top w:val="none" w:sz="0" w:space="0" w:color="auto"/>
        <w:left w:val="none" w:sz="0" w:space="0" w:color="auto"/>
        <w:bottom w:val="none" w:sz="0" w:space="0" w:color="auto"/>
        <w:right w:val="none" w:sz="0" w:space="0" w:color="auto"/>
      </w:divBdr>
    </w:div>
    <w:div w:id="196354511">
      <w:marLeft w:val="0"/>
      <w:marRight w:val="0"/>
      <w:marTop w:val="0"/>
      <w:marBottom w:val="0"/>
      <w:divBdr>
        <w:top w:val="none" w:sz="0" w:space="0" w:color="auto"/>
        <w:left w:val="none" w:sz="0" w:space="0" w:color="auto"/>
        <w:bottom w:val="none" w:sz="0" w:space="0" w:color="auto"/>
        <w:right w:val="none" w:sz="0" w:space="0" w:color="auto"/>
      </w:divBdr>
    </w:div>
    <w:div w:id="196354512">
      <w:marLeft w:val="0"/>
      <w:marRight w:val="0"/>
      <w:marTop w:val="0"/>
      <w:marBottom w:val="0"/>
      <w:divBdr>
        <w:top w:val="none" w:sz="0" w:space="0" w:color="auto"/>
        <w:left w:val="none" w:sz="0" w:space="0" w:color="auto"/>
        <w:bottom w:val="none" w:sz="0" w:space="0" w:color="auto"/>
        <w:right w:val="none" w:sz="0" w:space="0" w:color="auto"/>
      </w:divBdr>
    </w:div>
    <w:div w:id="196354514">
      <w:marLeft w:val="0"/>
      <w:marRight w:val="0"/>
      <w:marTop w:val="0"/>
      <w:marBottom w:val="0"/>
      <w:divBdr>
        <w:top w:val="none" w:sz="0" w:space="0" w:color="auto"/>
        <w:left w:val="none" w:sz="0" w:space="0" w:color="auto"/>
        <w:bottom w:val="none" w:sz="0" w:space="0" w:color="auto"/>
        <w:right w:val="none" w:sz="0" w:space="0" w:color="auto"/>
      </w:divBdr>
    </w:div>
    <w:div w:id="196354515">
      <w:marLeft w:val="0"/>
      <w:marRight w:val="0"/>
      <w:marTop w:val="0"/>
      <w:marBottom w:val="0"/>
      <w:divBdr>
        <w:top w:val="none" w:sz="0" w:space="0" w:color="auto"/>
        <w:left w:val="none" w:sz="0" w:space="0" w:color="auto"/>
        <w:bottom w:val="none" w:sz="0" w:space="0" w:color="auto"/>
        <w:right w:val="none" w:sz="0" w:space="0" w:color="auto"/>
      </w:divBdr>
    </w:div>
    <w:div w:id="196354517">
      <w:marLeft w:val="0"/>
      <w:marRight w:val="0"/>
      <w:marTop w:val="0"/>
      <w:marBottom w:val="0"/>
      <w:divBdr>
        <w:top w:val="none" w:sz="0" w:space="0" w:color="auto"/>
        <w:left w:val="none" w:sz="0" w:space="0" w:color="auto"/>
        <w:bottom w:val="none" w:sz="0" w:space="0" w:color="auto"/>
        <w:right w:val="none" w:sz="0" w:space="0" w:color="auto"/>
      </w:divBdr>
    </w:div>
    <w:div w:id="196354518">
      <w:marLeft w:val="0"/>
      <w:marRight w:val="0"/>
      <w:marTop w:val="0"/>
      <w:marBottom w:val="0"/>
      <w:divBdr>
        <w:top w:val="none" w:sz="0" w:space="0" w:color="auto"/>
        <w:left w:val="none" w:sz="0" w:space="0" w:color="auto"/>
        <w:bottom w:val="none" w:sz="0" w:space="0" w:color="auto"/>
        <w:right w:val="none" w:sz="0" w:space="0" w:color="auto"/>
      </w:divBdr>
    </w:div>
    <w:div w:id="196354519">
      <w:marLeft w:val="0"/>
      <w:marRight w:val="0"/>
      <w:marTop w:val="0"/>
      <w:marBottom w:val="0"/>
      <w:divBdr>
        <w:top w:val="none" w:sz="0" w:space="0" w:color="auto"/>
        <w:left w:val="none" w:sz="0" w:space="0" w:color="auto"/>
        <w:bottom w:val="none" w:sz="0" w:space="0" w:color="auto"/>
        <w:right w:val="none" w:sz="0" w:space="0" w:color="auto"/>
      </w:divBdr>
    </w:div>
    <w:div w:id="196354520">
      <w:marLeft w:val="0"/>
      <w:marRight w:val="0"/>
      <w:marTop w:val="0"/>
      <w:marBottom w:val="0"/>
      <w:divBdr>
        <w:top w:val="none" w:sz="0" w:space="0" w:color="auto"/>
        <w:left w:val="none" w:sz="0" w:space="0" w:color="auto"/>
        <w:bottom w:val="none" w:sz="0" w:space="0" w:color="auto"/>
        <w:right w:val="none" w:sz="0" w:space="0" w:color="auto"/>
      </w:divBdr>
    </w:div>
    <w:div w:id="196354521">
      <w:marLeft w:val="0"/>
      <w:marRight w:val="0"/>
      <w:marTop w:val="0"/>
      <w:marBottom w:val="0"/>
      <w:divBdr>
        <w:top w:val="none" w:sz="0" w:space="0" w:color="auto"/>
        <w:left w:val="none" w:sz="0" w:space="0" w:color="auto"/>
        <w:bottom w:val="none" w:sz="0" w:space="0" w:color="auto"/>
        <w:right w:val="none" w:sz="0" w:space="0" w:color="auto"/>
      </w:divBdr>
    </w:div>
    <w:div w:id="320087842">
      <w:bodyDiv w:val="1"/>
      <w:marLeft w:val="0"/>
      <w:marRight w:val="0"/>
      <w:marTop w:val="0"/>
      <w:marBottom w:val="0"/>
      <w:divBdr>
        <w:top w:val="none" w:sz="0" w:space="0" w:color="auto"/>
        <w:left w:val="none" w:sz="0" w:space="0" w:color="auto"/>
        <w:bottom w:val="none" w:sz="0" w:space="0" w:color="auto"/>
        <w:right w:val="none" w:sz="0" w:space="0" w:color="auto"/>
      </w:divBdr>
    </w:div>
    <w:div w:id="515197341">
      <w:bodyDiv w:val="1"/>
      <w:marLeft w:val="0"/>
      <w:marRight w:val="0"/>
      <w:marTop w:val="0"/>
      <w:marBottom w:val="0"/>
      <w:divBdr>
        <w:top w:val="none" w:sz="0" w:space="0" w:color="auto"/>
        <w:left w:val="none" w:sz="0" w:space="0" w:color="auto"/>
        <w:bottom w:val="none" w:sz="0" w:space="0" w:color="auto"/>
        <w:right w:val="none" w:sz="0" w:space="0" w:color="auto"/>
      </w:divBdr>
    </w:div>
    <w:div w:id="527179052">
      <w:bodyDiv w:val="1"/>
      <w:marLeft w:val="0"/>
      <w:marRight w:val="0"/>
      <w:marTop w:val="0"/>
      <w:marBottom w:val="0"/>
      <w:divBdr>
        <w:top w:val="none" w:sz="0" w:space="0" w:color="auto"/>
        <w:left w:val="none" w:sz="0" w:space="0" w:color="auto"/>
        <w:bottom w:val="none" w:sz="0" w:space="0" w:color="auto"/>
        <w:right w:val="none" w:sz="0" w:space="0" w:color="auto"/>
      </w:divBdr>
    </w:div>
    <w:div w:id="541748159">
      <w:bodyDiv w:val="1"/>
      <w:marLeft w:val="0"/>
      <w:marRight w:val="0"/>
      <w:marTop w:val="0"/>
      <w:marBottom w:val="0"/>
      <w:divBdr>
        <w:top w:val="none" w:sz="0" w:space="0" w:color="auto"/>
        <w:left w:val="none" w:sz="0" w:space="0" w:color="auto"/>
        <w:bottom w:val="none" w:sz="0" w:space="0" w:color="auto"/>
        <w:right w:val="none" w:sz="0" w:space="0" w:color="auto"/>
      </w:divBdr>
    </w:div>
    <w:div w:id="566841880">
      <w:bodyDiv w:val="1"/>
      <w:marLeft w:val="0"/>
      <w:marRight w:val="0"/>
      <w:marTop w:val="0"/>
      <w:marBottom w:val="0"/>
      <w:divBdr>
        <w:top w:val="none" w:sz="0" w:space="0" w:color="auto"/>
        <w:left w:val="none" w:sz="0" w:space="0" w:color="auto"/>
        <w:bottom w:val="none" w:sz="0" w:space="0" w:color="auto"/>
        <w:right w:val="none" w:sz="0" w:space="0" w:color="auto"/>
      </w:divBdr>
    </w:div>
    <w:div w:id="618490306">
      <w:bodyDiv w:val="1"/>
      <w:marLeft w:val="0"/>
      <w:marRight w:val="0"/>
      <w:marTop w:val="0"/>
      <w:marBottom w:val="0"/>
      <w:divBdr>
        <w:top w:val="none" w:sz="0" w:space="0" w:color="auto"/>
        <w:left w:val="none" w:sz="0" w:space="0" w:color="auto"/>
        <w:bottom w:val="none" w:sz="0" w:space="0" w:color="auto"/>
        <w:right w:val="none" w:sz="0" w:space="0" w:color="auto"/>
      </w:divBdr>
    </w:div>
    <w:div w:id="960067698">
      <w:bodyDiv w:val="1"/>
      <w:marLeft w:val="0"/>
      <w:marRight w:val="0"/>
      <w:marTop w:val="0"/>
      <w:marBottom w:val="0"/>
      <w:divBdr>
        <w:top w:val="none" w:sz="0" w:space="0" w:color="auto"/>
        <w:left w:val="none" w:sz="0" w:space="0" w:color="auto"/>
        <w:bottom w:val="none" w:sz="0" w:space="0" w:color="auto"/>
        <w:right w:val="none" w:sz="0" w:space="0" w:color="auto"/>
      </w:divBdr>
    </w:div>
    <w:div w:id="1048723593">
      <w:bodyDiv w:val="1"/>
      <w:marLeft w:val="0"/>
      <w:marRight w:val="0"/>
      <w:marTop w:val="0"/>
      <w:marBottom w:val="0"/>
      <w:divBdr>
        <w:top w:val="none" w:sz="0" w:space="0" w:color="auto"/>
        <w:left w:val="none" w:sz="0" w:space="0" w:color="auto"/>
        <w:bottom w:val="none" w:sz="0" w:space="0" w:color="auto"/>
        <w:right w:val="none" w:sz="0" w:space="0" w:color="auto"/>
      </w:divBdr>
    </w:div>
    <w:div w:id="1410079852">
      <w:bodyDiv w:val="1"/>
      <w:marLeft w:val="0"/>
      <w:marRight w:val="0"/>
      <w:marTop w:val="0"/>
      <w:marBottom w:val="0"/>
      <w:divBdr>
        <w:top w:val="none" w:sz="0" w:space="0" w:color="auto"/>
        <w:left w:val="none" w:sz="0" w:space="0" w:color="auto"/>
        <w:bottom w:val="none" w:sz="0" w:space="0" w:color="auto"/>
        <w:right w:val="none" w:sz="0" w:space="0" w:color="auto"/>
      </w:divBdr>
    </w:div>
    <w:div w:id="1717121097">
      <w:bodyDiv w:val="1"/>
      <w:marLeft w:val="0"/>
      <w:marRight w:val="0"/>
      <w:marTop w:val="0"/>
      <w:marBottom w:val="0"/>
      <w:divBdr>
        <w:top w:val="none" w:sz="0" w:space="0" w:color="auto"/>
        <w:left w:val="none" w:sz="0" w:space="0" w:color="auto"/>
        <w:bottom w:val="none" w:sz="0" w:space="0" w:color="auto"/>
        <w:right w:val="none" w:sz="0" w:space="0" w:color="auto"/>
      </w:divBdr>
    </w:div>
    <w:div w:id="1986615809">
      <w:bodyDiv w:val="1"/>
      <w:marLeft w:val="0"/>
      <w:marRight w:val="0"/>
      <w:marTop w:val="0"/>
      <w:marBottom w:val="0"/>
      <w:divBdr>
        <w:top w:val="none" w:sz="0" w:space="0" w:color="auto"/>
        <w:left w:val="none" w:sz="0" w:space="0" w:color="auto"/>
        <w:bottom w:val="none" w:sz="0" w:space="0" w:color="auto"/>
        <w:right w:val="none" w:sz="0" w:space="0" w:color="auto"/>
      </w:divBdr>
    </w:div>
    <w:div w:id="20461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brasile@statestree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andre.kech@swif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ovyeva@ndc.ru" TargetMode="External"/><Relationship Id="rId4" Type="http://schemas.openxmlformats.org/officeDocument/2006/relationships/settings" Target="settings.xml"/><Relationship Id="rId9" Type="http://schemas.openxmlformats.org/officeDocument/2006/relationships/hyperlink" Target="mailto:Brettk@jse.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22779</CharactersWithSpaces>
  <SharedDoc>false</SharedDoc>
  <HLinks>
    <vt:vector size="66" baseType="variant">
      <vt:variant>
        <vt:i4>52</vt:i4>
      </vt:variant>
      <vt:variant>
        <vt:i4>38</vt:i4>
      </vt:variant>
      <vt:variant>
        <vt:i4>0</vt:i4>
      </vt:variant>
      <vt:variant>
        <vt:i4>5</vt:i4>
      </vt:variant>
      <vt:variant>
        <vt:lpwstr>mailto:Jbrasile@statestreet.com</vt:lpwstr>
      </vt:variant>
      <vt:variant>
        <vt:lpwstr/>
      </vt:variant>
      <vt:variant>
        <vt:i4>5308474</vt:i4>
      </vt:variant>
      <vt:variant>
        <vt:i4>35</vt:i4>
      </vt:variant>
      <vt:variant>
        <vt:i4>0</vt:i4>
      </vt:variant>
      <vt:variant>
        <vt:i4>5</vt:i4>
      </vt:variant>
      <vt:variant>
        <vt:lpwstr>mailto:a.katopodi@ttbank.gr</vt:lpwstr>
      </vt:variant>
      <vt:variant>
        <vt:lpwstr/>
      </vt:variant>
      <vt:variant>
        <vt:i4>7471110</vt:i4>
      </vt:variant>
      <vt:variant>
        <vt:i4>32</vt:i4>
      </vt:variant>
      <vt:variant>
        <vt:i4>0</vt:i4>
      </vt:variant>
      <vt:variant>
        <vt:i4>5</vt:i4>
      </vt:variant>
      <vt:variant>
        <vt:lpwstr>mailto:Evelyne.PIRON@swift.com</vt:lpwstr>
      </vt:variant>
      <vt:variant>
        <vt:lpwstr/>
      </vt:variant>
      <vt:variant>
        <vt:i4>8060950</vt:i4>
      </vt:variant>
      <vt:variant>
        <vt:i4>29</vt:i4>
      </vt:variant>
      <vt:variant>
        <vt:i4>0</vt:i4>
      </vt:variant>
      <vt:variant>
        <vt:i4>5</vt:i4>
      </vt:variant>
      <vt:variant>
        <vt:lpwstr>mailto:trygve.kjensli@nordea.com</vt:lpwstr>
      </vt:variant>
      <vt:variant>
        <vt:lpwstr/>
      </vt:variant>
      <vt:variant>
        <vt:i4>5439597</vt:i4>
      </vt:variant>
      <vt:variant>
        <vt:i4>26</vt:i4>
      </vt:variant>
      <vt:variant>
        <vt:i4>0</vt:i4>
      </vt:variant>
      <vt:variant>
        <vt:i4>5</vt:i4>
      </vt:variant>
      <vt:variant>
        <vt:lpwstr>mailto:hsj@vp.dk</vt:lpwstr>
      </vt:variant>
      <vt:variant>
        <vt:lpwstr/>
      </vt:variant>
      <vt:variant>
        <vt:i4>8323082</vt:i4>
      </vt:variant>
      <vt:variant>
        <vt:i4>20</vt:i4>
      </vt:variant>
      <vt:variant>
        <vt:i4>0</vt:i4>
      </vt:variant>
      <vt:variant>
        <vt:i4>5</vt:i4>
      </vt:variant>
      <vt:variant>
        <vt:lpwstr>mailto:Sari.Rask@nordea.com</vt:lpwstr>
      </vt:variant>
      <vt:variant>
        <vt:lpwstr/>
      </vt:variant>
      <vt:variant>
        <vt:i4>3276876</vt:i4>
      </vt:variant>
      <vt:variant>
        <vt:i4>17</vt:i4>
      </vt:variant>
      <vt:variant>
        <vt:i4>0</vt:i4>
      </vt:variant>
      <vt:variant>
        <vt:i4>5</vt:i4>
      </vt:variant>
      <vt:variant>
        <vt:lpwstr>mailto:denis.andrejew@db.com</vt:lpwstr>
      </vt:variant>
      <vt:variant>
        <vt:lpwstr/>
      </vt:variant>
      <vt:variant>
        <vt:i4>6094885</vt:i4>
      </vt:variant>
      <vt:variant>
        <vt:i4>14</vt:i4>
      </vt:variant>
      <vt:variant>
        <vt:i4>0</vt:i4>
      </vt:variant>
      <vt:variant>
        <vt:i4>5</vt:i4>
      </vt:variant>
      <vt:variant>
        <vt:lpwstr>mailto:yjpark@ksd.or.kr%3E</vt:lpwstr>
      </vt:variant>
      <vt:variant>
        <vt:lpwstr/>
      </vt:variant>
      <vt:variant>
        <vt:i4>4587623</vt:i4>
      </vt:variant>
      <vt:variant>
        <vt:i4>11</vt:i4>
      </vt:variant>
      <vt:variant>
        <vt:i4>0</vt:i4>
      </vt:variant>
      <vt:variant>
        <vt:i4>5</vt:i4>
      </vt:variant>
      <vt:variant>
        <vt:lpwstr>mailto:Simon.T.Burke@jpmorgan.com</vt:lpwstr>
      </vt:variant>
      <vt:variant>
        <vt:lpwstr/>
      </vt:variant>
      <vt:variant>
        <vt:i4>7340111</vt:i4>
      </vt:variant>
      <vt:variant>
        <vt:i4>5</vt:i4>
      </vt:variant>
      <vt:variant>
        <vt:i4>0</vt:i4>
      </vt:variant>
      <vt:variant>
        <vt:i4>5</vt:i4>
      </vt:variant>
      <vt:variant>
        <vt:lpwstr>mailto:Solovyeva@ndc.ru</vt:lpwstr>
      </vt:variant>
      <vt:variant>
        <vt:lpwstr/>
      </vt:variant>
      <vt:variant>
        <vt:i4>1638501</vt:i4>
      </vt:variant>
      <vt:variant>
        <vt:i4>2</vt:i4>
      </vt:variant>
      <vt:variant>
        <vt:i4>0</vt:i4>
      </vt:variant>
      <vt:variant>
        <vt:i4>5</vt:i4>
      </vt:variant>
      <vt:variant>
        <vt:lpwstr>mailto:Brettk@jse.co.za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8</cp:revision>
  <cp:lastPrinted>2012-04-18T12:24:00Z</cp:lastPrinted>
  <dcterms:created xsi:type="dcterms:W3CDTF">2012-10-24T08:49:00Z</dcterms:created>
  <dcterms:modified xsi:type="dcterms:W3CDTF">2012-11-20T08:03:00Z</dcterms:modified>
</cp:coreProperties>
</file>