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C6DB" w14:textId="77777777" w:rsidR="00126DC9" w:rsidRPr="00E0167A" w:rsidRDefault="00126DC9">
      <w:pPr>
        <w:rPr>
          <w:lang w:val="en-GB"/>
        </w:rPr>
      </w:pPr>
    </w:p>
    <w:p w14:paraId="7E0ECBF9" w14:textId="77777777" w:rsidR="00126DC9" w:rsidRPr="00E0167A" w:rsidRDefault="00126DC9">
      <w:pPr>
        <w:rPr>
          <w:lang w:val="en-GB"/>
        </w:rPr>
      </w:pPr>
    </w:p>
    <w:p w14:paraId="18B3F896" w14:textId="77777777" w:rsidR="00126DC9" w:rsidRPr="00E0167A" w:rsidRDefault="00126DC9">
      <w:pPr>
        <w:rPr>
          <w:lang w:val="en-GB"/>
        </w:rPr>
      </w:pPr>
    </w:p>
    <w:p w14:paraId="4B543FF9" w14:textId="77777777" w:rsidR="00126DC9" w:rsidRPr="00E0167A" w:rsidRDefault="00126DC9">
      <w:pPr>
        <w:rPr>
          <w:lang w:val="en-GB"/>
        </w:rPr>
      </w:pPr>
    </w:p>
    <w:p w14:paraId="7A27171C" w14:textId="77777777" w:rsidR="00126DC9" w:rsidRPr="00E0167A" w:rsidRDefault="00126DC9">
      <w:pPr>
        <w:rPr>
          <w:lang w:val="en-GB"/>
        </w:rPr>
      </w:pPr>
    </w:p>
    <w:p w14:paraId="48AE7D57" w14:textId="77777777" w:rsidR="00126DC9" w:rsidRPr="00E0167A" w:rsidRDefault="00126DC9">
      <w:pPr>
        <w:rPr>
          <w:lang w:val="en-GB"/>
        </w:rPr>
      </w:pPr>
    </w:p>
    <w:p w14:paraId="690B494C" w14:textId="77777777" w:rsidR="00126DC9" w:rsidRPr="00E0167A" w:rsidRDefault="00126DC9">
      <w:pPr>
        <w:rPr>
          <w:lang w:val="en-GB"/>
        </w:rPr>
      </w:pPr>
    </w:p>
    <w:p w14:paraId="7107C884" w14:textId="77777777" w:rsidR="00126DC9" w:rsidRPr="00E0167A" w:rsidRDefault="00126DC9">
      <w:pPr>
        <w:rPr>
          <w:lang w:val="en-GB"/>
        </w:rPr>
      </w:pPr>
    </w:p>
    <w:p w14:paraId="52A45CF9" w14:textId="77777777" w:rsidR="00AE04DD" w:rsidRDefault="00DC321B"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Delta Reporting</w:t>
      </w:r>
      <w:r w:rsidR="00C01764">
        <w:rPr>
          <w:noProof/>
          <w:sz w:val="52"/>
          <w:lang w:val="en-GB"/>
        </w:rPr>
        <w:t xml:space="preserve"> </w:t>
      </w:r>
      <w:r w:rsidR="00301367">
        <w:rPr>
          <w:noProof/>
          <w:sz w:val="52"/>
          <w:lang w:val="en-GB"/>
        </w:rPr>
        <w:t>Market Practice</w:t>
      </w:r>
    </w:p>
    <w:p w14:paraId="068FA164" w14:textId="77777777" w:rsidR="00C01764" w:rsidRDefault="00C01764"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p>
    <w:p w14:paraId="4F2F2024" w14:textId="77777777" w:rsidR="00C01764" w:rsidRPr="00E0167A" w:rsidRDefault="00C01764"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 xml:space="preserve">Draft version created by the </w:t>
      </w:r>
      <w:r w:rsidR="00A34030">
        <w:rPr>
          <w:noProof/>
          <w:sz w:val="52"/>
          <w:lang w:val="en-GB"/>
        </w:rPr>
        <w:t>ECB</w:t>
      </w:r>
    </w:p>
    <w:p w14:paraId="5DF0E25D" w14:textId="77777777" w:rsidR="00126DC9" w:rsidRPr="00E0167A" w:rsidRDefault="00126DC9">
      <w:pPr>
        <w:rPr>
          <w:lang w:val="en-GB"/>
        </w:rPr>
      </w:pPr>
    </w:p>
    <w:p w14:paraId="7D28E917" w14:textId="77777777" w:rsidR="00126DC9" w:rsidRPr="00E0167A" w:rsidRDefault="00126DC9">
      <w:pPr>
        <w:rPr>
          <w:lang w:val="en-GB"/>
        </w:rPr>
      </w:pPr>
    </w:p>
    <w:p w14:paraId="2583195C" w14:textId="77777777" w:rsidR="00126DC9" w:rsidRDefault="00126DC9">
      <w:pPr>
        <w:rPr>
          <w:lang w:val="en-GB"/>
        </w:rPr>
      </w:pPr>
    </w:p>
    <w:p w14:paraId="31709798" w14:textId="77777777" w:rsidR="00B01586" w:rsidRPr="00E0167A" w:rsidRDefault="00B01586">
      <w:pPr>
        <w:rPr>
          <w:lang w:val="en-GB"/>
        </w:rPr>
      </w:pPr>
    </w:p>
    <w:p w14:paraId="47746C66" w14:textId="77777777" w:rsidR="00CA01D9" w:rsidRPr="00E0167A" w:rsidRDefault="00CA01D9">
      <w:pPr>
        <w:rPr>
          <w:lang w:val="en-GB"/>
        </w:rPr>
      </w:pPr>
    </w:p>
    <w:p w14:paraId="586F5826" w14:textId="77777777" w:rsidR="00126DC9" w:rsidRPr="00E0167A" w:rsidRDefault="00126DC9">
      <w:pPr>
        <w:rPr>
          <w:lang w:val="en-GB"/>
        </w:rPr>
      </w:pPr>
    </w:p>
    <w:p w14:paraId="42959481" w14:textId="77777777" w:rsidR="00CA01D9" w:rsidRPr="00E0167A" w:rsidRDefault="00CA01D9" w:rsidP="005425A4">
      <w:pPr>
        <w:ind w:left="3828"/>
        <w:jc w:val="left"/>
        <w:rPr>
          <w:sz w:val="28"/>
          <w:lang w:val="en-GB"/>
        </w:rPr>
      </w:pPr>
      <w:r w:rsidRPr="00E0167A">
        <w:rPr>
          <w:sz w:val="28"/>
          <w:lang w:val="en-GB"/>
        </w:rPr>
        <w:t xml:space="preserve">Status: </w:t>
      </w:r>
      <w:r w:rsidRPr="00E0167A">
        <w:rPr>
          <w:sz w:val="28"/>
          <w:lang w:val="en-GB"/>
        </w:rPr>
        <w:tab/>
      </w:r>
      <w:r w:rsidRPr="00E0167A">
        <w:rPr>
          <w:sz w:val="28"/>
          <w:lang w:val="en-GB"/>
        </w:rPr>
        <w:tab/>
      </w:r>
      <w:r w:rsidRPr="00E0167A">
        <w:rPr>
          <w:sz w:val="28"/>
          <w:lang w:val="en-GB"/>
        </w:rPr>
        <w:tab/>
      </w:r>
      <w:r w:rsidR="00DC321B">
        <w:rPr>
          <w:sz w:val="28"/>
          <w:lang w:val="en-GB"/>
        </w:rPr>
        <w:t>Draft</w:t>
      </w:r>
    </w:p>
    <w:p w14:paraId="7F6EE583" w14:textId="77777777" w:rsidR="00CA01D9" w:rsidRPr="00E0167A" w:rsidRDefault="00CA01D9" w:rsidP="005425A4">
      <w:pPr>
        <w:ind w:left="3828"/>
        <w:jc w:val="left"/>
        <w:rPr>
          <w:sz w:val="28"/>
          <w:lang w:val="en-GB"/>
        </w:rPr>
      </w:pPr>
      <w:r w:rsidRPr="00E0167A">
        <w:rPr>
          <w:sz w:val="28"/>
          <w:lang w:val="en-GB"/>
        </w:rPr>
        <w:t xml:space="preserve">Preparation date: </w:t>
      </w:r>
      <w:r w:rsidRPr="00E0167A">
        <w:rPr>
          <w:sz w:val="28"/>
          <w:lang w:val="en-GB"/>
        </w:rPr>
        <w:tab/>
      </w:r>
      <w:r w:rsidR="00A34030">
        <w:rPr>
          <w:sz w:val="28"/>
          <w:lang w:val="en-GB"/>
        </w:rPr>
        <w:t>September</w:t>
      </w:r>
      <w:r w:rsidRPr="00E0167A">
        <w:rPr>
          <w:sz w:val="28"/>
          <w:lang w:val="en-GB"/>
        </w:rPr>
        <w:t xml:space="preserve"> </w:t>
      </w:r>
      <w:r w:rsidR="00DC321B">
        <w:rPr>
          <w:sz w:val="28"/>
          <w:lang w:val="en-GB"/>
        </w:rPr>
        <w:t>201</w:t>
      </w:r>
      <w:r w:rsidR="00A34030">
        <w:rPr>
          <w:sz w:val="28"/>
          <w:lang w:val="en-GB"/>
        </w:rPr>
        <w:t>7</w:t>
      </w:r>
    </w:p>
    <w:p w14:paraId="5C67CBD3" w14:textId="77777777" w:rsidR="001C24FB" w:rsidRPr="00E0167A" w:rsidRDefault="001C24FB" w:rsidP="005425A4">
      <w:pPr>
        <w:ind w:left="3828"/>
        <w:jc w:val="left"/>
        <w:rPr>
          <w:sz w:val="28"/>
          <w:lang w:val="en-GB"/>
        </w:rPr>
      </w:pPr>
      <w:r w:rsidRPr="00E0167A">
        <w:rPr>
          <w:sz w:val="28"/>
          <w:lang w:val="en-GB"/>
        </w:rPr>
        <w:t xml:space="preserve">Update date: </w:t>
      </w:r>
      <w:r w:rsidRPr="00E0167A">
        <w:rPr>
          <w:sz w:val="28"/>
          <w:lang w:val="en-GB"/>
        </w:rPr>
        <w:tab/>
      </w:r>
      <w:r w:rsidRPr="00E0167A">
        <w:rPr>
          <w:sz w:val="28"/>
          <w:lang w:val="en-GB"/>
        </w:rPr>
        <w:tab/>
      </w:r>
      <w:r w:rsidR="00B03FAD">
        <w:rPr>
          <w:sz w:val="28"/>
          <w:lang w:val="en-GB"/>
        </w:rPr>
        <w:t>Month</w:t>
      </w:r>
      <w:r w:rsidR="00B03FAD" w:rsidRPr="00E0167A">
        <w:rPr>
          <w:sz w:val="28"/>
          <w:lang w:val="en-GB"/>
        </w:rPr>
        <w:t xml:space="preserve"> </w:t>
      </w:r>
      <w:r w:rsidR="00B03FAD">
        <w:rPr>
          <w:sz w:val="28"/>
          <w:lang w:val="en-GB"/>
        </w:rPr>
        <w:t>YYYY</w:t>
      </w:r>
    </w:p>
    <w:p w14:paraId="15033399" w14:textId="77777777" w:rsidR="00CA01D9" w:rsidRPr="00E0167A" w:rsidRDefault="001C24FB" w:rsidP="005425A4">
      <w:pPr>
        <w:ind w:left="3828"/>
        <w:jc w:val="left"/>
        <w:rPr>
          <w:sz w:val="28"/>
          <w:lang w:val="en-GB"/>
        </w:rPr>
      </w:pPr>
      <w:r w:rsidRPr="00E0167A">
        <w:rPr>
          <w:sz w:val="28"/>
          <w:lang w:val="en-GB"/>
        </w:rPr>
        <w:t>Update</w:t>
      </w:r>
      <w:r w:rsidR="00CA01D9" w:rsidRPr="00E0167A">
        <w:rPr>
          <w:sz w:val="28"/>
          <w:lang w:val="en-GB"/>
        </w:rPr>
        <w:t xml:space="preserve">. </w:t>
      </w:r>
      <w:proofErr w:type="spellStart"/>
      <w:r w:rsidR="00CA01D9" w:rsidRPr="00E0167A">
        <w:rPr>
          <w:sz w:val="28"/>
          <w:lang w:val="en-GB"/>
        </w:rPr>
        <w:t>Impl</w:t>
      </w:r>
      <w:proofErr w:type="spellEnd"/>
      <w:r w:rsidR="00CA01D9" w:rsidRPr="00E0167A">
        <w:rPr>
          <w:sz w:val="28"/>
          <w:lang w:val="en-GB"/>
        </w:rPr>
        <w:t xml:space="preserve">. </w:t>
      </w:r>
      <w:proofErr w:type="gramStart"/>
      <w:r w:rsidR="00CA01D9" w:rsidRPr="00E0167A">
        <w:rPr>
          <w:sz w:val="28"/>
          <w:lang w:val="en-GB"/>
        </w:rPr>
        <w:t>date</w:t>
      </w:r>
      <w:proofErr w:type="gramEnd"/>
      <w:r w:rsidR="00CA01D9" w:rsidRPr="00E0167A">
        <w:rPr>
          <w:sz w:val="28"/>
          <w:lang w:val="en-GB"/>
        </w:rPr>
        <w:t xml:space="preserve">: </w:t>
      </w:r>
      <w:r w:rsidR="00CA01D9" w:rsidRPr="00E0167A">
        <w:rPr>
          <w:sz w:val="28"/>
          <w:lang w:val="en-GB"/>
        </w:rPr>
        <w:tab/>
      </w:r>
      <w:r w:rsidR="00B03FAD">
        <w:rPr>
          <w:sz w:val="28"/>
          <w:lang w:val="en-GB"/>
        </w:rPr>
        <w:t>Month</w:t>
      </w:r>
      <w:r w:rsidR="00B03FAD" w:rsidRPr="00E0167A">
        <w:rPr>
          <w:sz w:val="28"/>
          <w:lang w:val="en-GB"/>
        </w:rPr>
        <w:t xml:space="preserve"> </w:t>
      </w:r>
      <w:r w:rsidR="00B03FAD">
        <w:rPr>
          <w:sz w:val="28"/>
          <w:lang w:val="en-GB"/>
        </w:rPr>
        <w:t>YYYY</w:t>
      </w:r>
    </w:p>
    <w:p w14:paraId="36DF352C" w14:textId="77777777" w:rsidR="00CA01D9" w:rsidRDefault="00CA01D9" w:rsidP="005425A4">
      <w:pPr>
        <w:ind w:left="3828"/>
        <w:jc w:val="left"/>
        <w:rPr>
          <w:sz w:val="28"/>
          <w:lang w:val="en-GB"/>
        </w:rPr>
      </w:pPr>
      <w:r w:rsidRPr="00E0167A">
        <w:rPr>
          <w:sz w:val="28"/>
          <w:lang w:val="en-GB"/>
        </w:rPr>
        <w:t xml:space="preserve">Author: </w:t>
      </w:r>
      <w:r w:rsidRPr="00E0167A">
        <w:rPr>
          <w:sz w:val="28"/>
          <w:lang w:val="en-GB"/>
        </w:rPr>
        <w:tab/>
      </w:r>
      <w:r w:rsidRPr="00E0167A">
        <w:rPr>
          <w:sz w:val="28"/>
          <w:lang w:val="en-GB"/>
        </w:rPr>
        <w:tab/>
      </w:r>
      <w:r w:rsidRPr="00E0167A">
        <w:rPr>
          <w:sz w:val="28"/>
          <w:lang w:val="en-GB"/>
        </w:rPr>
        <w:tab/>
      </w:r>
      <w:r w:rsidR="005425A4">
        <w:rPr>
          <w:sz w:val="28"/>
          <w:lang w:val="en-GB"/>
        </w:rPr>
        <w:t xml:space="preserve">European Central Bank </w:t>
      </w:r>
    </w:p>
    <w:p w14:paraId="2C07A27E" w14:textId="77777777" w:rsidR="005425A4" w:rsidRPr="00E0167A" w:rsidRDefault="005425A4" w:rsidP="005425A4">
      <w:pPr>
        <w:ind w:left="3828"/>
        <w:jc w:val="left"/>
        <w:rPr>
          <w:sz w:val="28"/>
          <w:lang w:val="en-GB"/>
        </w:rPr>
      </w:pPr>
      <w:r>
        <w:rPr>
          <w:sz w:val="28"/>
          <w:lang w:val="en-GB"/>
        </w:rPr>
        <w:tab/>
      </w:r>
      <w:r>
        <w:rPr>
          <w:sz w:val="28"/>
          <w:lang w:val="en-GB"/>
        </w:rPr>
        <w:tab/>
      </w:r>
      <w:r>
        <w:rPr>
          <w:sz w:val="28"/>
          <w:lang w:val="en-GB"/>
        </w:rPr>
        <w:tab/>
      </w:r>
      <w:r>
        <w:rPr>
          <w:sz w:val="28"/>
          <w:lang w:val="en-GB"/>
        </w:rPr>
        <w:tab/>
        <w:t xml:space="preserve">Market Infrastructure </w:t>
      </w:r>
      <w:r>
        <w:rPr>
          <w:sz w:val="28"/>
          <w:lang w:val="en-GB"/>
        </w:rPr>
        <w:br/>
      </w:r>
      <w:r>
        <w:rPr>
          <w:sz w:val="28"/>
          <w:lang w:val="en-GB"/>
        </w:rPr>
        <w:tab/>
      </w:r>
      <w:r>
        <w:rPr>
          <w:sz w:val="28"/>
          <w:lang w:val="en-GB"/>
        </w:rPr>
        <w:tab/>
      </w:r>
      <w:r>
        <w:rPr>
          <w:sz w:val="28"/>
          <w:lang w:val="en-GB"/>
        </w:rPr>
        <w:tab/>
      </w:r>
      <w:r>
        <w:rPr>
          <w:sz w:val="28"/>
          <w:lang w:val="en-GB"/>
        </w:rPr>
        <w:tab/>
        <w:t>Development Division</w:t>
      </w:r>
    </w:p>
    <w:p w14:paraId="3BF17685" w14:textId="77777777" w:rsidR="00B01586" w:rsidRDefault="00B01586" w:rsidP="00B01586">
      <w:pPr>
        <w:rPr>
          <w:b/>
          <w:lang w:val="en-GB"/>
        </w:rPr>
      </w:pPr>
    </w:p>
    <w:p w14:paraId="395C8F61" w14:textId="77777777" w:rsidR="00B01586" w:rsidRDefault="00B01586" w:rsidP="00B01586">
      <w:pPr>
        <w:rPr>
          <w:b/>
          <w:sz w:val="28"/>
          <w:lang w:val="en-GB"/>
        </w:rPr>
      </w:pPr>
    </w:p>
    <w:p w14:paraId="2EF54585" w14:textId="77777777" w:rsidR="00B01586" w:rsidRDefault="00B01586" w:rsidP="00B01586">
      <w:pPr>
        <w:rPr>
          <w:b/>
          <w:sz w:val="28"/>
          <w:lang w:val="en-GB"/>
        </w:rPr>
      </w:pPr>
    </w:p>
    <w:p w14:paraId="1278CB86" w14:textId="77777777" w:rsidR="00B01586" w:rsidRDefault="00B01586" w:rsidP="00B01586">
      <w:pPr>
        <w:rPr>
          <w:b/>
          <w:sz w:val="28"/>
          <w:lang w:val="en-GB"/>
        </w:rPr>
      </w:pPr>
    </w:p>
    <w:p w14:paraId="3F247CBE" w14:textId="77777777" w:rsidR="00B01586" w:rsidRPr="00B01586" w:rsidRDefault="00B01586" w:rsidP="00B01586">
      <w:pPr>
        <w:rPr>
          <w:b/>
          <w:sz w:val="28"/>
          <w:lang w:val="en-GB"/>
        </w:rPr>
      </w:pPr>
    </w:p>
    <w:p w14:paraId="75D24D2D" w14:textId="77777777" w:rsidR="00B01586" w:rsidRPr="00B01586" w:rsidRDefault="00B01586" w:rsidP="00B01586">
      <w:pPr>
        <w:rPr>
          <w:sz w:val="30"/>
          <w:szCs w:val="30"/>
          <w:lang w:val="en-GB"/>
        </w:rPr>
      </w:pPr>
      <w:r w:rsidRPr="00B01586">
        <w:rPr>
          <w:sz w:val="30"/>
          <w:szCs w:val="30"/>
          <w:lang w:val="en-GB"/>
        </w:rPr>
        <w:t xml:space="preserve">   </w:t>
      </w:r>
    </w:p>
    <w:p w14:paraId="1FE7B47B" w14:textId="77777777" w:rsidR="00B01586" w:rsidRDefault="00B01586">
      <w:pPr>
        <w:spacing w:after="0"/>
        <w:jc w:val="left"/>
        <w:rPr>
          <w:lang w:val="en-GB"/>
        </w:rPr>
      </w:pPr>
      <w:r>
        <w:rPr>
          <w:lang w:val="en-GB"/>
        </w:rPr>
        <w:br w:type="page"/>
      </w:r>
    </w:p>
    <w:p w14:paraId="17039359" w14:textId="77777777" w:rsidR="00B01586" w:rsidRDefault="00B01586">
      <w:pPr>
        <w:pStyle w:val="TOC1"/>
        <w:tabs>
          <w:tab w:val="right" w:leader="dot" w:pos="9767"/>
        </w:tabs>
        <w:rPr>
          <w:lang w:val="en-GB"/>
        </w:rPr>
      </w:pPr>
    </w:p>
    <w:p w14:paraId="4AE8C56A" w14:textId="77777777" w:rsidR="00EE456A" w:rsidRDefault="00CA01D9">
      <w:pPr>
        <w:pStyle w:val="TOC1"/>
        <w:tabs>
          <w:tab w:val="right" w:leader="dot" w:pos="9767"/>
        </w:tabs>
        <w:rPr>
          <w:rFonts w:asciiTheme="minorHAnsi" w:eastAsiaTheme="minorEastAsia" w:hAnsiTheme="minorHAnsi" w:cstheme="minorBidi"/>
          <w:b w:val="0"/>
          <w:caps w:val="0"/>
          <w:noProof/>
          <w:sz w:val="22"/>
          <w:szCs w:val="22"/>
          <w:lang w:val="en-GB" w:eastAsia="en-GB"/>
        </w:rPr>
      </w:pPr>
      <w:r w:rsidRPr="00E0167A">
        <w:rPr>
          <w:lang w:val="en-GB"/>
        </w:rPr>
        <w:fldChar w:fldCharType="begin"/>
      </w:r>
      <w:r w:rsidRPr="00E0167A">
        <w:rPr>
          <w:lang w:val="en-GB"/>
        </w:rPr>
        <w:instrText xml:space="preserve"> TOC </w:instrText>
      </w:r>
      <w:r w:rsidRPr="00E0167A">
        <w:rPr>
          <w:lang w:val="en-GB"/>
        </w:rPr>
        <w:fldChar w:fldCharType="separate"/>
      </w:r>
      <w:r w:rsidR="00EE456A" w:rsidRPr="00E6707A">
        <w:rPr>
          <w:noProof/>
          <w:lang w:val="en-GB"/>
        </w:rPr>
        <w:t>I. Scope and definitions:</w:t>
      </w:r>
      <w:r w:rsidR="00EE456A">
        <w:rPr>
          <w:noProof/>
        </w:rPr>
        <w:tab/>
      </w:r>
      <w:r w:rsidR="00EE456A">
        <w:rPr>
          <w:noProof/>
        </w:rPr>
        <w:fldChar w:fldCharType="begin"/>
      </w:r>
      <w:r w:rsidR="00EE456A">
        <w:rPr>
          <w:noProof/>
        </w:rPr>
        <w:instrText xml:space="preserve"> PAGEREF _Toc491159100 \h </w:instrText>
      </w:r>
      <w:r w:rsidR="00EE456A">
        <w:rPr>
          <w:noProof/>
        </w:rPr>
      </w:r>
      <w:r w:rsidR="00EE456A">
        <w:rPr>
          <w:noProof/>
        </w:rPr>
        <w:fldChar w:fldCharType="separate"/>
      </w:r>
      <w:r w:rsidR="00EE456A">
        <w:rPr>
          <w:noProof/>
        </w:rPr>
        <w:t>3</w:t>
      </w:r>
      <w:r w:rsidR="00EE456A">
        <w:rPr>
          <w:noProof/>
        </w:rPr>
        <w:fldChar w:fldCharType="end"/>
      </w:r>
    </w:p>
    <w:p w14:paraId="5EEA4F25" w14:textId="77777777" w:rsidR="00EE456A" w:rsidRDefault="00EE456A">
      <w:pPr>
        <w:pStyle w:val="TOC1"/>
        <w:tabs>
          <w:tab w:val="right" w:leader="dot" w:pos="9767"/>
        </w:tabs>
        <w:rPr>
          <w:rFonts w:asciiTheme="minorHAnsi" w:eastAsiaTheme="minorEastAsia" w:hAnsiTheme="minorHAnsi" w:cstheme="minorBidi"/>
          <w:b w:val="0"/>
          <w:caps w:val="0"/>
          <w:noProof/>
          <w:sz w:val="22"/>
          <w:szCs w:val="22"/>
          <w:lang w:val="en-GB" w:eastAsia="en-GB"/>
        </w:rPr>
      </w:pPr>
      <w:r w:rsidRPr="00E6707A">
        <w:rPr>
          <w:noProof/>
          <w:lang w:val="en-GB"/>
        </w:rPr>
        <w:t>II. Actors and Roles:</w:t>
      </w:r>
      <w:r>
        <w:rPr>
          <w:noProof/>
        </w:rPr>
        <w:tab/>
      </w:r>
      <w:r>
        <w:rPr>
          <w:noProof/>
        </w:rPr>
        <w:fldChar w:fldCharType="begin"/>
      </w:r>
      <w:r>
        <w:rPr>
          <w:noProof/>
        </w:rPr>
        <w:instrText xml:space="preserve"> PAGEREF _Toc491159101 \h </w:instrText>
      </w:r>
      <w:r>
        <w:rPr>
          <w:noProof/>
        </w:rPr>
      </w:r>
      <w:r>
        <w:rPr>
          <w:noProof/>
        </w:rPr>
        <w:fldChar w:fldCharType="separate"/>
      </w:r>
      <w:r>
        <w:rPr>
          <w:noProof/>
        </w:rPr>
        <w:t>4</w:t>
      </w:r>
      <w:r>
        <w:rPr>
          <w:noProof/>
        </w:rPr>
        <w:fldChar w:fldCharType="end"/>
      </w:r>
    </w:p>
    <w:p w14:paraId="5DEB1DE6" w14:textId="77777777" w:rsidR="00EE456A" w:rsidRDefault="00EE456A">
      <w:pPr>
        <w:pStyle w:val="TOC1"/>
        <w:tabs>
          <w:tab w:val="right" w:leader="dot" w:pos="9767"/>
        </w:tabs>
        <w:rPr>
          <w:rFonts w:asciiTheme="minorHAnsi" w:eastAsiaTheme="minorEastAsia" w:hAnsiTheme="minorHAnsi" w:cstheme="minorBidi"/>
          <w:b w:val="0"/>
          <w:caps w:val="0"/>
          <w:noProof/>
          <w:sz w:val="22"/>
          <w:szCs w:val="22"/>
          <w:lang w:val="en-GB" w:eastAsia="en-GB"/>
        </w:rPr>
      </w:pPr>
      <w:r w:rsidRPr="00E6707A">
        <w:rPr>
          <w:noProof/>
          <w:lang w:val="en-GB"/>
        </w:rPr>
        <w:t>III. Activity Diagram:</w:t>
      </w:r>
      <w:r>
        <w:rPr>
          <w:noProof/>
        </w:rPr>
        <w:tab/>
      </w:r>
      <w:r>
        <w:rPr>
          <w:noProof/>
        </w:rPr>
        <w:fldChar w:fldCharType="begin"/>
      </w:r>
      <w:r>
        <w:rPr>
          <w:noProof/>
        </w:rPr>
        <w:instrText xml:space="preserve"> PAGEREF _Toc491159102 \h </w:instrText>
      </w:r>
      <w:r>
        <w:rPr>
          <w:noProof/>
        </w:rPr>
      </w:r>
      <w:r>
        <w:rPr>
          <w:noProof/>
        </w:rPr>
        <w:fldChar w:fldCharType="separate"/>
      </w:r>
      <w:r>
        <w:rPr>
          <w:noProof/>
        </w:rPr>
        <w:t>4</w:t>
      </w:r>
      <w:r>
        <w:rPr>
          <w:noProof/>
        </w:rPr>
        <w:fldChar w:fldCharType="end"/>
      </w:r>
    </w:p>
    <w:p w14:paraId="1FE6EA22" w14:textId="77777777" w:rsidR="00EE456A" w:rsidRDefault="00EE456A">
      <w:pPr>
        <w:pStyle w:val="TOC1"/>
        <w:tabs>
          <w:tab w:val="right" w:leader="dot" w:pos="9767"/>
        </w:tabs>
        <w:rPr>
          <w:rFonts w:asciiTheme="minorHAnsi" w:eastAsiaTheme="minorEastAsia" w:hAnsiTheme="minorHAnsi" w:cstheme="minorBidi"/>
          <w:b w:val="0"/>
          <w:caps w:val="0"/>
          <w:noProof/>
          <w:sz w:val="22"/>
          <w:szCs w:val="22"/>
          <w:lang w:val="en-GB" w:eastAsia="en-GB"/>
        </w:rPr>
      </w:pPr>
      <w:r w:rsidRPr="00E6707A">
        <w:rPr>
          <w:noProof/>
          <w:lang w:val="en-GB"/>
        </w:rPr>
        <w:t>IV. Sequence Diagrams:</w:t>
      </w:r>
      <w:r>
        <w:rPr>
          <w:noProof/>
        </w:rPr>
        <w:tab/>
      </w:r>
      <w:r>
        <w:rPr>
          <w:noProof/>
        </w:rPr>
        <w:fldChar w:fldCharType="begin"/>
      </w:r>
      <w:r>
        <w:rPr>
          <w:noProof/>
        </w:rPr>
        <w:instrText xml:space="preserve"> PAGEREF _Toc491159103 \h </w:instrText>
      </w:r>
      <w:r>
        <w:rPr>
          <w:noProof/>
        </w:rPr>
      </w:r>
      <w:r>
        <w:rPr>
          <w:noProof/>
        </w:rPr>
        <w:fldChar w:fldCharType="separate"/>
      </w:r>
      <w:r>
        <w:rPr>
          <w:noProof/>
        </w:rPr>
        <w:t>4</w:t>
      </w:r>
      <w:r>
        <w:rPr>
          <w:noProof/>
        </w:rPr>
        <w:fldChar w:fldCharType="end"/>
      </w:r>
    </w:p>
    <w:p w14:paraId="78B0CB34" w14:textId="77777777" w:rsidR="00EE456A" w:rsidRDefault="00EE456A">
      <w:pPr>
        <w:pStyle w:val="TOC1"/>
        <w:tabs>
          <w:tab w:val="right" w:leader="dot" w:pos="9767"/>
        </w:tabs>
        <w:rPr>
          <w:rFonts w:asciiTheme="minorHAnsi" w:eastAsiaTheme="minorEastAsia" w:hAnsiTheme="minorHAnsi" w:cstheme="minorBidi"/>
          <w:b w:val="0"/>
          <w:caps w:val="0"/>
          <w:noProof/>
          <w:sz w:val="22"/>
          <w:szCs w:val="22"/>
          <w:lang w:val="en-GB" w:eastAsia="en-GB"/>
        </w:rPr>
      </w:pPr>
      <w:r w:rsidRPr="00E6707A">
        <w:rPr>
          <w:noProof/>
          <w:lang w:val="en-GB"/>
        </w:rPr>
        <w:t>V. Business data requirements:</w:t>
      </w:r>
      <w:r>
        <w:rPr>
          <w:noProof/>
        </w:rPr>
        <w:tab/>
      </w:r>
      <w:r>
        <w:rPr>
          <w:noProof/>
        </w:rPr>
        <w:fldChar w:fldCharType="begin"/>
      </w:r>
      <w:r>
        <w:rPr>
          <w:noProof/>
        </w:rPr>
        <w:instrText xml:space="preserve"> PAGEREF _Toc491159104 \h </w:instrText>
      </w:r>
      <w:r>
        <w:rPr>
          <w:noProof/>
        </w:rPr>
      </w:r>
      <w:r>
        <w:rPr>
          <w:noProof/>
        </w:rPr>
        <w:fldChar w:fldCharType="separate"/>
      </w:r>
      <w:r>
        <w:rPr>
          <w:noProof/>
        </w:rPr>
        <w:t>5</w:t>
      </w:r>
      <w:r>
        <w:rPr>
          <w:noProof/>
        </w:rPr>
        <w:fldChar w:fldCharType="end"/>
      </w:r>
    </w:p>
    <w:p w14:paraId="31707437" w14:textId="77777777" w:rsidR="00EE456A" w:rsidRDefault="00EE456A">
      <w:pPr>
        <w:pStyle w:val="TOC1"/>
        <w:tabs>
          <w:tab w:val="right" w:leader="dot" w:pos="9767"/>
        </w:tabs>
        <w:rPr>
          <w:rFonts w:asciiTheme="minorHAnsi" w:eastAsiaTheme="minorEastAsia" w:hAnsiTheme="minorHAnsi" w:cstheme="minorBidi"/>
          <w:b w:val="0"/>
          <w:caps w:val="0"/>
          <w:noProof/>
          <w:sz w:val="22"/>
          <w:szCs w:val="22"/>
          <w:lang w:val="en-GB" w:eastAsia="en-GB"/>
        </w:rPr>
      </w:pPr>
      <w:r w:rsidRPr="00E6707A">
        <w:rPr>
          <w:noProof/>
          <w:lang w:val="en-GB"/>
        </w:rPr>
        <w:t>VI. Market Practice Rules – Delta vs Complete Reports:</w:t>
      </w:r>
      <w:r>
        <w:rPr>
          <w:noProof/>
        </w:rPr>
        <w:tab/>
      </w:r>
      <w:r>
        <w:rPr>
          <w:noProof/>
        </w:rPr>
        <w:fldChar w:fldCharType="begin"/>
      </w:r>
      <w:r>
        <w:rPr>
          <w:noProof/>
        </w:rPr>
        <w:instrText xml:space="preserve"> PAGEREF _Toc491159105 \h </w:instrText>
      </w:r>
      <w:r>
        <w:rPr>
          <w:noProof/>
        </w:rPr>
      </w:r>
      <w:r>
        <w:rPr>
          <w:noProof/>
        </w:rPr>
        <w:fldChar w:fldCharType="separate"/>
      </w:r>
      <w:r>
        <w:rPr>
          <w:noProof/>
        </w:rPr>
        <w:t>5</w:t>
      </w:r>
      <w:r>
        <w:rPr>
          <w:noProof/>
        </w:rPr>
        <w:fldChar w:fldCharType="end"/>
      </w:r>
    </w:p>
    <w:p w14:paraId="4227323B"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A. PostingReport</w:t>
      </w:r>
      <w:r>
        <w:rPr>
          <w:noProof/>
        </w:rPr>
        <w:tab/>
      </w:r>
      <w:r>
        <w:rPr>
          <w:noProof/>
        </w:rPr>
        <w:fldChar w:fldCharType="begin"/>
      </w:r>
      <w:r>
        <w:rPr>
          <w:noProof/>
        </w:rPr>
        <w:instrText xml:space="preserve"> PAGEREF _Toc491159106 \h </w:instrText>
      </w:r>
      <w:r>
        <w:rPr>
          <w:noProof/>
        </w:rPr>
      </w:r>
      <w:r>
        <w:rPr>
          <w:noProof/>
        </w:rPr>
        <w:fldChar w:fldCharType="separate"/>
      </w:r>
      <w:r>
        <w:rPr>
          <w:noProof/>
        </w:rPr>
        <w:t>5</w:t>
      </w:r>
      <w:r>
        <w:rPr>
          <w:noProof/>
        </w:rPr>
        <w:fldChar w:fldCharType="end"/>
      </w:r>
    </w:p>
    <w:p w14:paraId="74BEC983"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B. Modification Report</w:t>
      </w:r>
      <w:r>
        <w:rPr>
          <w:noProof/>
        </w:rPr>
        <w:tab/>
      </w:r>
      <w:r>
        <w:rPr>
          <w:noProof/>
        </w:rPr>
        <w:fldChar w:fldCharType="begin"/>
      </w:r>
      <w:r>
        <w:rPr>
          <w:noProof/>
        </w:rPr>
        <w:instrText xml:space="preserve"> PAGEREF _Toc491159107 \h </w:instrText>
      </w:r>
      <w:r>
        <w:rPr>
          <w:noProof/>
        </w:rPr>
      </w:r>
      <w:r>
        <w:rPr>
          <w:noProof/>
        </w:rPr>
        <w:fldChar w:fldCharType="separate"/>
      </w:r>
      <w:r>
        <w:rPr>
          <w:noProof/>
        </w:rPr>
        <w:t>6</w:t>
      </w:r>
      <w:r>
        <w:rPr>
          <w:noProof/>
        </w:rPr>
        <w:fldChar w:fldCharType="end"/>
      </w:r>
    </w:p>
    <w:p w14:paraId="56459CC0"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Scenario Report of pending modification requests</w:t>
      </w:r>
      <w:r>
        <w:rPr>
          <w:noProof/>
        </w:rPr>
        <w:tab/>
      </w:r>
      <w:r>
        <w:rPr>
          <w:noProof/>
        </w:rPr>
        <w:fldChar w:fldCharType="begin"/>
      </w:r>
      <w:r>
        <w:rPr>
          <w:noProof/>
        </w:rPr>
        <w:instrText xml:space="preserve"> PAGEREF _Toc491159108 \h </w:instrText>
      </w:r>
      <w:r>
        <w:rPr>
          <w:noProof/>
        </w:rPr>
      </w:r>
      <w:r>
        <w:rPr>
          <w:noProof/>
        </w:rPr>
        <w:fldChar w:fldCharType="separate"/>
      </w:r>
      <w:r>
        <w:rPr>
          <w:noProof/>
        </w:rPr>
        <w:t>6</w:t>
      </w:r>
      <w:r>
        <w:rPr>
          <w:noProof/>
        </w:rPr>
        <w:fldChar w:fldCharType="end"/>
      </w:r>
    </w:p>
    <w:p w14:paraId="479B5CD3"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Scenario Report of executed modification requests</w:t>
      </w:r>
      <w:r>
        <w:rPr>
          <w:noProof/>
        </w:rPr>
        <w:tab/>
      </w:r>
      <w:r>
        <w:rPr>
          <w:noProof/>
        </w:rPr>
        <w:fldChar w:fldCharType="begin"/>
      </w:r>
      <w:r>
        <w:rPr>
          <w:noProof/>
        </w:rPr>
        <w:instrText xml:space="preserve"> PAGEREF _Toc491159109 \h </w:instrText>
      </w:r>
      <w:r>
        <w:rPr>
          <w:noProof/>
        </w:rPr>
      </w:r>
      <w:r>
        <w:rPr>
          <w:noProof/>
        </w:rPr>
        <w:fldChar w:fldCharType="separate"/>
      </w:r>
      <w:r>
        <w:rPr>
          <w:noProof/>
        </w:rPr>
        <w:t>7</w:t>
      </w:r>
      <w:r>
        <w:rPr>
          <w:noProof/>
        </w:rPr>
        <w:fldChar w:fldCharType="end"/>
      </w:r>
    </w:p>
    <w:p w14:paraId="2E44D3C9"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C. Cancellation Report</w:t>
      </w:r>
      <w:r>
        <w:rPr>
          <w:noProof/>
        </w:rPr>
        <w:tab/>
      </w:r>
      <w:r>
        <w:rPr>
          <w:noProof/>
        </w:rPr>
        <w:fldChar w:fldCharType="begin"/>
      </w:r>
      <w:r>
        <w:rPr>
          <w:noProof/>
        </w:rPr>
        <w:instrText xml:space="preserve"> PAGEREF _Toc491159110 \h </w:instrText>
      </w:r>
      <w:r>
        <w:rPr>
          <w:noProof/>
        </w:rPr>
      </w:r>
      <w:r>
        <w:rPr>
          <w:noProof/>
        </w:rPr>
        <w:fldChar w:fldCharType="separate"/>
      </w:r>
      <w:r>
        <w:rPr>
          <w:noProof/>
        </w:rPr>
        <w:t>7</w:t>
      </w:r>
      <w:r>
        <w:rPr>
          <w:noProof/>
        </w:rPr>
        <w:fldChar w:fldCharType="end"/>
      </w:r>
    </w:p>
    <w:p w14:paraId="217D844A"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Scenario Report of pending cancellation requests</w:t>
      </w:r>
      <w:r>
        <w:rPr>
          <w:noProof/>
        </w:rPr>
        <w:tab/>
      </w:r>
      <w:r>
        <w:rPr>
          <w:noProof/>
        </w:rPr>
        <w:fldChar w:fldCharType="begin"/>
      </w:r>
      <w:r>
        <w:rPr>
          <w:noProof/>
        </w:rPr>
        <w:instrText xml:space="preserve"> PAGEREF _Toc491159111 \h </w:instrText>
      </w:r>
      <w:r>
        <w:rPr>
          <w:noProof/>
        </w:rPr>
      </w:r>
      <w:r>
        <w:rPr>
          <w:noProof/>
        </w:rPr>
        <w:fldChar w:fldCharType="separate"/>
      </w:r>
      <w:r>
        <w:rPr>
          <w:noProof/>
        </w:rPr>
        <w:t>7</w:t>
      </w:r>
      <w:r>
        <w:rPr>
          <w:noProof/>
        </w:rPr>
        <w:fldChar w:fldCharType="end"/>
      </w:r>
    </w:p>
    <w:p w14:paraId="6748BC2F"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Scenario Report of executed cancellation requests</w:t>
      </w:r>
      <w:r>
        <w:rPr>
          <w:noProof/>
        </w:rPr>
        <w:tab/>
      </w:r>
      <w:r>
        <w:rPr>
          <w:noProof/>
        </w:rPr>
        <w:fldChar w:fldCharType="begin"/>
      </w:r>
      <w:r>
        <w:rPr>
          <w:noProof/>
        </w:rPr>
        <w:instrText xml:space="preserve"> PAGEREF _Toc491159112 \h </w:instrText>
      </w:r>
      <w:r>
        <w:rPr>
          <w:noProof/>
        </w:rPr>
      </w:r>
      <w:r>
        <w:rPr>
          <w:noProof/>
        </w:rPr>
        <w:fldChar w:fldCharType="separate"/>
      </w:r>
      <w:r>
        <w:rPr>
          <w:noProof/>
        </w:rPr>
        <w:t>8</w:t>
      </w:r>
      <w:r>
        <w:rPr>
          <w:noProof/>
        </w:rPr>
        <w:fldChar w:fldCharType="end"/>
      </w:r>
    </w:p>
    <w:p w14:paraId="6C6844D7"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bookmarkStart w:id="0" w:name="_GoBack"/>
      <w:bookmarkEnd w:id="0"/>
      <w:r w:rsidRPr="00E6707A">
        <w:rPr>
          <w:noProof/>
          <w:lang w:val="en-GB"/>
        </w:rPr>
        <w:t>D. Pending Report</w:t>
      </w:r>
      <w:r>
        <w:rPr>
          <w:noProof/>
        </w:rPr>
        <w:tab/>
      </w:r>
      <w:r>
        <w:rPr>
          <w:noProof/>
        </w:rPr>
        <w:fldChar w:fldCharType="begin"/>
      </w:r>
      <w:r>
        <w:rPr>
          <w:noProof/>
        </w:rPr>
        <w:instrText xml:space="preserve"> PAGEREF _Toc491159113 \h </w:instrText>
      </w:r>
      <w:r>
        <w:rPr>
          <w:noProof/>
        </w:rPr>
      </w:r>
      <w:r>
        <w:rPr>
          <w:noProof/>
        </w:rPr>
        <w:fldChar w:fldCharType="separate"/>
      </w:r>
      <w:r>
        <w:rPr>
          <w:noProof/>
        </w:rPr>
        <w:t>8</w:t>
      </w:r>
      <w:r>
        <w:rPr>
          <w:noProof/>
        </w:rPr>
        <w:fldChar w:fldCharType="end"/>
      </w:r>
    </w:p>
    <w:p w14:paraId="7725F047"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E. Allegement Report</w:t>
      </w:r>
      <w:r>
        <w:rPr>
          <w:noProof/>
        </w:rPr>
        <w:tab/>
      </w:r>
      <w:r>
        <w:rPr>
          <w:noProof/>
        </w:rPr>
        <w:fldChar w:fldCharType="begin"/>
      </w:r>
      <w:r>
        <w:rPr>
          <w:noProof/>
        </w:rPr>
        <w:instrText xml:space="preserve"> PAGEREF _Toc491159114 \h </w:instrText>
      </w:r>
      <w:r>
        <w:rPr>
          <w:noProof/>
        </w:rPr>
      </w:r>
      <w:r>
        <w:rPr>
          <w:noProof/>
        </w:rPr>
        <w:fldChar w:fldCharType="separate"/>
      </w:r>
      <w:r>
        <w:rPr>
          <w:noProof/>
        </w:rPr>
        <w:t>9</w:t>
      </w:r>
      <w:r>
        <w:rPr>
          <w:noProof/>
        </w:rPr>
        <w:fldChar w:fldCharType="end"/>
      </w:r>
    </w:p>
    <w:p w14:paraId="057FBD85"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F. SecuritiesBalanceCustodyReport</w:t>
      </w:r>
      <w:r>
        <w:rPr>
          <w:noProof/>
        </w:rPr>
        <w:tab/>
      </w:r>
      <w:r>
        <w:rPr>
          <w:noProof/>
        </w:rPr>
        <w:fldChar w:fldCharType="begin"/>
      </w:r>
      <w:r>
        <w:rPr>
          <w:noProof/>
        </w:rPr>
        <w:instrText xml:space="preserve"> PAGEREF _Toc491159115 \h </w:instrText>
      </w:r>
      <w:r>
        <w:rPr>
          <w:noProof/>
        </w:rPr>
      </w:r>
      <w:r>
        <w:rPr>
          <w:noProof/>
        </w:rPr>
        <w:fldChar w:fldCharType="separate"/>
      </w:r>
      <w:r>
        <w:rPr>
          <w:noProof/>
        </w:rPr>
        <w:t>10</w:t>
      </w:r>
      <w:r>
        <w:rPr>
          <w:noProof/>
        </w:rPr>
        <w:fldChar w:fldCharType="end"/>
      </w:r>
    </w:p>
    <w:p w14:paraId="1096562F"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G. General market practice rules</w:t>
      </w:r>
      <w:r>
        <w:rPr>
          <w:noProof/>
        </w:rPr>
        <w:tab/>
      </w:r>
      <w:r>
        <w:rPr>
          <w:noProof/>
        </w:rPr>
        <w:fldChar w:fldCharType="begin"/>
      </w:r>
      <w:r>
        <w:rPr>
          <w:noProof/>
        </w:rPr>
        <w:instrText xml:space="preserve"> PAGEREF _Toc491159116 \h </w:instrText>
      </w:r>
      <w:r>
        <w:rPr>
          <w:noProof/>
        </w:rPr>
      </w:r>
      <w:r>
        <w:rPr>
          <w:noProof/>
        </w:rPr>
        <w:fldChar w:fldCharType="separate"/>
      </w:r>
      <w:r>
        <w:rPr>
          <w:noProof/>
        </w:rPr>
        <w:t>10</w:t>
      </w:r>
      <w:r>
        <w:rPr>
          <w:noProof/>
        </w:rPr>
        <w:fldChar w:fldCharType="end"/>
      </w:r>
    </w:p>
    <w:p w14:paraId="72750BC2" w14:textId="77777777" w:rsidR="00EE456A" w:rsidRDefault="00EE456A">
      <w:pPr>
        <w:pStyle w:val="TOC1"/>
        <w:tabs>
          <w:tab w:val="right" w:leader="dot" w:pos="9767"/>
        </w:tabs>
        <w:rPr>
          <w:rFonts w:asciiTheme="minorHAnsi" w:eastAsiaTheme="minorEastAsia" w:hAnsiTheme="minorHAnsi" w:cstheme="minorBidi"/>
          <w:b w:val="0"/>
          <w:caps w:val="0"/>
          <w:noProof/>
          <w:sz w:val="22"/>
          <w:szCs w:val="22"/>
          <w:lang w:val="en-GB" w:eastAsia="en-GB"/>
        </w:rPr>
      </w:pPr>
      <w:r w:rsidRPr="00E6707A">
        <w:rPr>
          <w:noProof/>
          <w:lang w:val="en-GB"/>
        </w:rPr>
        <w:t>VII. Detailed Rules</w:t>
      </w:r>
      <w:r>
        <w:rPr>
          <w:noProof/>
        </w:rPr>
        <w:tab/>
      </w:r>
      <w:r>
        <w:rPr>
          <w:noProof/>
        </w:rPr>
        <w:fldChar w:fldCharType="begin"/>
      </w:r>
      <w:r>
        <w:rPr>
          <w:noProof/>
        </w:rPr>
        <w:instrText xml:space="preserve"> PAGEREF _Toc491159117 \h </w:instrText>
      </w:r>
      <w:r>
        <w:rPr>
          <w:noProof/>
        </w:rPr>
      </w:r>
      <w:r>
        <w:rPr>
          <w:noProof/>
        </w:rPr>
        <w:fldChar w:fldCharType="separate"/>
      </w:r>
      <w:r>
        <w:rPr>
          <w:noProof/>
        </w:rPr>
        <w:t>11</w:t>
      </w:r>
      <w:r>
        <w:rPr>
          <w:noProof/>
        </w:rPr>
        <w:fldChar w:fldCharType="end"/>
      </w:r>
    </w:p>
    <w:p w14:paraId="0F5104A5"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A. Pending Report</w:t>
      </w:r>
      <w:r>
        <w:rPr>
          <w:noProof/>
        </w:rPr>
        <w:tab/>
      </w:r>
      <w:r>
        <w:rPr>
          <w:noProof/>
        </w:rPr>
        <w:fldChar w:fldCharType="begin"/>
      </w:r>
      <w:r>
        <w:rPr>
          <w:noProof/>
        </w:rPr>
        <w:instrText xml:space="preserve"> PAGEREF _Toc491159118 \h </w:instrText>
      </w:r>
      <w:r>
        <w:rPr>
          <w:noProof/>
        </w:rPr>
      </w:r>
      <w:r>
        <w:rPr>
          <w:noProof/>
        </w:rPr>
        <w:fldChar w:fldCharType="separate"/>
      </w:r>
      <w:r>
        <w:rPr>
          <w:noProof/>
        </w:rPr>
        <w:t>11</w:t>
      </w:r>
      <w:r>
        <w:rPr>
          <w:noProof/>
        </w:rPr>
        <w:fldChar w:fldCharType="end"/>
      </w:r>
    </w:p>
    <w:p w14:paraId="322BE876" w14:textId="77777777" w:rsidR="00EE456A" w:rsidRDefault="00EE456A">
      <w:pPr>
        <w:pStyle w:val="TOC2"/>
        <w:tabs>
          <w:tab w:val="right" w:leader="dot" w:pos="9767"/>
        </w:tabs>
        <w:rPr>
          <w:rFonts w:asciiTheme="minorHAnsi" w:eastAsiaTheme="minorEastAsia" w:hAnsiTheme="minorHAnsi" w:cstheme="minorBidi"/>
          <w:smallCaps w:val="0"/>
          <w:noProof/>
          <w:sz w:val="22"/>
          <w:szCs w:val="22"/>
          <w:lang w:val="en-GB" w:eastAsia="en-GB"/>
        </w:rPr>
      </w:pPr>
      <w:r w:rsidRPr="00E6707A">
        <w:rPr>
          <w:noProof/>
          <w:lang w:val="en-GB"/>
        </w:rPr>
        <w:t>B. Allegement Report</w:t>
      </w:r>
      <w:r>
        <w:rPr>
          <w:noProof/>
        </w:rPr>
        <w:tab/>
      </w:r>
      <w:r>
        <w:rPr>
          <w:noProof/>
        </w:rPr>
        <w:fldChar w:fldCharType="begin"/>
      </w:r>
      <w:r>
        <w:rPr>
          <w:noProof/>
        </w:rPr>
        <w:instrText xml:space="preserve"> PAGEREF _Toc491159119 \h </w:instrText>
      </w:r>
      <w:r>
        <w:rPr>
          <w:noProof/>
        </w:rPr>
      </w:r>
      <w:r>
        <w:rPr>
          <w:noProof/>
        </w:rPr>
        <w:fldChar w:fldCharType="separate"/>
      </w:r>
      <w:r>
        <w:rPr>
          <w:noProof/>
        </w:rPr>
        <w:t>13</w:t>
      </w:r>
      <w:r>
        <w:rPr>
          <w:noProof/>
        </w:rPr>
        <w:fldChar w:fldCharType="end"/>
      </w:r>
    </w:p>
    <w:p w14:paraId="71E7031F" w14:textId="77777777" w:rsidR="00126DC9" w:rsidRDefault="00CA01D9">
      <w:pPr>
        <w:rPr>
          <w:lang w:val="en-GB"/>
        </w:rPr>
      </w:pPr>
      <w:r w:rsidRPr="00E0167A">
        <w:rPr>
          <w:lang w:val="en-GB"/>
        </w:rPr>
        <w:fldChar w:fldCharType="end"/>
      </w:r>
    </w:p>
    <w:p w14:paraId="466FB559" w14:textId="77777777" w:rsidR="00004ECA" w:rsidRPr="00BD345C" w:rsidRDefault="00004EC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4536"/>
        <w:gridCol w:w="1560"/>
      </w:tblGrid>
      <w:tr w:rsidR="009774D2" w:rsidRPr="00E0167A" w14:paraId="255B15B2" w14:textId="77777777" w:rsidTr="009774D2">
        <w:tc>
          <w:tcPr>
            <w:tcW w:w="9498" w:type="dxa"/>
            <w:gridSpan w:val="4"/>
            <w:shd w:val="pct12" w:color="000000" w:fill="FFFFFF"/>
          </w:tcPr>
          <w:p w14:paraId="468CDF30" w14:textId="77777777" w:rsidR="009774D2" w:rsidRPr="00E0167A" w:rsidRDefault="009774D2" w:rsidP="009774D2">
            <w:pPr>
              <w:jc w:val="center"/>
              <w:rPr>
                <w:b/>
              </w:rPr>
            </w:pPr>
            <w:r w:rsidRPr="00E0167A">
              <w:rPr>
                <w:b/>
              </w:rPr>
              <w:t>Changes to previous versions</w:t>
            </w:r>
          </w:p>
        </w:tc>
      </w:tr>
      <w:tr w:rsidR="00B03FAD" w:rsidRPr="00E0167A" w14:paraId="653A6C78" w14:textId="77777777" w:rsidTr="00A34030">
        <w:trPr>
          <w:cantSplit/>
          <w:trHeight w:val="880"/>
        </w:trPr>
        <w:tc>
          <w:tcPr>
            <w:tcW w:w="1418" w:type="dxa"/>
            <w:shd w:val="clear" w:color="auto" w:fill="D9D9D9" w:themeFill="background1" w:themeFillShade="D9"/>
            <w:vAlign w:val="center"/>
          </w:tcPr>
          <w:p w14:paraId="325C1EAA" w14:textId="77777777" w:rsidR="00B03FAD" w:rsidRPr="00E0167A" w:rsidRDefault="00B03FAD" w:rsidP="00B03FAD">
            <w:r w:rsidRPr="00E0167A">
              <w:t xml:space="preserve">Version </w:t>
            </w:r>
            <w:r w:rsidR="00DC321B">
              <w:t>0</w:t>
            </w:r>
            <w:r>
              <w:t>.x</w:t>
            </w:r>
          </w:p>
          <w:p w14:paraId="131120CC" w14:textId="77777777" w:rsidR="00B03FAD" w:rsidRPr="00E0167A" w:rsidRDefault="00B03FAD" w:rsidP="009774D2">
            <w:r>
              <w:t>Month</w:t>
            </w:r>
            <w:r w:rsidRPr="00E0167A">
              <w:t xml:space="preserve"> </w:t>
            </w:r>
            <w:r>
              <w:t>YYYY</w:t>
            </w:r>
          </w:p>
        </w:tc>
        <w:tc>
          <w:tcPr>
            <w:tcW w:w="1984" w:type="dxa"/>
            <w:shd w:val="clear" w:color="auto" w:fill="D9D9D9" w:themeFill="background1" w:themeFillShade="D9"/>
            <w:vAlign w:val="center"/>
          </w:tcPr>
          <w:p w14:paraId="1323FF10" w14:textId="77777777" w:rsidR="00B03FAD" w:rsidRPr="00E0167A" w:rsidRDefault="00B03FAD" w:rsidP="009774D2">
            <w:r>
              <w:t>Type of change</w:t>
            </w:r>
          </w:p>
        </w:tc>
        <w:tc>
          <w:tcPr>
            <w:tcW w:w="4536" w:type="dxa"/>
            <w:shd w:val="clear" w:color="auto" w:fill="D9D9D9" w:themeFill="background1" w:themeFillShade="D9"/>
            <w:vAlign w:val="center"/>
          </w:tcPr>
          <w:p w14:paraId="66FCD131" w14:textId="77777777" w:rsidR="00B03FAD" w:rsidRPr="004C378A" w:rsidRDefault="00B03FAD" w:rsidP="00EF4B63">
            <w:r>
              <w:t>Description of change</w:t>
            </w:r>
          </w:p>
        </w:tc>
        <w:tc>
          <w:tcPr>
            <w:tcW w:w="1560" w:type="dxa"/>
            <w:shd w:val="clear" w:color="auto" w:fill="D9D9D9" w:themeFill="background1" w:themeFillShade="D9"/>
            <w:vAlign w:val="center"/>
          </w:tcPr>
          <w:p w14:paraId="0BF2307A" w14:textId="77777777" w:rsidR="00B03FAD" w:rsidRPr="00E0167A" w:rsidRDefault="00B03FAD" w:rsidP="009774D2">
            <w:r>
              <w:t>Page x</w:t>
            </w:r>
          </w:p>
        </w:tc>
      </w:tr>
      <w:tr w:rsidR="00DC321B" w:rsidRPr="00E0167A" w14:paraId="6AD4108E" w14:textId="77777777" w:rsidTr="00A34030">
        <w:trPr>
          <w:cantSplit/>
          <w:trHeight w:val="880"/>
        </w:trPr>
        <w:tc>
          <w:tcPr>
            <w:tcW w:w="1418" w:type="dxa"/>
            <w:vAlign w:val="center"/>
          </w:tcPr>
          <w:p w14:paraId="0D60219F" w14:textId="77777777" w:rsidR="00DC321B" w:rsidRPr="00E0167A" w:rsidRDefault="00DC321B" w:rsidP="00DC321B">
            <w:r w:rsidRPr="00E0167A">
              <w:t xml:space="preserve">Version </w:t>
            </w:r>
            <w:r>
              <w:t>0.1</w:t>
            </w:r>
          </w:p>
          <w:p w14:paraId="3BF68510" w14:textId="77777777" w:rsidR="00DC321B" w:rsidRPr="00E0167A" w:rsidRDefault="00286AEC" w:rsidP="00DC321B">
            <w:r>
              <w:t>August</w:t>
            </w:r>
            <w:r w:rsidR="00DC321B" w:rsidRPr="00E0167A">
              <w:t xml:space="preserve"> </w:t>
            </w:r>
            <w:r w:rsidR="00DC321B">
              <w:t>2016</w:t>
            </w:r>
          </w:p>
        </w:tc>
        <w:tc>
          <w:tcPr>
            <w:tcW w:w="1984" w:type="dxa"/>
            <w:vAlign w:val="center"/>
          </w:tcPr>
          <w:p w14:paraId="7B5B8868" w14:textId="77777777" w:rsidR="00DC321B" w:rsidRDefault="00DC321B" w:rsidP="009774D2">
            <w:r>
              <w:t>Draft</w:t>
            </w:r>
          </w:p>
        </w:tc>
        <w:tc>
          <w:tcPr>
            <w:tcW w:w="4536" w:type="dxa"/>
            <w:vAlign w:val="center"/>
          </w:tcPr>
          <w:p w14:paraId="018CF692" w14:textId="77777777" w:rsidR="00DC321B" w:rsidRDefault="00286AEC" w:rsidP="00EF4B63">
            <w:r>
              <w:t>Initial draft provided by the T2S community</w:t>
            </w:r>
          </w:p>
        </w:tc>
        <w:tc>
          <w:tcPr>
            <w:tcW w:w="1560" w:type="dxa"/>
            <w:vAlign w:val="center"/>
          </w:tcPr>
          <w:p w14:paraId="17DBEB06" w14:textId="77777777" w:rsidR="00DC321B" w:rsidRDefault="00DC321B" w:rsidP="009774D2"/>
        </w:tc>
      </w:tr>
      <w:tr w:rsidR="00A34030" w:rsidRPr="00E0167A" w14:paraId="35F4A344" w14:textId="77777777" w:rsidTr="00A34030">
        <w:trPr>
          <w:cantSplit/>
          <w:trHeight w:val="880"/>
        </w:trPr>
        <w:tc>
          <w:tcPr>
            <w:tcW w:w="1418" w:type="dxa"/>
            <w:vAlign w:val="center"/>
          </w:tcPr>
          <w:p w14:paraId="648C18F3" w14:textId="77777777" w:rsidR="00A34030" w:rsidRPr="00E0167A" w:rsidRDefault="00A34030" w:rsidP="00A34030">
            <w:r w:rsidRPr="00E0167A">
              <w:t xml:space="preserve">Version </w:t>
            </w:r>
            <w:r>
              <w:t>0.2</w:t>
            </w:r>
          </w:p>
          <w:p w14:paraId="6DA60029" w14:textId="77777777" w:rsidR="00A34030" w:rsidRPr="00E0167A" w:rsidRDefault="00A34030" w:rsidP="00A34030">
            <w:r>
              <w:t>September</w:t>
            </w:r>
            <w:r w:rsidRPr="00E0167A">
              <w:t xml:space="preserve"> </w:t>
            </w:r>
            <w:r>
              <w:t>2017</w:t>
            </w:r>
          </w:p>
        </w:tc>
        <w:tc>
          <w:tcPr>
            <w:tcW w:w="1984" w:type="dxa"/>
            <w:vAlign w:val="center"/>
          </w:tcPr>
          <w:p w14:paraId="14611597" w14:textId="77777777" w:rsidR="00A34030" w:rsidRDefault="00A34030" w:rsidP="009774D2">
            <w:r>
              <w:t xml:space="preserve">Update </w:t>
            </w:r>
          </w:p>
        </w:tc>
        <w:tc>
          <w:tcPr>
            <w:tcW w:w="4536" w:type="dxa"/>
            <w:vAlign w:val="center"/>
          </w:tcPr>
          <w:p w14:paraId="6B85FC86" w14:textId="77777777" w:rsidR="00A34030" w:rsidRDefault="00A34030" w:rsidP="00A34030">
            <w:r>
              <w:t>Incorporation of JASDAC feedback</w:t>
            </w:r>
          </w:p>
        </w:tc>
        <w:tc>
          <w:tcPr>
            <w:tcW w:w="1560" w:type="dxa"/>
            <w:vAlign w:val="center"/>
          </w:tcPr>
          <w:p w14:paraId="0E358324" w14:textId="77777777" w:rsidR="00A34030" w:rsidRDefault="00A34030" w:rsidP="009774D2"/>
        </w:tc>
      </w:tr>
    </w:tbl>
    <w:p w14:paraId="05284179" w14:textId="77777777" w:rsidR="00004ECA" w:rsidRDefault="00004ECA" w:rsidP="00004ECA">
      <w:pPr>
        <w:pStyle w:val="Heading1"/>
        <w:numPr>
          <w:ilvl w:val="0"/>
          <w:numId w:val="0"/>
        </w:numPr>
        <w:rPr>
          <w:lang w:val="en-GB"/>
        </w:rPr>
      </w:pPr>
    </w:p>
    <w:p w14:paraId="7464634B" w14:textId="77777777" w:rsidR="00BE7DD3" w:rsidRDefault="00BE7DD3">
      <w:pPr>
        <w:spacing w:after="0"/>
        <w:jc w:val="left"/>
        <w:rPr>
          <w:sz w:val="32"/>
          <w:u w:val="single"/>
          <w:lang w:val="en-GB"/>
        </w:rPr>
      </w:pPr>
      <w:r>
        <w:rPr>
          <w:sz w:val="32"/>
          <w:u w:val="single"/>
          <w:lang w:val="en-GB"/>
        </w:rPr>
        <w:br w:type="page"/>
      </w:r>
    </w:p>
    <w:p w14:paraId="4A42381F" w14:textId="77777777" w:rsidR="00126DC9" w:rsidRPr="00E0167A" w:rsidRDefault="00126DC9" w:rsidP="00325FFE">
      <w:pPr>
        <w:pStyle w:val="Heading1"/>
        <w:rPr>
          <w:lang w:val="en-GB"/>
        </w:rPr>
      </w:pPr>
      <w:bookmarkStart w:id="1" w:name="_Toc491159100"/>
      <w:r w:rsidRPr="00E0167A">
        <w:rPr>
          <w:lang w:val="en-GB"/>
        </w:rPr>
        <w:lastRenderedPageBreak/>
        <w:t>Scope and definitions:</w:t>
      </w:r>
      <w:bookmarkEnd w:id="1"/>
    </w:p>
    <w:p w14:paraId="696FCB1C" w14:textId="77777777" w:rsidR="00DC321B" w:rsidRDefault="00126DC9" w:rsidP="00F8714D">
      <w:pPr>
        <w:spacing w:before="60"/>
        <w:rPr>
          <w:lang w:val="en-GB"/>
        </w:rPr>
      </w:pPr>
      <w:r w:rsidRPr="00E0167A">
        <w:rPr>
          <w:lang w:val="en-GB"/>
        </w:rPr>
        <w:t>The scope</w:t>
      </w:r>
      <w:r w:rsidR="00DC321B">
        <w:rPr>
          <w:lang w:val="en-GB"/>
        </w:rPr>
        <w:t xml:space="preserve"> of this document is to illustrate how ISO20022 message formats can be used for delta reporting on securities settlement.</w:t>
      </w:r>
    </w:p>
    <w:p w14:paraId="00CFE6D0" w14:textId="77777777" w:rsidR="00DC321B" w:rsidRDefault="00DC321B" w:rsidP="00DC321B">
      <w:pPr>
        <w:spacing w:before="60"/>
      </w:pPr>
      <w:r>
        <w:rPr>
          <w:lang w:val="en-GB"/>
        </w:rPr>
        <w:t xml:space="preserve">A delta report is a </w:t>
      </w:r>
      <w:r w:rsidRPr="00DC321B">
        <w:t xml:space="preserve">report </w:t>
      </w:r>
      <w:r>
        <w:t xml:space="preserve">which </w:t>
      </w:r>
      <w:r w:rsidR="003A52F2">
        <w:t xml:space="preserve">only </w:t>
      </w:r>
      <w:r w:rsidRPr="00DC321B">
        <w:t>contain</w:t>
      </w:r>
      <w:r>
        <w:t>s</w:t>
      </w:r>
      <w:r w:rsidRPr="00DC321B">
        <w:t xml:space="preserve"> data </w:t>
      </w:r>
      <w:r>
        <w:t>for which</w:t>
      </w:r>
      <w:r w:rsidRPr="00DC321B">
        <w:t xml:space="preserve"> </w:t>
      </w:r>
      <w:r>
        <w:t xml:space="preserve">the </w:t>
      </w:r>
      <w:r w:rsidRPr="00DC321B">
        <w:t xml:space="preserve">status/content </w:t>
      </w:r>
      <w:r>
        <w:t xml:space="preserve">has </w:t>
      </w:r>
      <w:r w:rsidRPr="00DC321B">
        <w:t xml:space="preserve">changed since the </w:t>
      </w:r>
      <w:r>
        <w:t>generation of the previous report or since the start</w:t>
      </w:r>
      <w:r w:rsidRPr="00DC321B">
        <w:t xml:space="preserve"> of </w:t>
      </w:r>
      <w:r>
        <w:t>the business day.</w:t>
      </w:r>
      <w:r w:rsidR="00F2240E">
        <w:t xml:space="preserve"> Delta reports use the same message formats as </w:t>
      </w:r>
      <w:r w:rsidR="00E504BC">
        <w:t>complete</w:t>
      </w:r>
      <w:r w:rsidR="00F2240E">
        <w:t xml:space="preserve"> reports, but they do not report instances which were not changed during the reporting period.</w:t>
      </w:r>
    </w:p>
    <w:p w14:paraId="42D673C8" w14:textId="77777777" w:rsidR="00AF5E38" w:rsidRDefault="00AF5E38" w:rsidP="00DC321B">
      <w:pPr>
        <w:spacing w:before="60"/>
      </w:pPr>
      <w:r>
        <w:t xml:space="preserve">Delta reports are an efficient way to perform interim reconciliation, in order for </w:t>
      </w:r>
      <w:r w:rsidR="003B6075">
        <w:t>a</w:t>
      </w:r>
      <w:r>
        <w:t xml:space="preserve">ctors not to have to rely on large and costly complete reports every day. This is relevant in particular for </w:t>
      </w:r>
      <w:r w:rsidR="003B6075">
        <w:t>a</w:t>
      </w:r>
      <w:r>
        <w:t>ctors</w:t>
      </w:r>
      <w:r w:rsidR="003B6075">
        <w:t xml:space="preserve"> in TARGET2-Securities (T2S)</w:t>
      </w:r>
      <w:r>
        <w:t xml:space="preserve"> having large amount</w:t>
      </w:r>
      <w:r w:rsidR="00FA3E74">
        <w:t>s</w:t>
      </w:r>
      <w:r>
        <w:t xml:space="preserve"> of data, mainly positions and pending instructions.</w:t>
      </w:r>
    </w:p>
    <w:p w14:paraId="38249EAB" w14:textId="77777777" w:rsidR="00D920D7" w:rsidRDefault="00D920D7" w:rsidP="00DC321B">
      <w:pPr>
        <w:spacing w:before="60"/>
      </w:pPr>
      <w:r>
        <w:t xml:space="preserve">There are two main usage types of delta reports which can be differentiated: </w:t>
      </w:r>
    </w:p>
    <w:p w14:paraId="6FE7D159" w14:textId="77777777" w:rsidR="00A31F89" w:rsidRDefault="00A31F89" w:rsidP="001A4605">
      <w:pPr>
        <w:pStyle w:val="ListParagraph"/>
        <w:numPr>
          <w:ilvl w:val="0"/>
          <w:numId w:val="10"/>
        </w:numPr>
        <w:spacing w:before="60"/>
      </w:pPr>
      <w:r>
        <w:t>End-of-day d</w:t>
      </w:r>
      <w:r w:rsidR="00D920D7">
        <w:t>elta reports which replace complete reports for end-of-day reconciliation. In this case a</w:t>
      </w:r>
      <w:r w:rsidR="003B6075">
        <w:t>n</w:t>
      </w:r>
      <w:r w:rsidR="00D920D7">
        <w:t xml:space="preserve"> </w:t>
      </w:r>
      <w:r w:rsidR="003B6075">
        <w:t>a</w:t>
      </w:r>
      <w:r w:rsidR="00D920D7">
        <w:t xml:space="preserve">ctor configures to receive </w:t>
      </w:r>
      <w:r>
        <w:t>only one</w:t>
      </w:r>
      <w:r w:rsidR="00D920D7">
        <w:t xml:space="preserve"> delta report </w:t>
      </w:r>
      <w:r>
        <w:t>per day and required report type (positions, pending instructions, allegements etc.)</w:t>
      </w:r>
      <w:r w:rsidR="00D920D7">
        <w:t xml:space="preserve">. </w:t>
      </w:r>
      <w:r>
        <w:t>The receipt of the</w:t>
      </w:r>
      <w:r w:rsidR="00D920D7">
        <w:t xml:space="preserve"> full version (instead of the delta version) will be requested only </w:t>
      </w:r>
      <w:r>
        <w:t xml:space="preserve">on a </w:t>
      </w:r>
      <w:r w:rsidR="00D920D7">
        <w:t>weekly, monthly or yearly</w:t>
      </w:r>
      <w:r>
        <w:t xml:space="preserve"> basis</w:t>
      </w:r>
      <w:r w:rsidR="00D920D7">
        <w:t>.</w:t>
      </w:r>
    </w:p>
    <w:p w14:paraId="2B572B42" w14:textId="77777777" w:rsidR="00A31F89" w:rsidRDefault="00A31F89" w:rsidP="00A31F89">
      <w:pPr>
        <w:pStyle w:val="ListParagraph"/>
        <w:spacing w:before="60"/>
      </w:pPr>
    </w:p>
    <w:p w14:paraId="4A235A6B" w14:textId="77777777" w:rsidR="00A31F89" w:rsidRDefault="00A31F89" w:rsidP="001A4605">
      <w:pPr>
        <w:pStyle w:val="ListParagraph"/>
        <w:numPr>
          <w:ilvl w:val="0"/>
          <w:numId w:val="10"/>
        </w:numPr>
        <w:spacing w:before="60"/>
      </w:pPr>
      <w:r>
        <w:t>Intra-day delta reports which complement complete reports for intra-day reconciliation. In this case a</w:t>
      </w:r>
      <w:r w:rsidR="003B6075">
        <w:t>n</w:t>
      </w:r>
      <w:r>
        <w:t xml:space="preserve"> </w:t>
      </w:r>
      <w:r w:rsidR="003B6075">
        <w:t>a</w:t>
      </w:r>
      <w:r>
        <w:t>ctor configures to receive several delta reports per day and required report type (positions, pending instructions, allegements etc.)</w:t>
      </w:r>
    </w:p>
    <w:p w14:paraId="495093BC" w14:textId="77777777" w:rsidR="00305D9A" w:rsidRDefault="00305D9A" w:rsidP="00305D9A">
      <w:pPr>
        <w:pStyle w:val="ListParagraph"/>
        <w:spacing w:before="60"/>
      </w:pPr>
    </w:p>
    <w:p w14:paraId="33407D79" w14:textId="77777777" w:rsidR="00DC321B" w:rsidRPr="00E504BC" w:rsidRDefault="00004ECA" w:rsidP="00004ECA">
      <w:pPr>
        <w:spacing w:after="0"/>
        <w:jc w:val="left"/>
        <w:rPr>
          <w:b/>
          <w:lang w:val="en-GB"/>
        </w:rPr>
      </w:pPr>
      <w:r>
        <w:rPr>
          <w:b/>
          <w:lang w:val="en-GB"/>
        </w:rPr>
        <w:br/>
      </w:r>
      <w:r w:rsidR="00F2240E" w:rsidRPr="00E504BC">
        <w:rPr>
          <w:b/>
          <w:lang w:val="en-GB"/>
        </w:rPr>
        <w:t>EXAMPLE (Statement of Holdings</w:t>
      </w:r>
      <w:r w:rsidR="008A176B" w:rsidRPr="00E504BC">
        <w:rPr>
          <w:b/>
          <w:lang w:val="en-GB"/>
        </w:rPr>
        <w:t>,</w:t>
      </w:r>
      <w:r w:rsidR="00F2240E" w:rsidRPr="00E504BC">
        <w:rPr>
          <w:b/>
          <w:lang w:val="en-GB"/>
        </w:rPr>
        <w:t xml:space="preserve"> semt.002)</w:t>
      </w:r>
    </w:p>
    <w:p w14:paraId="4C1A4D31" w14:textId="77777777" w:rsidR="00F2240E" w:rsidRDefault="00F2240E" w:rsidP="00DC321B">
      <w:pPr>
        <w:spacing w:before="60"/>
        <w:rPr>
          <w:lang w:val="en-GB"/>
        </w:rPr>
      </w:pPr>
      <w:r>
        <w:rPr>
          <w:lang w:val="en-GB"/>
        </w:rPr>
        <w:t xml:space="preserve">In a securities account </w:t>
      </w:r>
      <w:r w:rsidR="006E4F25">
        <w:rPr>
          <w:lang w:val="en-GB"/>
        </w:rPr>
        <w:t xml:space="preserve">(SAC1) </w:t>
      </w:r>
      <w:r>
        <w:rPr>
          <w:lang w:val="en-GB"/>
        </w:rPr>
        <w:t xml:space="preserve">a settlement party holds at day T_0 three different securities positions (ISIN A, ISIN B and ISIN C), each in quantity 100. During day T_1, a quantity of </w:t>
      </w:r>
      <w:r w:rsidR="00422351">
        <w:rPr>
          <w:lang w:val="en-GB"/>
        </w:rPr>
        <w:t>4</w:t>
      </w:r>
      <w:r>
        <w:rPr>
          <w:lang w:val="en-GB"/>
        </w:rPr>
        <w:t>0 ISIN B is sold and delivered to another account</w:t>
      </w:r>
      <w:r w:rsidR="00422351">
        <w:rPr>
          <w:lang w:val="en-GB"/>
        </w:rPr>
        <w:t>, i.e. a quantity of 60 ISIN B remains in SAC1</w:t>
      </w:r>
      <w:r>
        <w:rPr>
          <w:lang w:val="en-GB"/>
        </w:rPr>
        <w:t>.</w:t>
      </w:r>
      <w:r w:rsidR="00422351">
        <w:rPr>
          <w:lang w:val="en-GB"/>
        </w:rPr>
        <w:t xml:space="preserve"> </w:t>
      </w:r>
    </w:p>
    <w:p w14:paraId="28104085" w14:textId="77777777" w:rsidR="00F2240E" w:rsidRDefault="00F2240E" w:rsidP="00DC321B">
      <w:pPr>
        <w:spacing w:before="60"/>
        <w:rPr>
          <w:lang w:val="en-GB"/>
        </w:rPr>
      </w:pPr>
      <w:r>
        <w:rPr>
          <w:lang w:val="en-GB"/>
        </w:rPr>
        <w:t>At the end of settlement day T_1, the following semt.002 reports would be created, depending on the report configuration of the settlement party in its settlement system:</w:t>
      </w:r>
    </w:p>
    <w:p w14:paraId="1288017D" w14:textId="77777777" w:rsidR="00F2240E" w:rsidRDefault="00F2240E" w:rsidP="00DC321B">
      <w:pPr>
        <w:spacing w:before="60"/>
        <w:rPr>
          <w:lang w:val="en-GB"/>
        </w:rPr>
      </w:pPr>
    </w:p>
    <w:p w14:paraId="06ADE3B8" w14:textId="77777777" w:rsidR="00F2240E" w:rsidRDefault="005425A4" w:rsidP="00CC6CC5">
      <w:pPr>
        <w:spacing w:before="60"/>
        <w:jc w:val="center"/>
      </w:pPr>
      <w:r>
        <w:rPr>
          <w:noProof/>
          <w:lang w:val="en-GB" w:eastAsia="en-GB"/>
        </w:rPr>
        <w:drawing>
          <wp:inline distT="0" distB="0" distL="0" distR="0" wp14:anchorId="6C2EF9A6" wp14:editId="612C3882">
            <wp:extent cx="457835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pic:spPr>
                </pic:pic>
              </a:graphicData>
            </a:graphic>
          </wp:inline>
        </w:drawing>
      </w:r>
    </w:p>
    <w:p w14:paraId="5805AC03" w14:textId="77777777" w:rsidR="008726E1" w:rsidRDefault="008726E1" w:rsidP="00CC6CC5">
      <w:pPr>
        <w:spacing w:before="60"/>
        <w:jc w:val="center"/>
      </w:pPr>
    </w:p>
    <w:p w14:paraId="6CA4C255" w14:textId="77777777" w:rsidR="008726E1" w:rsidRDefault="008726E1" w:rsidP="008726E1"/>
    <w:p w14:paraId="07C02F84" w14:textId="77777777" w:rsidR="007054BF" w:rsidRDefault="007054BF" w:rsidP="008726E1"/>
    <w:p w14:paraId="72EB9F82" w14:textId="77777777" w:rsidR="008726E1" w:rsidRDefault="008726E1" w:rsidP="008726E1">
      <w:pPr>
        <w:spacing w:before="60"/>
      </w:pPr>
      <w:r>
        <w:rPr>
          <w:lang w:val="en-GB"/>
        </w:rPr>
        <w:t xml:space="preserve">A delta report </w:t>
      </w:r>
      <w:r>
        <w:t xml:space="preserve">only </w:t>
      </w:r>
      <w:r w:rsidRPr="00DC321B">
        <w:t>contain</w:t>
      </w:r>
      <w:r>
        <w:t>s</w:t>
      </w:r>
      <w:r w:rsidRPr="00DC321B">
        <w:t xml:space="preserve"> data </w:t>
      </w:r>
      <w:r>
        <w:t>for which</w:t>
      </w:r>
      <w:r w:rsidRPr="00DC321B">
        <w:t xml:space="preserve"> </w:t>
      </w:r>
      <w:r>
        <w:t xml:space="preserve">the </w:t>
      </w:r>
      <w:r w:rsidRPr="00DC321B">
        <w:t xml:space="preserve">status/content </w:t>
      </w:r>
      <w:r>
        <w:t xml:space="preserve">has </w:t>
      </w:r>
      <w:r w:rsidRPr="00DC321B">
        <w:t xml:space="preserve">changed </w:t>
      </w:r>
      <w:r w:rsidRPr="00FA3E74">
        <w:rPr>
          <w:u w:val="single"/>
        </w:rPr>
        <w:t>since the generation of the previous report</w:t>
      </w:r>
      <w:r>
        <w:t xml:space="preserve"> or </w:t>
      </w:r>
      <w:r w:rsidRPr="00FA3E74">
        <w:rPr>
          <w:u w:val="single"/>
        </w:rPr>
        <w:t>since the start of the business day</w:t>
      </w:r>
      <w:r>
        <w:t>. Delta reports use the same message formats as complete reports, but they do not report instances which were not changed during the reporting period.</w:t>
      </w:r>
    </w:p>
    <w:p w14:paraId="54534625" w14:textId="77777777" w:rsidR="00DC321B" w:rsidRDefault="00DC321B" w:rsidP="00F8714D">
      <w:pPr>
        <w:spacing w:before="60"/>
        <w:rPr>
          <w:lang w:val="en-GB"/>
        </w:rPr>
      </w:pPr>
    </w:p>
    <w:p w14:paraId="19B6E677" w14:textId="7315A943" w:rsidR="007054BF" w:rsidRDefault="007054BF" w:rsidP="00F8714D">
      <w:pPr>
        <w:spacing w:before="60"/>
        <w:rPr>
          <w:lang w:val="en-GB"/>
        </w:rPr>
      </w:pPr>
      <w:r>
        <w:rPr>
          <w:lang w:val="en-GB"/>
        </w:rPr>
        <w:t xml:space="preserve">As indicated above, there are different types of </w:t>
      </w:r>
      <w:r w:rsidR="003B6075">
        <w:t>instructions to impact a securities</w:t>
      </w:r>
      <w:r w:rsidR="00B41AE1">
        <w:t xml:space="preserve"> position</w:t>
      </w:r>
      <w:r w:rsidR="003B6075">
        <w:t xml:space="preserve"> or </w:t>
      </w:r>
      <w:r w:rsidR="008409A6">
        <w:t xml:space="preserve">a </w:t>
      </w:r>
      <w:r w:rsidR="003B6075">
        <w:t xml:space="preserve">cash </w:t>
      </w:r>
      <w:r w:rsidR="00B41AE1">
        <w:t>balance</w:t>
      </w:r>
      <w:r>
        <w:rPr>
          <w:lang w:val="en-GB"/>
        </w:rPr>
        <w:t>:</w:t>
      </w:r>
    </w:p>
    <w:p w14:paraId="18B421B9" w14:textId="3406D6E6" w:rsidR="00004ECA" w:rsidRDefault="007054BF" w:rsidP="001A4605">
      <w:pPr>
        <w:pStyle w:val="ListParagraph"/>
        <w:numPr>
          <w:ilvl w:val="0"/>
          <w:numId w:val="13"/>
        </w:numPr>
        <w:spacing w:before="60"/>
        <w:rPr>
          <w:lang w:val="en-GB"/>
        </w:rPr>
      </w:pPr>
      <w:r w:rsidRPr="007054BF">
        <w:rPr>
          <w:u w:val="single"/>
          <w:lang w:val="en-GB"/>
        </w:rPr>
        <w:t>Settlement instructions</w:t>
      </w:r>
      <w:r>
        <w:rPr>
          <w:lang w:val="en-GB"/>
        </w:rPr>
        <w:t>, which transfer securities</w:t>
      </w:r>
      <w:r w:rsidR="00B41AE1">
        <w:rPr>
          <w:lang w:val="en-GB"/>
        </w:rPr>
        <w:t>/cash</w:t>
      </w:r>
      <w:r>
        <w:rPr>
          <w:lang w:val="en-GB"/>
        </w:rPr>
        <w:t xml:space="preserve"> from one account to another</w:t>
      </w:r>
      <w:r>
        <w:rPr>
          <w:rStyle w:val="FootnoteReference"/>
          <w:lang w:val="en-GB"/>
        </w:rPr>
        <w:footnoteReference w:id="1"/>
      </w:r>
      <w:r>
        <w:rPr>
          <w:lang w:val="en-GB"/>
        </w:rPr>
        <w:t xml:space="preserve">. This can be through </w:t>
      </w:r>
      <w:r w:rsidR="008409A6">
        <w:rPr>
          <w:lang w:val="en-GB"/>
        </w:rPr>
        <w:t>free of payment (</w:t>
      </w:r>
      <w:proofErr w:type="spellStart"/>
      <w:r>
        <w:rPr>
          <w:lang w:val="en-GB"/>
        </w:rPr>
        <w:t>FoP</w:t>
      </w:r>
      <w:proofErr w:type="spellEnd"/>
      <w:r w:rsidR="008409A6">
        <w:rPr>
          <w:lang w:val="en-GB"/>
        </w:rPr>
        <w:t>)</w:t>
      </w:r>
      <w:r w:rsidR="00B41AE1">
        <w:rPr>
          <w:lang w:val="en-GB"/>
        </w:rPr>
        <w:t>,</w:t>
      </w:r>
      <w:r>
        <w:rPr>
          <w:lang w:val="en-GB"/>
        </w:rPr>
        <w:t xml:space="preserve"> </w:t>
      </w:r>
      <w:r w:rsidR="008409A6">
        <w:rPr>
          <w:lang w:val="en-GB"/>
        </w:rPr>
        <w:t>delivery versus payment (</w:t>
      </w:r>
      <w:proofErr w:type="spellStart"/>
      <w:r>
        <w:rPr>
          <w:lang w:val="en-GB"/>
        </w:rPr>
        <w:t>DvP</w:t>
      </w:r>
      <w:proofErr w:type="spellEnd"/>
      <w:r w:rsidR="008409A6">
        <w:rPr>
          <w:lang w:val="en-GB"/>
        </w:rPr>
        <w:t>)</w:t>
      </w:r>
      <w:r w:rsidR="00252C52">
        <w:rPr>
          <w:lang w:val="en-GB"/>
        </w:rPr>
        <w:t>,</w:t>
      </w:r>
      <w:r w:rsidR="00B41AE1">
        <w:rPr>
          <w:lang w:val="en-GB"/>
        </w:rPr>
        <w:t xml:space="preserve"> </w:t>
      </w:r>
      <w:r w:rsidR="008409A6">
        <w:rPr>
          <w:lang w:val="en-GB"/>
        </w:rPr>
        <w:t>delivery with payment (</w:t>
      </w:r>
      <w:proofErr w:type="spellStart"/>
      <w:r w:rsidR="00B41AE1">
        <w:rPr>
          <w:lang w:val="en-GB"/>
        </w:rPr>
        <w:t>DwP</w:t>
      </w:r>
      <w:proofErr w:type="spellEnd"/>
      <w:r w:rsidR="008409A6">
        <w:rPr>
          <w:lang w:val="en-GB"/>
        </w:rPr>
        <w:t>)</w:t>
      </w:r>
      <w:r w:rsidR="00B41AE1">
        <w:rPr>
          <w:lang w:val="en-GB"/>
        </w:rPr>
        <w:t xml:space="preserve"> or</w:t>
      </w:r>
      <w:r w:rsidR="00252C52">
        <w:rPr>
          <w:lang w:val="en-GB"/>
        </w:rPr>
        <w:t xml:space="preserve"> </w:t>
      </w:r>
      <w:r w:rsidR="008409A6">
        <w:rPr>
          <w:lang w:val="en-GB"/>
        </w:rPr>
        <w:t>payment free of delivery (</w:t>
      </w:r>
      <w:proofErr w:type="spellStart"/>
      <w:r w:rsidR="00252C52">
        <w:rPr>
          <w:lang w:val="en-GB"/>
        </w:rPr>
        <w:t>PFoD</w:t>
      </w:r>
      <w:proofErr w:type="spellEnd"/>
      <w:r w:rsidR="008409A6">
        <w:rPr>
          <w:lang w:val="en-GB"/>
        </w:rPr>
        <w:t>)</w:t>
      </w:r>
      <w:r w:rsidR="00252C52">
        <w:rPr>
          <w:lang w:val="en-GB"/>
        </w:rPr>
        <w:t>.</w:t>
      </w:r>
    </w:p>
    <w:p w14:paraId="517E7C6A" w14:textId="77777777" w:rsidR="007054BF" w:rsidRPr="007054BF" w:rsidRDefault="007054BF" w:rsidP="001A4605">
      <w:pPr>
        <w:pStyle w:val="ListParagraph"/>
        <w:numPr>
          <w:ilvl w:val="0"/>
          <w:numId w:val="13"/>
        </w:numPr>
        <w:spacing w:before="60"/>
        <w:rPr>
          <w:lang w:val="en-GB"/>
        </w:rPr>
      </w:pPr>
      <w:r w:rsidRPr="007054BF">
        <w:rPr>
          <w:u w:val="single"/>
          <w:lang w:val="en-GB"/>
        </w:rPr>
        <w:t>Intra-position movements</w:t>
      </w:r>
      <w:r>
        <w:rPr>
          <w:lang w:val="en-GB"/>
        </w:rPr>
        <w:t>, which move existing positions into a different sub-position type within the same securities account. Intra-position movements are not connected to any cash movement.</w:t>
      </w:r>
    </w:p>
    <w:p w14:paraId="7C77CFE9" w14:textId="77777777" w:rsidR="007054BF" w:rsidRDefault="007054BF" w:rsidP="001A4605">
      <w:pPr>
        <w:pStyle w:val="ListParagraph"/>
        <w:numPr>
          <w:ilvl w:val="0"/>
          <w:numId w:val="13"/>
        </w:numPr>
        <w:spacing w:before="60"/>
        <w:rPr>
          <w:lang w:val="en-GB"/>
        </w:rPr>
      </w:pPr>
      <w:r w:rsidRPr="007054BF">
        <w:rPr>
          <w:u w:val="single"/>
          <w:lang w:val="en-GB"/>
        </w:rPr>
        <w:t>Intra-</w:t>
      </w:r>
      <w:r>
        <w:rPr>
          <w:u w:val="single"/>
          <w:lang w:val="en-GB"/>
        </w:rPr>
        <w:t>balance</w:t>
      </w:r>
      <w:r w:rsidRPr="007054BF">
        <w:rPr>
          <w:u w:val="single"/>
          <w:lang w:val="en-GB"/>
        </w:rPr>
        <w:t xml:space="preserve"> movements</w:t>
      </w:r>
      <w:r>
        <w:rPr>
          <w:lang w:val="en-GB"/>
        </w:rPr>
        <w:t>, which move existing cash balances into a different sub-position type within the same cash account. Intra-balance movements are not connected to any securities movement.</w:t>
      </w:r>
    </w:p>
    <w:p w14:paraId="1B7022F2" w14:textId="056F007D" w:rsidR="007054BF" w:rsidRPr="007054BF" w:rsidRDefault="007054BF" w:rsidP="007054BF">
      <w:pPr>
        <w:spacing w:before="60"/>
        <w:rPr>
          <w:lang w:val="en-GB"/>
        </w:rPr>
      </w:pPr>
      <w:r>
        <w:rPr>
          <w:lang w:val="en-GB"/>
        </w:rPr>
        <w:t xml:space="preserve">In general the concept of delta reporting is the same for all three types of </w:t>
      </w:r>
      <w:r w:rsidR="003B6075">
        <w:t xml:space="preserve">instructions to impact a securities </w:t>
      </w:r>
      <w:r w:rsidR="00307BA2">
        <w:t xml:space="preserve">position </w:t>
      </w:r>
      <w:r w:rsidR="003B6075">
        <w:t xml:space="preserve">or cash </w:t>
      </w:r>
      <w:r w:rsidR="00307BA2">
        <w:t>balance</w:t>
      </w:r>
      <w:r>
        <w:rPr>
          <w:lang w:val="en-GB"/>
        </w:rPr>
        <w:t xml:space="preserve">, but small differences have to be considered, as described throughout the document. </w:t>
      </w:r>
    </w:p>
    <w:p w14:paraId="37F956C9" w14:textId="77777777" w:rsidR="006E5969" w:rsidRDefault="006E5969" w:rsidP="00F8714D">
      <w:pPr>
        <w:spacing w:before="60"/>
        <w:rPr>
          <w:lang w:val="en-GB"/>
        </w:rPr>
      </w:pPr>
    </w:p>
    <w:p w14:paraId="738331B0" w14:textId="77777777" w:rsidR="005F5CE1" w:rsidRPr="001A3DE4" w:rsidRDefault="005F5CE1" w:rsidP="005F5CE1">
      <w:pPr>
        <w:shd w:val="clear" w:color="auto" w:fill="E0E0E0"/>
        <w:spacing w:before="60"/>
        <w:rPr>
          <w:sz w:val="16"/>
          <w:szCs w:val="16"/>
          <w:lang w:val="en-GB"/>
        </w:rPr>
      </w:pPr>
    </w:p>
    <w:p w14:paraId="0B161085" w14:textId="77777777" w:rsidR="005F5CE1" w:rsidRPr="00E0167A" w:rsidRDefault="005F5CE1" w:rsidP="005F5CE1">
      <w:pPr>
        <w:pStyle w:val="Heading1"/>
        <w:rPr>
          <w:lang w:val="en-GB"/>
        </w:rPr>
      </w:pPr>
      <w:bookmarkStart w:id="2" w:name="_Toc491159101"/>
      <w:r w:rsidRPr="00E0167A">
        <w:rPr>
          <w:lang w:val="en-GB"/>
        </w:rPr>
        <w:t>Actors and Roles:</w:t>
      </w:r>
      <w:bookmarkEnd w:id="2"/>
    </w:p>
    <w:p w14:paraId="6884813A" w14:textId="77777777" w:rsidR="00AF4BC0" w:rsidRDefault="00AF4BC0" w:rsidP="00AF4BC0">
      <w:r>
        <w:t xml:space="preserve">Analogue to Market Practice Custody Holdings Reconciliation, section 1.3 </w:t>
      </w:r>
      <w:r w:rsidRPr="00AF4BC0">
        <w:t>Actors and Roles</w:t>
      </w:r>
      <w:r>
        <w:t xml:space="preserve"> </w:t>
      </w:r>
    </w:p>
    <w:p w14:paraId="3E5E6FC7" w14:textId="77777777" w:rsidR="00AF4BC0" w:rsidRDefault="00AF4BC0" w:rsidP="005F5CE1">
      <w:pPr>
        <w:spacing w:before="60"/>
      </w:pPr>
    </w:p>
    <w:p w14:paraId="47F2F9BD" w14:textId="77777777" w:rsidR="005F5CE1" w:rsidRDefault="00AF4BC0" w:rsidP="005F5CE1">
      <w:pPr>
        <w:spacing w:before="60"/>
        <w:rPr>
          <w:lang w:val="en-GB"/>
        </w:rPr>
      </w:pPr>
      <w:r>
        <w:t xml:space="preserve">Or: </w:t>
      </w:r>
      <w:r w:rsidR="00E504BC">
        <w:rPr>
          <w:lang w:val="en-GB"/>
        </w:rPr>
        <w:t xml:space="preserve">There are only two main actors involved in the process, the </w:t>
      </w:r>
      <w:r w:rsidR="00E504BC" w:rsidRPr="00E504BC">
        <w:rPr>
          <w:lang w:val="en-GB"/>
        </w:rPr>
        <w:t>Settlement Executing Party</w:t>
      </w:r>
      <w:r w:rsidR="00E504BC">
        <w:rPr>
          <w:lang w:val="en-GB"/>
        </w:rPr>
        <w:t xml:space="preserve"> (e.g. T2S) which generates the report and the Account Owner/Account Servicer which receives the report. For any settlement related report there might be other interested parties which subscribed to receive the report, but they are not relevant in this context.  </w:t>
      </w:r>
    </w:p>
    <w:p w14:paraId="4F639656" w14:textId="77777777" w:rsidR="004A633F" w:rsidRPr="00F8714D" w:rsidRDefault="004A633F" w:rsidP="00EB0F09">
      <w:pPr>
        <w:rPr>
          <w:lang w:val="en-GB"/>
        </w:rPr>
      </w:pPr>
    </w:p>
    <w:p w14:paraId="3A8B3071" w14:textId="77777777" w:rsidR="00303C9C" w:rsidRPr="001A3DE4" w:rsidRDefault="00303C9C" w:rsidP="00303C9C">
      <w:pPr>
        <w:shd w:val="clear" w:color="auto" w:fill="E0E0E0"/>
        <w:spacing w:before="60"/>
        <w:rPr>
          <w:sz w:val="16"/>
          <w:szCs w:val="16"/>
          <w:lang w:val="en-GB"/>
        </w:rPr>
      </w:pPr>
    </w:p>
    <w:p w14:paraId="08CE38AB" w14:textId="77777777" w:rsidR="00303C9C" w:rsidRDefault="00303C9C" w:rsidP="00EB0F09">
      <w:pPr>
        <w:pStyle w:val="Heading1"/>
        <w:rPr>
          <w:lang w:val="en-GB"/>
        </w:rPr>
      </w:pPr>
      <w:bookmarkStart w:id="3" w:name="_Toc491159102"/>
      <w:r>
        <w:rPr>
          <w:lang w:val="en-GB"/>
        </w:rPr>
        <w:t>Activity</w:t>
      </w:r>
      <w:r w:rsidRPr="00E0167A">
        <w:rPr>
          <w:lang w:val="en-GB"/>
        </w:rPr>
        <w:t xml:space="preserve"> Diagram:</w:t>
      </w:r>
      <w:bookmarkEnd w:id="3"/>
    </w:p>
    <w:p w14:paraId="6A60B4E3" w14:textId="77777777" w:rsidR="00AF4BC0" w:rsidRDefault="00AF4BC0" w:rsidP="00AF4BC0">
      <w:r>
        <w:t xml:space="preserve">Analogue to Market Practice Custody Holdings Reconciliation, section 1.5 </w:t>
      </w:r>
      <w:r w:rsidRPr="00AF4BC0">
        <w:t>Activity Diagram</w:t>
      </w:r>
    </w:p>
    <w:p w14:paraId="1B084E38" w14:textId="77777777" w:rsidR="00AF4BC0" w:rsidRDefault="00AF4BC0" w:rsidP="00AF4BC0"/>
    <w:p w14:paraId="28AD8772" w14:textId="77777777" w:rsidR="00AF4BC0" w:rsidRDefault="00AF4BC0" w:rsidP="00AF4BC0">
      <w:r>
        <w:t xml:space="preserve">Or: remove section </w:t>
      </w:r>
    </w:p>
    <w:p w14:paraId="2431F6BC" w14:textId="77777777" w:rsidR="00937960" w:rsidRDefault="00937960">
      <w:pPr>
        <w:spacing w:after="0"/>
        <w:jc w:val="left"/>
        <w:rPr>
          <w:sz w:val="16"/>
          <w:szCs w:val="16"/>
          <w:lang w:val="en-GB"/>
        </w:rPr>
      </w:pPr>
    </w:p>
    <w:p w14:paraId="2BD3475D" w14:textId="77777777" w:rsidR="001A3DE4" w:rsidRPr="001A3DE4" w:rsidRDefault="001A3DE4" w:rsidP="001A3DE4">
      <w:pPr>
        <w:shd w:val="clear" w:color="auto" w:fill="E0E0E0"/>
        <w:spacing w:before="60"/>
        <w:rPr>
          <w:sz w:val="16"/>
          <w:szCs w:val="16"/>
          <w:lang w:val="en-GB"/>
        </w:rPr>
      </w:pPr>
    </w:p>
    <w:p w14:paraId="6365960C" w14:textId="77777777" w:rsidR="00EF4B63" w:rsidRDefault="00303C9C" w:rsidP="00325FFE">
      <w:pPr>
        <w:pStyle w:val="Heading1"/>
        <w:rPr>
          <w:lang w:val="en-GB"/>
        </w:rPr>
      </w:pPr>
      <w:bookmarkStart w:id="4" w:name="_Toc491159103"/>
      <w:r>
        <w:rPr>
          <w:lang w:val="en-GB"/>
        </w:rPr>
        <w:t>Sequence</w:t>
      </w:r>
      <w:r w:rsidR="00EF4B63" w:rsidRPr="00E0167A">
        <w:rPr>
          <w:lang w:val="en-GB"/>
        </w:rPr>
        <w:t xml:space="preserve"> Diagram</w:t>
      </w:r>
      <w:r w:rsidR="000947D5" w:rsidRPr="00E0167A">
        <w:rPr>
          <w:lang w:val="en-GB"/>
        </w:rPr>
        <w:t>s</w:t>
      </w:r>
      <w:r w:rsidR="00EF4B63" w:rsidRPr="00E0167A">
        <w:rPr>
          <w:lang w:val="en-GB"/>
        </w:rPr>
        <w:t>:</w:t>
      </w:r>
      <w:bookmarkEnd w:id="4"/>
    </w:p>
    <w:p w14:paraId="4B3A2D57" w14:textId="77777777" w:rsidR="00AF4BC0" w:rsidRDefault="00AF4BC0" w:rsidP="00EF4B63">
      <w:r>
        <w:t xml:space="preserve">Analogue to Market Practice Custody Holdings Reconciliation, section 1.4 Sequence Diagrams </w:t>
      </w:r>
    </w:p>
    <w:p w14:paraId="11EA3A6D" w14:textId="77777777" w:rsidR="00AF4BC0" w:rsidRPr="00E0167A" w:rsidRDefault="00AF4BC0" w:rsidP="00EF4B63">
      <w:pPr>
        <w:rPr>
          <w:lang w:val="en-GB"/>
        </w:rPr>
      </w:pPr>
    </w:p>
    <w:p w14:paraId="61D01693" w14:textId="77777777" w:rsidR="00C900EF" w:rsidRPr="001A3DE4" w:rsidRDefault="00C900EF" w:rsidP="00C900EF">
      <w:pPr>
        <w:shd w:val="clear" w:color="auto" w:fill="E0E0E0"/>
        <w:spacing w:before="60"/>
        <w:rPr>
          <w:sz w:val="16"/>
          <w:szCs w:val="16"/>
          <w:lang w:val="en-GB"/>
        </w:rPr>
      </w:pPr>
    </w:p>
    <w:p w14:paraId="06FF0156" w14:textId="77777777" w:rsidR="00BC7A79" w:rsidRPr="005D6F2F" w:rsidRDefault="00BC7A79" w:rsidP="00BC7A79">
      <w:pPr>
        <w:pStyle w:val="Heading1"/>
        <w:rPr>
          <w:lang w:val="en-GB"/>
        </w:rPr>
      </w:pPr>
      <w:bookmarkStart w:id="5" w:name="_Toc491159104"/>
      <w:r w:rsidRPr="005D6F2F">
        <w:rPr>
          <w:lang w:val="en-GB"/>
        </w:rPr>
        <w:lastRenderedPageBreak/>
        <w:t>Business data requirements:</w:t>
      </w:r>
      <w:bookmarkEnd w:id="5"/>
    </w:p>
    <w:p w14:paraId="7FE30459" w14:textId="77777777" w:rsidR="00864931" w:rsidRDefault="00864931" w:rsidP="00BC7A79">
      <w:pPr>
        <w:pStyle w:val="BlockText"/>
        <w:rPr>
          <w:lang w:val="en-GB"/>
        </w:rPr>
      </w:pPr>
      <w:r>
        <w:rPr>
          <w:lang w:val="en-GB"/>
        </w:rPr>
        <w:t>To be added</w:t>
      </w:r>
    </w:p>
    <w:p w14:paraId="432ACECE" w14:textId="77777777" w:rsidR="006E5969" w:rsidRDefault="006E5969" w:rsidP="00BC7A79">
      <w:pPr>
        <w:pStyle w:val="BlockText"/>
        <w:rPr>
          <w:lang w:val="en-GB"/>
        </w:rPr>
      </w:pPr>
    </w:p>
    <w:p w14:paraId="5C4C9412" w14:textId="77777777" w:rsidR="00716F50" w:rsidRDefault="00716F50" w:rsidP="00BC7A79">
      <w:pPr>
        <w:pStyle w:val="BlockText"/>
        <w:rPr>
          <w:lang w:val="en-GB"/>
        </w:rPr>
      </w:pPr>
    </w:p>
    <w:p w14:paraId="00D94B36" w14:textId="77777777" w:rsidR="00BC7A79" w:rsidRPr="001A3DE4" w:rsidRDefault="00BC7A79" w:rsidP="00BC7A79">
      <w:pPr>
        <w:shd w:val="clear" w:color="auto" w:fill="E0E0E0"/>
        <w:spacing w:before="60"/>
        <w:rPr>
          <w:sz w:val="16"/>
          <w:szCs w:val="16"/>
          <w:lang w:val="en-GB"/>
        </w:rPr>
      </w:pPr>
    </w:p>
    <w:p w14:paraId="2B2713D6" w14:textId="77777777" w:rsidR="00126DC9" w:rsidRDefault="00126DC9">
      <w:pPr>
        <w:pStyle w:val="Heading1"/>
        <w:rPr>
          <w:lang w:val="en-GB"/>
        </w:rPr>
      </w:pPr>
      <w:bookmarkStart w:id="6" w:name="_Toc491159105"/>
      <w:r w:rsidRPr="00E0167A">
        <w:rPr>
          <w:lang w:val="en-GB"/>
        </w:rPr>
        <w:t>Market Practice Rules</w:t>
      </w:r>
      <w:r w:rsidR="008726E1">
        <w:rPr>
          <w:lang w:val="en-GB"/>
        </w:rPr>
        <w:t xml:space="preserve"> – Delta vs Complete Reports</w:t>
      </w:r>
      <w:r w:rsidRPr="00E0167A">
        <w:rPr>
          <w:lang w:val="en-GB"/>
        </w:rPr>
        <w:t>:</w:t>
      </w:r>
      <w:bookmarkEnd w:id="6"/>
    </w:p>
    <w:p w14:paraId="1530BB95" w14:textId="1144F55A" w:rsidR="00504401" w:rsidRDefault="006C5261" w:rsidP="00981D37">
      <w:pPr>
        <w:rPr>
          <w:lang w:val="en-GB"/>
        </w:rPr>
      </w:pPr>
      <w:r>
        <w:rPr>
          <w:lang w:val="en-GB"/>
        </w:rPr>
        <w:t>A</w:t>
      </w:r>
      <w:r w:rsidR="00F27D10">
        <w:rPr>
          <w:lang w:val="en-GB"/>
        </w:rPr>
        <w:t xml:space="preserve"> settlement system </w:t>
      </w:r>
      <w:r>
        <w:rPr>
          <w:lang w:val="en-GB"/>
        </w:rPr>
        <w:t>could</w:t>
      </w:r>
      <w:r w:rsidR="00F27D10">
        <w:rPr>
          <w:lang w:val="en-GB"/>
        </w:rPr>
        <w:t xml:space="preserve"> be designed in such a way that </w:t>
      </w:r>
      <w:r w:rsidR="00C22C07">
        <w:rPr>
          <w:lang w:val="en-GB"/>
        </w:rPr>
        <w:t xml:space="preserve">all </w:t>
      </w:r>
      <w:r>
        <w:rPr>
          <w:lang w:val="en-GB"/>
        </w:rPr>
        <w:t xml:space="preserve">supported </w:t>
      </w:r>
      <w:r w:rsidR="00C22C07">
        <w:rPr>
          <w:lang w:val="en-GB"/>
        </w:rPr>
        <w:t>report types can be received</w:t>
      </w:r>
      <w:r>
        <w:rPr>
          <w:lang w:val="en-GB"/>
        </w:rPr>
        <w:t xml:space="preserve"> not only at the end of a business day, but also intra-day, i.e.</w:t>
      </w:r>
      <w:r w:rsidR="00C22C07">
        <w:rPr>
          <w:lang w:val="en-GB"/>
        </w:rPr>
        <w:t xml:space="preserve"> several times during the </w:t>
      </w:r>
      <w:r>
        <w:rPr>
          <w:lang w:val="en-GB"/>
        </w:rPr>
        <w:t xml:space="preserve">business </w:t>
      </w:r>
      <w:r w:rsidR="00C22C07">
        <w:rPr>
          <w:lang w:val="en-GB"/>
        </w:rPr>
        <w:t xml:space="preserve">day. </w:t>
      </w:r>
      <w:r>
        <w:rPr>
          <w:lang w:val="en-GB"/>
        </w:rPr>
        <w:t xml:space="preserve">This is the case for example for the T2S platform. </w:t>
      </w:r>
      <w:r w:rsidR="00C22C07">
        <w:rPr>
          <w:lang w:val="en-GB"/>
        </w:rPr>
        <w:t xml:space="preserve">Configuration </w:t>
      </w:r>
      <w:r w:rsidR="003B6075">
        <w:rPr>
          <w:lang w:val="en-GB"/>
        </w:rPr>
        <w:t xml:space="preserve">of reports </w:t>
      </w:r>
      <w:r w:rsidR="00C22C07">
        <w:rPr>
          <w:lang w:val="en-GB"/>
        </w:rPr>
        <w:t>can be done based on time triggers or event triggers, throughout the whole business day</w:t>
      </w:r>
      <w:r w:rsidR="00155EE5">
        <w:rPr>
          <w:lang w:val="en-GB"/>
        </w:rPr>
        <w:t xml:space="preserve"> except during the </w:t>
      </w:r>
      <w:r w:rsidR="008409A6">
        <w:rPr>
          <w:lang w:val="en-GB"/>
        </w:rPr>
        <w:t>m</w:t>
      </w:r>
      <w:r w:rsidR="00155EE5">
        <w:rPr>
          <w:lang w:val="en-GB"/>
        </w:rPr>
        <w:t xml:space="preserve">aintenance </w:t>
      </w:r>
      <w:r w:rsidR="008409A6">
        <w:rPr>
          <w:lang w:val="en-GB"/>
        </w:rPr>
        <w:t>w</w:t>
      </w:r>
      <w:r w:rsidR="00155EE5">
        <w:rPr>
          <w:lang w:val="en-GB"/>
        </w:rPr>
        <w:t>indow</w:t>
      </w:r>
      <w:r w:rsidR="00C22C07">
        <w:rPr>
          <w:lang w:val="en-GB"/>
        </w:rPr>
        <w:t>.</w:t>
      </w:r>
      <w:r w:rsidR="00504401">
        <w:rPr>
          <w:lang w:val="en-GB"/>
        </w:rPr>
        <w:t xml:space="preserve"> This practice might differ </w:t>
      </w:r>
      <w:r w:rsidR="003B6075">
        <w:rPr>
          <w:lang w:val="en-GB"/>
        </w:rPr>
        <w:t xml:space="preserve">in various </w:t>
      </w:r>
      <w:r w:rsidR="00504401">
        <w:rPr>
          <w:lang w:val="en-GB"/>
        </w:rPr>
        <w:t xml:space="preserve">settlement systems where statements </w:t>
      </w:r>
      <w:r w:rsidR="003B6075">
        <w:rPr>
          <w:lang w:val="en-GB"/>
        </w:rPr>
        <w:t xml:space="preserve">may </w:t>
      </w:r>
      <w:r w:rsidR="00504401">
        <w:rPr>
          <w:lang w:val="en-GB"/>
        </w:rPr>
        <w:t xml:space="preserve">generally </w:t>
      </w:r>
      <w:r w:rsidR="003B6075">
        <w:rPr>
          <w:lang w:val="en-GB"/>
        </w:rPr>
        <w:t xml:space="preserve">be </w:t>
      </w:r>
      <w:r w:rsidR="00504401">
        <w:rPr>
          <w:lang w:val="en-GB"/>
        </w:rPr>
        <w:t xml:space="preserve">created to report the end-of-day situation only. In addition, </w:t>
      </w:r>
      <w:r w:rsidR="003B6075">
        <w:rPr>
          <w:lang w:val="en-GB"/>
        </w:rPr>
        <w:t xml:space="preserve">such reports </w:t>
      </w:r>
      <w:r w:rsidR="00504401">
        <w:rPr>
          <w:lang w:val="en-GB"/>
        </w:rPr>
        <w:t>differentiate between complete statements and delta statements. Whereas complete statements provide information based on a snapshot taken at a certain point in time, delta statements report changes made during a certain time</w:t>
      </w:r>
      <w:r w:rsidR="00B404A1">
        <w:rPr>
          <w:lang w:val="en-GB"/>
        </w:rPr>
        <w:t xml:space="preserve"> </w:t>
      </w:r>
      <w:r w:rsidR="00504401">
        <w:rPr>
          <w:lang w:val="en-GB"/>
        </w:rPr>
        <w:t xml:space="preserve">span. This time span is defined differently for </w:t>
      </w:r>
    </w:p>
    <w:p w14:paraId="09990302" w14:textId="77777777" w:rsidR="00504401" w:rsidRPr="00B81D51" w:rsidRDefault="00504401" w:rsidP="001A4605">
      <w:pPr>
        <w:pStyle w:val="ListParagraph"/>
        <w:numPr>
          <w:ilvl w:val="0"/>
          <w:numId w:val="12"/>
        </w:numPr>
        <w:rPr>
          <w:u w:val="single"/>
          <w:lang w:val="en-GB"/>
        </w:rPr>
      </w:pPr>
      <w:r w:rsidRPr="00B81D51">
        <w:rPr>
          <w:u w:val="single"/>
          <w:lang w:val="en-GB"/>
        </w:rPr>
        <w:t>The first delta statement received on a certain business day</w:t>
      </w:r>
    </w:p>
    <w:p w14:paraId="4E152494" w14:textId="77777777" w:rsidR="00504401" w:rsidRDefault="00504401" w:rsidP="00504401">
      <w:pPr>
        <w:pStyle w:val="ListParagraph"/>
        <w:rPr>
          <w:lang w:val="en-GB"/>
        </w:rPr>
      </w:pPr>
      <w:r>
        <w:rPr>
          <w:lang w:val="en-GB"/>
        </w:rPr>
        <w:t xml:space="preserve">In this case the delta statement reports changes between </w:t>
      </w:r>
      <w:r w:rsidRPr="00504401">
        <w:rPr>
          <w:lang w:val="en-GB"/>
        </w:rPr>
        <w:t>the start-of-day and</w:t>
      </w:r>
      <w:r>
        <w:rPr>
          <w:lang w:val="en-GB"/>
        </w:rPr>
        <w:t xml:space="preserve"> the time of creation of the de</w:t>
      </w:r>
      <w:r w:rsidRPr="00504401">
        <w:rPr>
          <w:lang w:val="en-GB"/>
        </w:rPr>
        <w:t>l</w:t>
      </w:r>
      <w:r>
        <w:rPr>
          <w:lang w:val="en-GB"/>
        </w:rPr>
        <w:t>ta statement</w:t>
      </w:r>
    </w:p>
    <w:p w14:paraId="1C29107B" w14:textId="77777777" w:rsidR="00504401" w:rsidRPr="00B81D51" w:rsidRDefault="00504401" w:rsidP="001A4605">
      <w:pPr>
        <w:pStyle w:val="ListParagraph"/>
        <w:numPr>
          <w:ilvl w:val="0"/>
          <w:numId w:val="12"/>
        </w:numPr>
        <w:rPr>
          <w:u w:val="single"/>
          <w:lang w:val="en-GB"/>
        </w:rPr>
      </w:pPr>
      <w:r w:rsidRPr="00B81D51">
        <w:rPr>
          <w:u w:val="single"/>
          <w:lang w:val="en-GB"/>
        </w:rPr>
        <w:t>Subsequent delta statements on the business day</w:t>
      </w:r>
    </w:p>
    <w:p w14:paraId="6E69FE38" w14:textId="77777777" w:rsidR="00B81D51" w:rsidRDefault="00B81D51" w:rsidP="00B81D51">
      <w:pPr>
        <w:pStyle w:val="ListParagraph"/>
        <w:rPr>
          <w:lang w:val="en-GB"/>
        </w:rPr>
      </w:pPr>
      <w:r>
        <w:rPr>
          <w:lang w:val="en-GB"/>
        </w:rPr>
        <w:t xml:space="preserve">In this case the delta statement reports changes made since the generation of the last statement. This previous statement itself could have been a complete or a delta statement </w:t>
      </w:r>
    </w:p>
    <w:p w14:paraId="734AABBE" w14:textId="77777777" w:rsidR="00B81D51" w:rsidRDefault="00B81D51" w:rsidP="00B81D51">
      <w:pPr>
        <w:rPr>
          <w:lang w:val="en-GB"/>
        </w:rPr>
      </w:pPr>
    </w:p>
    <w:p w14:paraId="12AB8C8A" w14:textId="77777777" w:rsidR="00B81D51" w:rsidRPr="00B81D51" w:rsidRDefault="003B4CCC" w:rsidP="00B81D51">
      <w:pPr>
        <w:rPr>
          <w:lang w:val="en-GB"/>
        </w:rPr>
      </w:pPr>
      <w:r>
        <w:rPr>
          <w:lang w:val="en-GB"/>
        </w:rPr>
        <w:t xml:space="preserve">Delta </w:t>
      </w:r>
      <w:r w:rsidR="00B81D51">
        <w:rPr>
          <w:lang w:val="en-GB"/>
        </w:rPr>
        <w:t xml:space="preserve">reports can be used to get an overview of settlement activities performed during a certain time span. This might be relevant for </w:t>
      </w:r>
      <w:r>
        <w:rPr>
          <w:lang w:val="en-GB"/>
        </w:rPr>
        <w:t>a</w:t>
      </w:r>
      <w:r w:rsidR="00B81D51">
        <w:rPr>
          <w:lang w:val="en-GB"/>
        </w:rPr>
        <w:t xml:space="preserve">ctors as in </w:t>
      </w:r>
      <w:r>
        <w:rPr>
          <w:lang w:val="en-GB"/>
        </w:rPr>
        <w:t xml:space="preserve">settlement systems where </w:t>
      </w:r>
      <w:r w:rsidR="00B81D51">
        <w:rPr>
          <w:lang w:val="en-GB"/>
        </w:rPr>
        <w:t xml:space="preserve">there are several specific events and cut-offs throughout the day.    </w:t>
      </w:r>
    </w:p>
    <w:p w14:paraId="5A3B4EFE" w14:textId="77777777" w:rsidR="00C22C07" w:rsidRPr="00504401" w:rsidRDefault="00504401" w:rsidP="00504401">
      <w:pPr>
        <w:ind w:left="360"/>
        <w:rPr>
          <w:lang w:val="en-GB"/>
        </w:rPr>
      </w:pPr>
      <w:r w:rsidRPr="00504401">
        <w:rPr>
          <w:lang w:val="en-GB"/>
        </w:rPr>
        <w:t xml:space="preserve">   </w:t>
      </w:r>
    </w:p>
    <w:p w14:paraId="30523D57" w14:textId="77777777" w:rsidR="00D920D7" w:rsidRDefault="00FA3E74" w:rsidP="00981D37">
      <w:pPr>
        <w:rPr>
          <w:lang w:val="en-GB"/>
        </w:rPr>
      </w:pPr>
      <w:r>
        <w:rPr>
          <w:lang w:val="en-GB"/>
        </w:rPr>
        <w:t>The following section</w:t>
      </w:r>
      <w:r w:rsidR="00B404A1">
        <w:rPr>
          <w:lang w:val="en-GB"/>
        </w:rPr>
        <w:t>s</w:t>
      </w:r>
      <w:r>
        <w:rPr>
          <w:lang w:val="en-GB"/>
        </w:rPr>
        <w:t xml:space="preserve"> provide a high level overview of the differences between delta version and complete versio</w:t>
      </w:r>
      <w:r w:rsidR="00716F50">
        <w:rPr>
          <w:lang w:val="en-GB"/>
        </w:rPr>
        <w:t>n of the report types mentioned, and the related usage rules.</w:t>
      </w:r>
      <w:r>
        <w:rPr>
          <w:lang w:val="en-GB"/>
        </w:rPr>
        <w:t xml:space="preserve"> For all delta versions it has to be differentiate</w:t>
      </w:r>
      <w:r w:rsidR="003B4CCC">
        <w:rPr>
          <w:lang w:val="en-GB"/>
        </w:rPr>
        <w:t>d</w:t>
      </w:r>
      <w:r>
        <w:rPr>
          <w:lang w:val="en-GB"/>
        </w:rPr>
        <w:t xml:space="preserve"> if a report is the first one generated on a given business day, or is</w:t>
      </w:r>
      <w:r w:rsidR="00D920D7">
        <w:rPr>
          <w:lang w:val="en-GB"/>
        </w:rPr>
        <w:t xml:space="preserve"> a subsequent one (intra-day receipt).</w:t>
      </w:r>
    </w:p>
    <w:p w14:paraId="5E080EFE" w14:textId="77777777" w:rsidR="00FA3E74" w:rsidRDefault="00FA3E74" w:rsidP="00981D37">
      <w:pPr>
        <w:rPr>
          <w:lang w:val="en-GB"/>
        </w:rPr>
      </w:pPr>
      <w:r>
        <w:rPr>
          <w:lang w:val="en-GB"/>
        </w:rPr>
        <w:t xml:space="preserve">  </w:t>
      </w:r>
    </w:p>
    <w:p w14:paraId="7633FEB0" w14:textId="77777777" w:rsidR="00716F50" w:rsidRDefault="00716F50" w:rsidP="00716F50">
      <w:pPr>
        <w:pStyle w:val="Heading2"/>
        <w:rPr>
          <w:lang w:val="en-GB"/>
        </w:rPr>
      </w:pPr>
      <w:bookmarkStart w:id="7" w:name="_Toc491159106"/>
      <w:proofErr w:type="spellStart"/>
      <w:r w:rsidRPr="00716F50">
        <w:rPr>
          <w:lang w:val="en-GB"/>
        </w:rPr>
        <w:t>PostingReport</w:t>
      </w:r>
      <w:bookmarkEnd w:id="7"/>
      <w:proofErr w:type="spellEnd"/>
      <w:r w:rsidRPr="00716F50">
        <w:rPr>
          <w:lang w:val="en-GB"/>
        </w:rPr>
        <w:t xml:space="preserve"> </w:t>
      </w:r>
    </w:p>
    <w:p w14:paraId="43BE8CAA" w14:textId="77777777" w:rsidR="00716F50" w:rsidRPr="00716F50" w:rsidRDefault="00716F50" w:rsidP="00716F50">
      <w:pPr>
        <w:rPr>
          <w:b/>
          <w:lang w:val="en-GB"/>
        </w:rPr>
      </w:pPr>
      <w:proofErr w:type="spellStart"/>
      <w:r w:rsidRPr="00716F50">
        <w:rPr>
          <w:b/>
          <w:lang w:val="en-GB"/>
        </w:rPr>
        <w:t>SecuritiesTransactionPostingReport</w:t>
      </w:r>
      <w:proofErr w:type="spellEnd"/>
      <w:r w:rsidRPr="00716F50">
        <w:rPr>
          <w:b/>
          <w:lang w:val="en-GB"/>
        </w:rPr>
        <w:t xml:space="preserve"> </w:t>
      </w:r>
      <w:r>
        <w:rPr>
          <w:b/>
          <w:lang w:val="en-GB"/>
        </w:rPr>
        <w:t xml:space="preserve">semt.017, </w:t>
      </w:r>
      <w:proofErr w:type="spellStart"/>
      <w:r w:rsidRPr="00716F50">
        <w:rPr>
          <w:b/>
          <w:lang w:val="en-GB"/>
        </w:rPr>
        <w:t>IntraPositionMovementPostingReport</w:t>
      </w:r>
      <w:proofErr w:type="spellEnd"/>
      <w:r>
        <w:rPr>
          <w:b/>
          <w:lang w:val="en-GB"/>
        </w:rPr>
        <w:t xml:space="preserve"> semt.016</w:t>
      </w:r>
      <w:r w:rsidRPr="00716F50">
        <w:rPr>
          <w:b/>
          <w:lang w:val="en-GB"/>
        </w:rPr>
        <w:t xml:space="preserve"> </w:t>
      </w:r>
      <w:r>
        <w:rPr>
          <w:b/>
          <w:lang w:val="en-GB"/>
        </w:rPr>
        <w:t xml:space="preserve">and   </w:t>
      </w:r>
      <w:proofErr w:type="spellStart"/>
      <w:r w:rsidRPr="00716F50">
        <w:rPr>
          <w:b/>
          <w:lang w:val="en-GB"/>
        </w:rPr>
        <w:t>IntraBalanceMovementPostingReport</w:t>
      </w:r>
      <w:proofErr w:type="spellEnd"/>
      <w:r>
        <w:rPr>
          <w:b/>
          <w:lang w:val="en-GB"/>
        </w:rPr>
        <w:t xml:space="preserve"> camt.084*</w:t>
      </w:r>
      <w:r w:rsidR="00EB779C" w:rsidRPr="00EB779C">
        <w:rPr>
          <w:rStyle w:val="FootnoteReference"/>
          <w:b/>
          <w:color w:val="FFFFFF" w:themeColor="background1"/>
          <w:lang w:val="en-GB"/>
        </w:rPr>
        <w:footnoteReference w:id="2"/>
      </w:r>
      <w:r w:rsidRPr="00EB779C">
        <w:rPr>
          <w:b/>
          <w:color w:val="FFFFFF" w:themeColor="background1"/>
          <w:lang w:val="en-GB"/>
        </w:rPr>
        <w:t xml:space="preserve"> </w:t>
      </w:r>
    </w:p>
    <w:p w14:paraId="002730CD" w14:textId="77777777" w:rsidR="00002FC1" w:rsidRDefault="00002FC1" w:rsidP="00981D37">
      <w:pPr>
        <w:rPr>
          <w:lang w:val="en-GB"/>
        </w:rPr>
      </w:pPr>
      <w:r>
        <w:rPr>
          <w:lang w:val="en-GB"/>
        </w:rPr>
        <w:t xml:space="preserve">For </w:t>
      </w:r>
      <w:r w:rsidR="00716F50">
        <w:rPr>
          <w:lang w:val="en-GB"/>
        </w:rPr>
        <w:t>all three posting reports</w:t>
      </w:r>
      <w:r>
        <w:rPr>
          <w:lang w:val="en-GB"/>
        </w:rPr>
        <w:t xml:space="preserve">, delta is </w:t>
      </w:r>
      <w:r w:rsidRPr="00997646">
        <w:rPr>
          <w:u w:val="single"/>
          <w:lang w:val="en-GB"/>
        </w:rPr>
        <w:t>only relevant for intra-day receipt</w:t>
      </w:r>
      <w:r>
        <w:rPr>
          <w:lang w:val="en-GB"/>
        </w:rPr>
        <w:t xml:space="preserve"> in case more than one report </w:t>
      </w:r>
      <w:r w:rsidR="00540478">
        <w:rPr>
          <w:lang w:val="en-GB"/>
        </w:rPr>
        <w:t xml:space="preserve">is generated throughout the business </w:t>
      </w:r>
      <w:r>
        <w:rPr>
          <w:lang w:val="en-GB"/>
        </w:rPr>
        <w:t>day</w:t>
      </w:r>
    </w:p>
    <w:p w14:paraId="7A87D02E" w14:textId="77777777" w:rsidR="00002FC1" w:rsidRDefault="00002FC1" w:rsidP="001A4605">
      <w:pPr>
        <w:pStyle w:val="ListParagraph"/>
        <w:numPr>
          <w:ilvl w:val="1"/>
          <w:numId w:val="5"/>
        </w:numPr>
        <w:rPr>
          <w:lang w:val="en-GB"/>
        </w:rPr>
      </w:pPr>
      <w:r>
        <w:rPr>
          <w:lang w:val="en-GB"/>
        </w:rPr>
        <w:t xml:space="preserve">The first </w:t>
      </w:r>
      <w:r w:rsidR="00540478">
        <w:rPr>
          <w:lang w:val="en-GB"/>
        </w:rPr>
        <w:t xml:space="preserve">delta </w:t>
      </w:r>
      <w:r>
        <w:rPr>
          <w:lang w:val="en-GB"/>
        </w:rPr>
        <w:t xml:space="preserve">report received </w:t>
      </w:r>
      <w:r w:rsidR="00D529CD">
        <w:rPr>
          <w:lang w:val="en-GB"/>
        </w:rPr>
        <w:t xml:space="preserve">during the day </w:t>
      </w:r>
      <w:r>
        <w:rPr>
          <w:lang w:val="en-GB"/>
        </w:rPr>
        <w:t xml:space="preserve">would </w:t>
      </w:r>
      <w:r w:rsidR="00540478">
        <w:t>contain the same data as the complete report</w:t>
      </w:r>
      <w:r w:rsidR="00764679">
        <w:t>.</w:t>
      </w:r>
    </w:p>
    <w:p w14:paraId="474A7F41" w14:textId="77777777" w:rsidR="00002FC1" w:rsidRDefault="00002FC1" w:rsidP="001A4605">
      <w:pPr>
        <w:pStyle w:val="ListParagraph"/>
        <w:numPr>
          <w:ilvl w:val="1"/>
          <w:numId w:val="5"/>
        </w:numPr>
        <w:rPr>
          <w:lang w:val="en-GB"/>
        </w:rPr>
      </w:pPr>
      <w:r>
        <w:rPr>
          <w:lang w:val="en-GB"/>
        </w:rPr>
        <w:t>Any subsequent report would be different depending on the report type</w:t>
      </w:r>
    </w:p>
    <w:p w14:paraId="1000C34C" w14:textId="0E72611A" w:rsidR="00002FC1" w:rsidRDefault="00002FC1" w:rsidP="001A4605">
      <w:pPr>
        <w:pStyle w:val="ListParagraph"/>
        <w:numPr>
          <w:ilvl w:val="2"/>
          <w:numId w:val="5"/>
        </w:numPr>
        <w:rPr>
          <w:lang w:val="en-GB"/>
        </w:rPr>
      </w:pPr>
      <w:r>
        <w:rPr>
          <w:lang w:val="en-GB"/>
        </w:rPr>
        <w:t>Delta report only report</w:t>
      </w:r>
      <w:r w:rsidR="00540478">
        <w:rPr>
          <w:lang w:val="en-GB"/>
        </w:rPr>
        <w:t>s</w:t>
      </w:r>
      <w:r>
        <w:rPr>
          <w:lang w:val="en-GB"/>
        </w:rPr>
        <w:t xml:space="preserve"> the </w:t>
      </w:r>
      <w:r w:rsidR="00BA266A">
        <w:rPr>
          <w:lang w:val="en-GB"/>
        </w:rPr>
        <w:t>instructions</w:t>
      </w:r>
      <w:r>
        <w:rPr>
          <w:lang w:val="en-GB"/>
        </w:rPr>
        <w:t>/movements that were posted since the generation of the previous report</w:t>
      </w:r>
      <w:r w:rsidR="00764679">
        <w:rPr>
          <w:lang w:val="en-GB"/>
        </w:rPr>
        <w:t>, if any</w:t>
      </w:r>
      <w:r w:rsidR="00764679" w:rsidRPr="003B3433">
        <w:rPr>
          <w:lang w:val="en-GB"/>
        </w:rPr>
        <w:t>.</w:t>
      </w:r>
    </w:p>
    <w:p w14:paraId="0850F68E" w14:textId="5503E3EF" w:rsidR="00002FC1" w:rsidRDefault="006D28D5" w:rsidP="001A4605">
      <w:pPr>
        <w:pStyle w:val="ListParagraph"/>
        <w:numPr>
          <w:ilvl w:val="2"/>
          <w:numId w:val="5"/>
        </w:numPr>
        <w:rPr>
          <w:lang w:val="en-GB"/>
        </w:rPr>
      </w:pPr>
      <w:r>
        <w:rPr>
          <w:lang w:val="en-GB"/>
        </w:rPr>
        <w:lastRenderedPageBreak/>
        <w:t>Complete</w:t>
      </w:r>
      <w:r w:rsidR="00002FC1">
        <w:rPr>
          <w:lang w:val="en-GB"/>
        </w:rPr>
        <w:t xml:space="preserve"> report always report</w:t>
      </w:r>
      <w:r w:rsidR="00540478">
        <w:rPr>
          <w:lang w:val="en-GB"/>
        </w:rPr>
        <w:t>s</w:t>
      </w:r>
      <w:r w:rsidR="00002FC1">
        <w:rPr>
          <w:lang w:val="en-GB"/>
        </w:rPr>
        <w:t xml:space="preserve"> all </w:t>
      </w:r>
      <w:r w:rsidR="00BA266A">
        <w:rPr>
          <w:lang w:val="en-GB"/>
        </w:rPr>
        <w:t>instructions</w:t>
      </w:r>
      <w:r w:rsidR="00002FC1">
        <w:rPr>
          <w:lang w:val="en-GB"/>
        </w:rPr>
        <w:t>/movements that were posted since the star</w:t>
      </w:r>
      <w:r w:rsidR="00A9531D">
        <w:rPr>
          <w:lang w:val="en-GB"/>
        </w:rPr>
        <w:t>t of the current business day</w:t>
      </w:r>
      <w:r w:rsidR="00764679">
        <w:rPr>
          <w:lang w:val="en-GB"/>
        </w:rPr>
        <w:t>.</w:t>
      </w:r>
    </w:p>
    <w:p w14:paraId="250F650D" w14:textId="77777777" w:rsidR="00004ECA" w:rsidRDefault="00004ECA" w:rsidP="00004ECA">
      <w:pPr>
        <w:pStyle w:val="ListParagraph"/>
        <w:rPr>
          <w:lang w:val="en-GB"/>
        </w:rPr>
      </w:pPr>
    </w:p>
    <w:p w14:paraId="5AA477CA" w14:textId="77777777" w:rsidR="00716F50" w:rsidRPr="00716F50" w:rsidRDefault="00716F50" w:rsidP="00716F50">
      <w:pPr>
        <w:rPr>
          <w:b/>
          <w:lang w:val="en-GB"/>
        </w:rPr>
      </w:pPr>
      <w:r>
        <w:rPr>
          <w:b/>
          <w:lang w:val="en-GB"/>
        </w:rPr>
        <w:t>Business need</w:t>
      </w:r>
    </w:p>
    <w:p w14:paraId="729478F1" w14:textId="77777777" w:rsidR="006C5261" w:rsidRPr="00001ECA" w:rsidRDefault="006C5261" w:rsidP="006C5261">
      <w:pPr>
        <w:rPr>
          <w:lang w:val="en-GB"/>
        </w:rPr>
      </w:pPr>
      <w:r>
        <w:rPr>
          <w:lang w:val="en-GB"/>
        </w:rPr>
        <w:t>In general, delta reports are used to prevent duplicate reporting of postings, with each and every report generated throughout the business day decreasing reporting costs and reducing the required processing capacity.</w:t>
      </w:r>
    </w:p>
    <w:p w14:paraId="44F0995B" w14:textId="77777777" w:rsidR="00716F50" w:rsidRDefault="00B404A1" w:rsidP="006C5261">
      <w:pPr>
        <w:rPr>
          <w:lang w:val="en-GB"/>
        </w:rPr>
      </w:pPr>
      <w:r>
        <w:rPr>
          <w:lang w:val="en-GB"/>
        </w:rPr>
        <w:t>In T2S</w:t>
      </w:r>
      <w:r w:rsidR="00540478" w:rsidRPr="00540478">
        <w:rPr>
          <w:lang w:val="en-GB"/>
        </w:rPr>
        <w:t xml:space="preserve"> </w:t>
      </w:r>
      <w:r w:rsidR="00540478">
        <w:rPr>
          <w:lang w:val="en-GB"/>
        </w:rPr>
        <w:t>for example</w:t>
      </w:r>
      <w:r>
        <w:rPr>
          <w:lang w:val="en-GB"/>
        </w:rPr>
        <w:t>, posting reports can be configured several times throughout the day. This might be relevant for T2S Actor</w:t>
      </w:r>
      <w:r w:rsidR="006C5261">
        <w:rPr>
          <w:lang w:val="en-GB"/>
        </w:rPr>
        <w:t xml:space="preserve">s that </w:t>
      </w:r>
      <w:r w:rsidR="006C5261" w:rsidRPr="00B404A1">
        <w:rPr>
          <w:lang w:val="en-GB"/>
        </w:rPr>
        <w:t>rely on statements rather than on real-time messages</w:t>
      </w:r>
      <w:r w:rsidR="006C5261" w:rsidRPr="006C5261">
        <w:rPr>
          <w:lang w:val="en-GB"/>
        </w:rPr>
        <w:t xml:space="preserve"> </w:t>
      </w:r>
      <w:r w:rsidR="006C5261">
        <w:rPr>
          <w:lang w:val="en-GB"/>
        </w:rPr>
        <w:t>for their internal book keeping.</w:t>
      </w:r>
      <w:r>
        <w:rPr>
          <w:lang w:val="en-GB"/>
        </w:rPr>
        <w:t xml:space="preserve"> Intra-day reporting would be relevant to inform these actors about the current status of their settlement activities throughout the </w:t>
      </w:r>
      <w:r w:rsidR="00540478">
        <w:rPr>
          <w:lang w:val="en-GB"/>
        </w:rPr>
        <w:t xml:space="preserve">business </w:t>
      </w:r>
      <w:r>
        <w:rPr>
          <w:lang w:val="en-GB"/>
        </w:rPr>
        <w:t>day.</w:t>
      </w:r>
      <w:r w:rsidRPr="00B404A1">
        <w:rPr>
          <w:lang w:val="en-GB"/>
        </w:rPr>
        <w:t xml:space="preserve"> </w:t>
      </w:r>
      <w:r w:rsidR="00001ECA">
        <w:rPr>
          <w:lang w:val="en-GB"/>
        </w:rPr>
        <w:t>Several</w:t>
      </w:r>
      <w:r w:rsidR="00540478" w:rsidRPr="00540478">
        <w:rPr>
          <w:lang w:val="en-GB"/>
        </w:rPr>
        <w:t xml:space="preserve"> </w:t>
      </w:r>
      <w:r w:rsidR="00540478">
        <w:rPr>
          <w:lang w:val="en-GB"/>
        </w:rPr>
        <w:t>points in</w:t>
      </w:r>
      <w:r w:rsidR="00001ECA">
        <w:rPr>
          <w:lang w:val="en-GB"/>
        </w:rPr>
        <w:t xml:space="preserve"> time or business events could be considered to receive such reports, e.g. after each partial settlement window, or after the </w:t>
      </w:r>
      <w:proofErr w:type="spellStart"/>
      <w:r w:rsidR="00001ECA">
        <w:rPr>
          <w:lang w:val="en-GB"/>
        </w:rPr>
        <w:t>DvP</w:t>
      </w:r>
      <w:proofErr w:type="spellEnd"/>
      <w:r w:rsidR="00001ECA">
        <w:rPr>
          <w:lang w:val="en-GB"/>
        </w:rPr>
        <w:t xml:space="preserve"> cut-off.</w:t>
      </w:r>
    </w:p>
    <w:p w14:paraId="5D380FCC" w14:textId="77777777" w:rsidR="00B404A1" w:rsidRPr="00001ECA" w:rsidRDefault="00B404A1" w:rsidP="00004ECA">
      <w:pPr>
        <w:pStyle w:val="ListParagraph"/>
        <w:rPr>
          <w:lang w:val="en-GB"/>
        </w:rPr>
      </w:pPr>
    </w:p>
    <w:p w14:paraId="4AC2F9D9" w14:textId="77777777" w:rsidR="00001ECA" w:rsidRDefault="00001ECA" w:rsidP="00001ECA">
      <w:pPr>
        <w:pStyle w:val="Heading2"/>
        <w:rPr>
          <w:lang w:val="en-GB"/>
        </w:rPr>
      </w:pPr>
      <w:bookmarkStart w:id="8" w:name="_Toc491159107"/>
      <w:r>
        <w:rPr>
          <w:lang w:val="en-GB"/>
        </w:rPr>
        <w:t>Modification Report</w:t>
      </w:r>
      <w:bookmarkEnd w:id="8"/>
    </w:p>
    <w:p w14:paraId="34F7D386" w14:textId="77777777" w:rsidR="00001ECA" w:rsidRPr="00001ECA" w:rsidRDefault="00001ECA" w:rsidP="00001ECA">
      <w:pPr>
        <w:pStyle w:val="Default"/>
        <w:jc w:val="both"/>
        <w:rPr>
          <w:rFonts w:ascii="Times New Roman" w:hAnsi="Times New Roman" w:cs="Times New Roman"/>
          <w:b/>
          <w:color w:val="auto"/>
          <w:sz w:val="22"/>
          <w:szCs w:val="20"/>
          <w:lang w:eastAsia="en-US"/>
        </w:rPr>
      </w:pPr>
      <w:proofErr w:type="spellStart"/>
      <w:r w:rsidRPr="00001ECA">
        <w:rPr>
          <w:rFonts w:ascii="Times New Roman" w:hAnsi="Times New Roman" w:cs="Times New Roman"/>
          <w:b/>
          <w:color w:val="auto"/>
          <w:sz w:val="22"/>
          <w:szCs w:val="20"/>
          <w:lang w:eastAsia="en-US"/>
        </w:rPr>
        <w:t>SecuritiesSettlementConditionsModificationRequestReport</w:t>
      </w:r>
      <w:proofErr w:type="spellEnd"/>
      <w:r>
        <w:rPr>
          <w:rFonts w:ascii="Times New Roman" w:hAnsi="Times New Roman" w:cs="Times New Roman"/>
          <w:b/>
          <w:color w:val="auto"/>
          <w:sz w:val="22"/>
          <w:szCs w:val="20"/>
          <w:lang w:eastAsia="en-US"/>
        </w:rPr>
        <w:t xml:space="preserve"> </w:t>
      </w:r>
      <w:r w:rsidRPr="00001ECA">
        <w:rPr>
          <w:rFonts w:ascii="Times New Roman" w:hAnsi="Times New Roman" w:cs="Times New Roman"/>
          <w:b/>
          <w:color w:val="auto"/>
          <w:sz w:val="22"/>
          <w:szCs w:val="20"/>
          <w:lang w:eastAsia="en-US"/>
        </w:rPr>
        <w:t>semt.031*</w:t>
      </w:r>
      <w:r w:rsidR="00EB779C">
        <w:rPr>
          <w:rFonts w:ascii="Times New Roman" w:hAnsi="Times New Roman" w:cs="Times New Roman"/>
          <w:b/>
          <w:color w:val="auto"/>
          <w:sz w:val="22"/>
          <w:szCs w:val="20"/>
          <w:lang w:eastAsia="en-US"/>
        </w:rPr>
        <w:t xml:space="preserve"> </w:t>
      </w:r>
      <w:r w:rsidRPr="00001ECA">
        <w:rPr>
          <w:rFonts w:ascii="Times New Roman" w:hAnsi="Times New Roman" w:cs="Times New Roman"/>
          <w:b/>
          <w:color w:val="auto"/>
          <w:sz w:val="22"/>
          <w:szCs w:val="20"/>
          <w:lang w:eastAsia="en-US"/>
        </w:rPr>
        <w:t xml:space="preserve">and </w:t>
      </w:r>
      <w:proofErr w:type="spellStart"/>
      <w:r w:rsidRPr="00001ECA">
        <w:rPr>
          <w:rFonts w:ascii="Times New Roman" w:hAnsi="Times New Roman" w:cs="Times New Roman"/>
          <w:b/>
          <w:color w:val="auto"/>
          <w:sz w:val="22"/>
          <w:szCs w:val="20"/>
          <w:lang w:eastAsia="en-US"/>
        </w:rPr>
        <w:t>IntraBalanceMovement</w:t>
      </w:r>
      <w:proofErr w:type="spellEnd"/>
      <w:r>
        <w:rPr>
          <w:rFonts w:ascii="Times New Roman" w:hAnsi="Times New Roman" w:cs="Times New Roman"/>
          <w:b/>
          <w:color w:val="auto"/>
          <w:sz w:val="22"/>
          <w:szCs w:val="20"/>
          <w:lang w:eastAsia="en-US"/>
        </w:rPr>
        <w:t xml:space="preserve"> </w:t>
      </w:r>
      <w:proofErr w:type="spellStart"/>
      <w:r w:rsidRPr="00001ECA">
        <w:rPr>
          <w:rFonts w:ascii="Times New Roman" w:hAnsi="Times New Roman" w:cs="Times New Roman"/>
          <w:b/>
          <w:color w:val="auto"/>
          <w:sz w:val="22"/>
          <w:szCs w:val="20"/>
          <w:lang w:eastAsia="en-US"/>
        </w:rPr>
        <w:t>ModificationReport</w:t>
      </w:r>
      <w:proofErr w:type="spellEnd"/>
      <w:r w:rsidRPr="00001ECA">
        <w:rPr>
          <w:rFonts w:ascii="Times New Roman" w:hAnsi="Times New Roman" w:cs="Times New Roman"/>
          <w:b/>
          <w:color w:val="auto"/>
          <w:sz w:val="22"/>
          <w:szCs w:val="20"/>
          <w:lang w:eastAsia="en-US"/>
        </w:rPr>
        <w:t xml:space="preserve"> camt.081*</w:t>
      </w:r>
      <w:r w:rsidR="00EB779C" w:rsidRPr="00EB779C">
        <w:rPr>
          <w:rStyle w:val="FootnoteReference"/>
          <w:rFonts w:ascii="Times New Roman" w:hAnsi="Times New Roman" w:cs="Times New Roman"/>
          <w:b/>
          <w:color w:val="FFFFFF" w:themeColor="background1"/>
          <w:sz w:val="22"/>
          <w:szCs w:val="20"/>
          <w:lang w:eastAsia="en-US"/>
        </w:rPr>
        <w:footnoteReference w:id="3"/>
      </w:r>
      <w:r w:rsidRPr="00001ECA">
        <w:rPr>
          <w:rFonts w:ascii="Times New Roman" w:hAnsi="Times New Roman" w:cs="Times New Roman"/>
          <w:b/>
          <w:color w:val="auto"/>
          <w:sz w:val="22"/>
          <w:szCs w:val="20"/>
          <w:lang w:eastAsia="en-US"/>
        </w:rPr>
        <w:t xml:space="preserve"> </w:t>
      </w:r>
    </w:p>
    <w:p w14:paraId="227A7F6B" w14:textId="77777777" w:rsidR="00503681" w:rsidRDefault="0090339C" w:rsidP="00EB779C">
      <w:pPr>
        <w:rPr>
          <w:lang w:val="en-GB"/>
        </w:rPr>
      </w:pPr>
      <w:r w:rsidRPr="00EB779C">
        <w:rPr>
          <w:lang w:val="en-GB"/>
        </w:rPr>
        <w:t xml:space="preserve">Each of these reports </w:t>
      </w:r>
      <w:r w:rsidR="00422351">
        <w:rPr>
          <w:lang w:val="en-GB"/>
        </w:rPr>
        <w:t>may be</w:t>
      </w:r>
      <w:r w:rsidR="00D646BA" w:rsidRPr="00EB779C">
        <w:rPr>
          <w:lang w:val="en-GB"/>
        </w:rPr>
        <w:t xml:space="preserve"> di</w:t>
      </w:r>
      <w:r w:rsidRPr="00EB779C">
        <w:rPr>
          <w:lang w:val="en-GB"/>
        </w:rPr>
        <w:t xml:space="preserve">vided into two sub-reports, which </w:t>
      </w:r>
      <w:r w:rsidR="00503681">
        <w:rPr>
          <w:lang w:val="en-GB"/>
        </w:rPr>
        <w:t>can</w:t>
      </w:r>
      <w:r w:rsidR="00503681" w:rsidRPr="00EB779C">
        <w:rPr>
          <w:lang w:val="en-GB"/>
        </w:rPr>
        <w:t xml:space="preserve"> </w:t>
      </w:r>
      <w:r w:rsidRPr="00EB779C">
        <w:rPr>
          <w:lang w:val="en-GB"/>
        </w:rPr>
        <w:t xml:space="preserve">be generated </w:t>
      </w:r>
      <w:r w:rsidR="00D646BA" w:rsidRPr="00EB779C">
        <w:rPr>
          <w:lang w:val="en-GB"/>
        </w:rPr>
        <w:t xml:space="preserve">and distributed </w:t>
      </w:r>
      <w:r w:rsidRPr="00EB779C">
        <w:rPr>
          <w:lang w:val="en-GB"/>
        </w:rPr>
        <w:t>separately</w:t>
      </w:r>
      <w:r w:rsidR="00D646BA" w:rsidRPr="00EB779C">
        <w:rPr>
          <w:lang w:val="en-GB"/>
        </w:rPr>
        <w:t>, depending on the configuration</w:t>
      </w:r>
      <w:r w:rsidR="00422351">
        <w:rPr>
          <w:lang w:val="en-GB"/>
        </w:rPr>
        <w:t xml:space="preserve"> and SSS</w:t>
      </w:r>
      <w:r w:rsidRPr="00EB779C">
        <w:rPr>
          <w:lang w:val="en-GB"/>
        </w:rPr>
        <w:t xml:space="preserve">; </w:t>
      </w:r>
      <w:r w:rsidR="00D646BA" w:rsidRPr="00EB779C">
        <w:rPr>
          <w:lang w:val="en-GB"/>
        </w:rPr>
        <w:t xml:space="preserve">version that contains all pending requests and version that contains all executed requests. </w:t>
      </w:r>
    </w:p>
    <w:p w14:paraId="5076E724" w14:textId="32AE289C" w:rsidR="006C5261" w:rsidRPr="00EB779C" w:rsidRDefault="006C5261" w:rsidP="006C5261">
      <w:pPr>
        <w:rPr>
          <w:lang w:val="en-GB"/>
        </w:rPr>
      </w:pPr>
      <w:r>
        <w:rPr>
          <w:lang w:val="en-GB"/>
        </w:rPr>
        <w:t xml:space="preserve">The </w:t>
      </w:r>
      <w:proofErr w:type="spellStart"/>
      <w:r w:rsidRPr="00B333E8">
        <w:t>SecuritiesSettlementConditionsModificationRequestReport</w:t>
      </w:r>
      <w:proofErr w:type="spellEnd"/>
      <w:r>
        <w:rPr>
          <w:lang w:val="en-GB"/>
        </w:rPr>
        <w:t xml:space="preserve"> contains Amendment and Hold/Release Instructions related to </w:t>
      </w:r>
      <w:r w:rsidRPr="00EB779C">
        <w:rPr>
          <w:lang w:val="en-GB"/>
        </w:rPr>
        <w:t xml:space="preserve">Settlement instructions </w:t>
      </w:r>
      <w:r>
        <w:rPr>
          <w:lang w:val="en-GB"/>
        </w:rPr>
        <w:t>as well as to I</w:t>
      </w:r>
      <w:r w:rsidRPr="00EB779C">
        <w:rPr>
          <w:lang w:val="en-GB"/>
        </w:rPr>
        <w:t>ntra-position movements</w:t>
      </w:r>
      <w:r w:rsidR="00155EE5">
        <w:rPr>
          <w:lang w:val="en-GB"/>
        </w:rPr>
        <w:t xml:space="preserve"> (Only </w:t>
      </w:r>
      <w:r w:rsidR="008409A6">
        <w:rPr>
          <w:lang w:val="en-GB"/>
        </w:rPr>
        <w:t>a</w:t>
      </w:r>
      <w:r w:rsidR="00155EE5">
        <w:rPr>
          <w:lang w:val="en-GB"/>
        </w:rPr>
        <w:t xml:space="preserve">mendment instructions are applicable to </w:t>
      </w:r>
      <w:r w:rsidR="008409A6">
        <w:rPr>
          <w:lang w:val="en-GB"/>
        </w:rPr>
        <w:t>i</w:t>
      </w:r>
      <w:r w:rsidR="00155EE5">
        <w:rPr>
          <w:lang w:val="en-GB"/>
        </w:rPr>
        <w:t>ntra-position movements)</w:t>
      </w:r>
      <w:r>
        <w:rPr>
          <w:lang w:val="en-GB"/>
        </w:rPr>
        <w:t xml:space="preserve">. The </w:t>
      </w:r>
      <w:proofErr w:type="spellStart"/>
      <w:r w:rsidRPr="00B333E8">
        <w:rPr>
          <w:lang w:val="en-GB"/>
        </w:rPr>
        <w:t>IntraBalanceMovementModificationReport</w:t>
      </w:r>
      <w:proofErr w:type="spellEnd"/>
      <w:r>
        <w:rPr>
          <w:lang w:val="en-GB"/>
        </w:rPr>
        <w:t xml:space="preserve"> contains</w:t>
      </w:r>
      <w:r w:rsidRPr="00EB779C">
        <w:rPr>
          <w:lang w:val="en-GB"/>
        </w:rPr>
        <w:t xml:space="preserve"> </w:t>
      </w:r>
      <w:r>
        <w:rPr>
          <w:lang w:val="en-GB"/>
        </w:rPr>
        <w:t>Amendment Instructions related to I</w:t>
      </w:r>
      <w:r w:rsidRPr="00EB779C">
        <w:rPr>
          <w:lang w:val="en-GB"/>
        </w:rPr>
        <w:t xml:space="preserve">ntra-balance movements </w:t>
      </w:r>
      <w:r>
        <w:rPr>
          <w:lang w:val="en-GB"/>
        </w:rPr>
        <w:t xml:space="preserve">only. </w:t>
      </w:r>
      <w:r w:rsidRPr="00EB779C">
        <w:rPr>
          <w:lang w:val="en-GB"/>
        </w:rPr>
        <w:t xml:space="preserve"> </w:t>
      </w:r>
    </w:p>
    <w:p w14:paraId="7C8E1D8D" w14:textId="5E58A729" w:rsidR="0046661E" w:rsidRPr="00EB779C" w:rsidRDefault="00422351" w:rsidP="00EB779C">
      <w:pPr>
        <w:rPr>
          <w:lang w:val="en-GB"/>
        </w:rPr>
      </w:pPr>
      <w:r>
        <w:rPr>
          <w:lang w:val="en-GB"/>
        </w:rPr>
        <w:t>For SSSs where</w:t>
      </w:r>
      <w:r w:rsidR="00BD1DD2" w:rsidRPr="00EB779C">
        <w:rPr>
          <w:lang w:val="en-GB"/>
        </w:rPr>
        <w:t xml:space="preserve"> modification requests are executed</w:t>
      </w:r>
      <w:r w:rsidRPr="00422351">
        <w:rPr>
          <w:lang w:val="en-GB"/>
        </w:rPr>
        <w:t xml:space="preserve"> </w:t>
      </w:r>
      <w:r w:rsidRPr="00EB779C">
        <w:rPr>
          <w:lang w:val="en-GB"/>
        </w:rPr>
        <w:t>immediately</w:t>
      </w:r>
      <w:r w:rsidR="00587BC2" w:rsidRPr="00EB779C">
        <w:rPr>
          <w:lang w:val="en-GB"/>
        </w:rPr>
        <w:t xml:space="preserve">, </w:t>
      </w:r>
      <w:r>
        <w:rPr>
          <w:lang w:val="en-GB"/>
        </w:rPr>
        <w:t>this</w:t>
      </w:r>
      <w:r w:rsidR="00587BC2" w:rsidRPr="00EB779C">
        <w:rPr>
          <w:lang w:val="en-GB"/>
        </w:rPr>
        <w:t xml:space="preserve"> means that the version which contains all pending requests</w:t>
      </w:r>
      <w:r w:rsidR="00BD1DD2" w:rsidRPr="00EB779C">
        <w:rPr>
          <w:lang w:val="en-GB"/>
        </w:rPr>
        <w:t xml:space="preserve"> will</w:t>
      </w:r>
      <w:r w:rsidR="00587BC2" w:rsidRPr="00EB779C">
        <w:rPr>
          <w:lang w:val="en-GB"/>
        </w:rPr>
        <w:t xml:space="preserve"> be empty on most</w:t>
      </w:r>
      <w:r w:rsidR="00503681">
        <w:rPr>
          <w:lang w:val="en-GB"/>
        </w:rPr>
        <w:t xml:space="preserve"> business</w:t>
      </w:r>
      <w:r w:rsidR="00587BC2" w:rsidRPr="00EB779C">
        <w:rPr>
          <w:lang w:val="en-GB"/>
        </w:rPr>
        <w:t xml:space="preserve"> days. Only in case of technical issues or special circumstances a modification request might be accepted but not immediately executed. In such cases, the request would be included in the report. Due to this, the version which contains executed modification requests is much more commonly used.</w:t>
      </w:r>
      <w:r w:rsidR="009A30A2">
        <w:rPr>
          <w:lang w:val="en-GB"/>
        </w:rPr>
        <w:t xml:space="preserve"> </w:t>
      </w:r>
    </w:p>
    <w:p w14:paraId="7310A361" w14:textId="77777777" w:rsidR="00EC7783" w:rsidRDefault="00EC7783" w:rsidP="0090339C">
      <w:pPr>
        <w:pStyle w:val="ListParagraph"/>
        <w:rPr>
          <w:lang w:val="en-GB"/>
        </w:rPr>
      </w:pPr>
    </w:p>
    <w:p w14:paraId="6058B580" w14:textId="77777777" w:rsidR="00EC7783" w:rsidRDefault="00EC7783" w:rsidP="00EC7783">
      <w:pPr>
        <w:pStyle w:val="Heading2"/>
        <w:numPr>
          <w:ilvl w:val="2"/>
          <w:numId w:val="3"/>
        </w:numPr>
        <w:rPr>
          <w:lang w:val="en-GB"/>
        </w:rPr>
      </w:pPr>
      <w:bookmarkStart w:id="9" w:name="_Toc491159108"/>
      <w:r>
        <w:rPr>
          <w:lang w:val="en-GB"/>
        </w:rPr>
        <w:t>Report of pending modification requests</w:t>
      </w:r>
      <w:bookmarkEnd w:id="9"/>
    </w:p>
    <w:p w14:paraId="4637D3AE" w14:textId="229CD76F" w:rsidR="00587BC2" w:rsidRDefault="00325DBA" w:rsidP="00587BC2">
      <w:pPr>
        <w:pStyle w:val="ListParagraph"/>
        <w:rPr>
          <w:lang w:val="en-GB"/>
        </w:rPr>
      </w:pPr>
      <w:r>
        <w:rPr>
          <w:lang w:val="en-GB"/>
        </w:rPr>
        <w:t xml:space="preserve">This scenario is only relevant for </w:t>
      </w:r>
      <w:r w:rsidR="008409A6">
        <w:rPr>
          <w:lang w:val="en-GB"/>
        </w:rPr>
        <w:t>SSSs</w:t>
      </w:r>
      <w:r>
        <w:rPr>
          <w:lang w:val="en-GB"/>
        </w:rPr>
        <w:t xml:space="preserve"> in which modification requests can be pending in practice, which is the case only if modification requests are not executed</w:t>
      </w:r>
      <w:r w:rsidRPr="00325DBA">
        <w:rPr>
          <w:lang w:val="en-GB"/>
        </w:rPr>
        <w:t xml:space="preserve"> </w:t>
      </w:r>
      <w:r>
        <w:rPr>
          <w:lang w:val="en-GB"/>
        </w:rPr>
        <w:t xml:space="preserve">immediately. </w:t>
      </w:r>
    </w:p>
    <w:p w14:paraId="66C08E6E" w14:textId="77777777" w:rsidR="001D52BA" w:rsidRDefault="001D52BA" w:rsidP="001A4605">
      <w:pPr>
        <w:pStyle w:val="ListParagraph"/>
        <w:numPr>
          <w:ilvl w:val="1"/>
          <w:numId w:val="5"/>
        </w:numPr>
        <w:rPr>
          <w:lang w:val="en-GB"/>
        </w:rPr>
      </w:pPr>
      <w:r>
        <w:rPr>
          <w:lang w:val="en-GB"/>
        </w:rPr>
        <w:t xml:space="preserve">For the report of pending modification requests, the </w:t>
      </w:r>
      <w:r w:rsidRPr="001D52BA">
        <w:rPr>
          <w:lang w:val="en-GB"/>
        </w:rPr>
        <w:t xml:space="preserve">delta </w:t>
      </w:r>
      <w:r>
        <w:rPr>
          <w:lang w:val="en-GB"/>
        </w:rPr>
        <w:t>version</w:t>
      </w:r>
      <w:r w:rsidRPr="001D52BA">
        <w:rPr>
          <w:lang w:val="en-GB"/>
        </w:rPr>
        <w:t xml:space="preserve"> will in any case (end-of-day and intra-day) have a different content than the complete </w:t>
      </w:r>
      <w:r>
        <w:rPr>
          <w:lang w:val="en-GB"/>
        </w:rPr>
        <w:t>version.</w:t>
      </w:r>
    </w:p>
    <w:p w14:paraId="0424F219" w14:textId="77777777" w:rsidR="001D52BA" w:rsidRPr="00503681" w:rsidRDefault="001D52BA" w:rsidP="00503681">
      <w:pPr>
        <w:pStyle w:val="ListParagraph"/>
        <w:numPr>
          <w:ilvl w:val="2"/>
          <w:numId w:val="5"/>
        </w:numPr>
        <w:rPr>
          <w:lang w:val="en-GB"/>
        </w:rPr>
      </w:pPr>
      <w:r>
        <w:rPr>
          <w:lang w:val="en-GB"/>
        </w:rPr>
        <w:t xml:space="preserve">The delta report </w:t>
      </w:r>
      <w:r w:rsidR="00503681">
        <w:rPr>
          <w:lang w:val="en-GB"/>
        </w:rPr>
        <w:t>contains</w:t>
      </w:r>
      <w:r>
        <w:rPr>
          <w:lang w:val="en-GB"/>
        </w:rPr>
        <w:t xml:space="preserve"> all newly submitted modification requests which were accepted by </w:t>
      </w:r>
      <w:r w:rsidR="00325DBA">
        <w:rPr>
          <w:lang w:val="en-GB"/>
        </w:rPr>
        <w:t xml:space="preserve">the system </w:t>
      </w:r>
      <w:r>
        <w:rPr>
          <w:lang w:val="en-GB"/>
        </w:rPr>
        <w:t>since the start of the business day or since the generation of the previous report (delta or complete) but which were not yet executed</w:t>
      </w:r>
      <w:r w:rsidR="00764679">
        <w:rPr>
          <w:lang w:val="en-GB"/>
        </w:rPr>
        <w:t>, if any</w:t>
      </w:r>
      <w:r>
        <w:rPr>
          <w:lang w:val="en-GB"/>
        </w:rPr>
        <w:t xml:space="preserve">. In addition it would report all modification requests that were reported as pending in one of the </w:t>
      </w:r>
      <w:r w:rsidR="00503681">
        <w:rPr>
          <w:lang w:val="en-GB"/>
        </w:rPr>
        <w:t xml:space="preserve">previously received statements on that business day and which expired or were </w:t>
      </w:r>
      <w:r w:rsidR="002248F9">
        <w:rPr>
          <w:lang w:val="en-GB"/>
        </w:rPr>
        <w:t>denied</w:t>
      </w:r>
      <w:r w:rsidR="00503681">
        <w:rPr>
          <w:lang w:val="en-GB"/>
        </w:rPr>
        <w:t xml:space="preserve"> by </w:t>
      </w:r>
      <w:r w:rsidR="00325DBA">
        <w:rPr>
          <w:lang w:val="en-GB"/>
        </w:rPr>
        <w:t>the system</w:t>
      </w:r>
      <w:r w:rsidR="00503681">
        <w:rPr>
          <w:lang w:val="en-GB"/>
        </w:rPr>
        <w:t xml:space="preserve"> in the meantime.</w:t>
      </w:r>
      <w:r w:rsidR="009A30A2">
        <w:rPr>
          <w:lang w:val="en-GB"/>
        </w:rPr>
        <w:t xml:space="preserve"> Modification requests that were previously reported as pending, but were executed in the meantime, will not be included in the </w:t>
      </w:r>
      <w:r w:rsidR="009A30A2">
        <w:rPr>
          <w:lang w:val="en-GB"/>
        </w:rPr>
        <w:lastRenderedPageBreak/>
        <w:t>delta report of pending modification requests. Such executed requests will only be included in the report of executed modification requests (both delta and complete)</w:t>
      </w:r>
      <w:r w:rsidR="006C5261">
        <w:rPr>
          <w:lang w:val="en-GB"/>
        </w:rPr>
        <w:t>.</w:t>
      </w:r>
    </w:p>
    <w:p w14:paraId="18685E49" w14:textId="77777777" w:rsidR="001D52BA" w:rsidRPr="001D52BA" w:rsidRDefault="001D52BA" w:rsidP="001A4605">
      <w:pPr>
        <w:pStyle w:val="ListParagraph"/>
        <w:numPr>
          <w:ilvl w:val="2"/>
          <w:numId w:val="5"/>
        </w:numPr>
        <w:rPr>
          <w:lang w:val="en-GB"/>
        </w:rPr>
      </w:pPr>
      <w:r>
        <w:rPr>
          <w:lang w:val="en-GB"/>
        </w:rPr>
        <w:t>The c</w:t>
      </w:r>
      <w:r w:rsidRPr="001D52BA">
        <w:rPr>
          <w:lang w:val="en-GB"/>
        </w:rPr>
        <w:t xml:space="preserve">omplete report would always report all modification requests that are pending in the system </w:t>
      </w:r>
    </w:p>
    <w:p w14:paraId="76F5C8A5" w14:textId="77777777" w:rsidR="00EC7783" w:rsidRDefault="00EC7783" w:rsidP="0090339C">
      <w:pPr>
        <w:pStyle w:val="ListParagraph"/>
        <w:rPr>
          <w:lang w:val="en-GB"/>
        </w:rPr>
      </w:pPr>
    </w:p>
    <w:p w14:paraId="4E1F4FA3" w14:textId="77777777" w:rsidR="00EC7783" w:rsidRDefault="00EC7783" w:rsidP="00EC7783">
      <w:pPr>
        <w:pStyle w:val="Heading2"/>
        <w:numPr>
          <w:ilvl w:val="2"/>
          <w:numId w:val="3"/>
        </w:numPr>
        <w:rPr>
          <w:lang w:val="en-GB"/>
        </w:rPr>
      </w:pPr>
      <w:bookmarkStart w:id="10" w:name="_Toc491159109"/>
      <w:r>
        <w:rPr>
          <w:lang w:val="en-GB"/>
        </w:rPr>
        <w:t xml:space="preserve">Report of </w:t>
      </w:r>
      <w:r w:rsidR="001D52BA">
        <w:rPr>
          <w:lang w:val="en-GB"/>
        </w:rPr>
        <w:t>executed</w:t>
      </w:r>
      <w:r>
        <w:rPr>
          <w:lang w:val="en-GB"/>
        </w:rPr>
        <w:t xml:space="preserve"> modification requests</w:t>
      </w:r>
      <w:bookmarkEnd w:id="10"/>
    </w:p>
    <w:p w14:paraId="223EF70F" w14:textId="77777777" w:rsidR="00352C8D" w:rsidRDefault="00352C8D" w:rsidP="001A4605">
      <w:pPr>
        <w:pStyle w:val="ListParagraph"/>
        <w:numPr>
          <w:ilvl w:val="1"/>
          <w:numId w:val="5"/>
        </w:numPr>
        <w:rPr>
          <w:lang w:val="en-GB"/>
        </w:rPr>
      </w:pPr>
      <w:r>
        <w:rPr>
          <w:lang w:val="en-GB"/>
        </w:rPr>
        <w:t xml:space="preserve">The first </w:t>
      </w:r>
      <w:r w:rsidR="00540478">
        <w:rPr>
          <w:lang w:val="en-GB"/>
        </w:rPr>
        <w:t xml:space="preserve">delta </w:t>
      </w:r>
      <w:r>
        <w:rPr>
          <w:lang w:val="en-GB"/>
        </w:rPr>
        <w:t xml:space="preserve">report received </w:t>
      </w:r>
      <w:r w:rsidR="00D529CD">
        <w:rPr>
          <w:lang w:val="en-GB"/>
        </w:rPr>
        <w:t xml:space="preserve">during the day </w:t>
      </w:r>
      <w:r>
        <w:rPr>
          <w:lang w:val="en-GB"/>
        </w:rPr>
        <w:t xml:space="preserve">would </w:t>
      </w:r>
      <w:r w:rsidR="00540478">
        <w:t>contain the same data as the complete report</w:t>
      </w:r>
      <w:r w:rsidR="001D52BA">
        <w:rPr>
          <w:lang w:val="en-GB"/>
        </w:rPr>
        <w:t>. It contain</w:t>
      </w:r>
      <w:r w:rsidR="00503681">
        <w:rPr>
          <w:lang w:val="en-GB"/>
        </w:rPr>
        <w:t>s</w:t>
      </w:r>
      <w:r w:rsidR="001D52BA">
        <w:rPr>
          <w:lang w:val="en-GB"/>
        </w:rPr>
        <w:t xml:space="preserve"> all modification requests which were executed since the start of the business day</w:t>
      </w:r>
      <w:r w:rsidR="00764679">
        <w:rPr>
          <w:lang w:val="en-GB"/>
        </w:rPr>
        <w:t>, if any</w:t>
      </w:r>
      <w:r w:rsidR="001D52BA">
        <w:rPr>
          <w:lang w:val="en-GB"/>
        </w:rPr>
        <w:t>.</w:t>
      </w:r>
    </w:p>
    <w:p w14:paraId="6498C1EE" w14:textId="77777777" w:rsidR="00352C8D" w:rsidRDefault="00352C8D" w:rsidP="001A4605">
      <w:pPr>
        <w:pStyle w:val="ListParagraph"/>
        <w:numPr>
          <w:ilvl w:val="1"/>
          <w:numId w:val="5"/>
        </w:numPr>
        <w:rPr>
          <w:lang w:val="en-GB"/>
        </w:rPr>
      </w:pPr>
      <w:r>
        <w:rPr>
          <w:lang w:val="en-GB"/>
        </w:rPr>
        <w:t>Any subsequent report would be different depending on the report type</w:t>
      </w:r>
    </w:p>
    <w:p w14:paraId="5354AC3D" w14:textId="77777777" w:rsidR="00352C8D" w:rsidRDefault="001D52BA" w:rsidP="001A4605">
      <w:pPr>
        <w:pStyle w:val="ListParagraph"/>
        <w:numPr>
          <w:ilvl w:val="2"/>
          <w:numId w:val="5"/>
        </w:numPr>
        <w:rPr>
          <w:lang w:val="en-GB"/>
        </w:rPr>
      </w:pPr>
      <w:r>
        <w:rPr>
          <w:lang w:val="en-GB"/>
        </w:rPr>
        <w:t>Delta report contain</w:t>
      </w:r>
      <w:r w:rsidR="00503681">
        <w:rPr>
          <w:lang w:val="en-GB"/>
        </w:rPr>
        <w:t>s</w:t>
      </w:r>
      <w:r>
        <w:rPr>
          <w:lang w:val="en-GB"/>
        </w:rPr>
        <w:t xml:space="preserve"> all modification requests that were </w:t>
      </w:r>
      <w:r w:rsidR="00352C8D">
        <w:rPr>
          <w:lang w:val="en-GB"/>
        </w:rPr>
        <w:t>executed since the generation of the previous report</w:t>
      </w:r>
      <w:r>
        <w:rPr>
          <w:lang w:val="en-GB"/>
        </w:rPr>
        <w:t xml:space="preserve"> for executed modifications</w:t>
      </w:r>
      <w:r w:rsidR="00325DBA">
        <w:rPr>
          <w:lang w:val="en-GB"/>
        </w:rPr>
        <w:t>,</w:t>
      </w:r>
      <w:r w:rsidR="00503681">
        <w:rPr>
          <w:lang w:val="en-GB"/>
        </w:rPr>
        <w:t xml:space="preserve"> if any</w:t>
      </w:r>
      <w:r w:rsidR="00764679">
        <w:rPr>
          <w:lang w:val="en-GB"/>
        </w:rPr>
        <w:t>.</w:t>
      </w:r>
    </w:p>
    <w:p w14:paraId="726085C3" w14:textId="77777777" w:rsidR="00352C8D" w:rsidRDefault="006D28D5" w:rsidP="001A4605">
      <w:pPr>
        <w:pStyle w:val="ListParagraph"/>
        <w:numPr>
          <w:ilvl w:val="2"/>
          <w:numId w:val="5"/>
        </w:numPr>
        <w:rPr>
          <w:lang w:val="en-GB"/>
        </w:rPr>
      </w:pPr>
      <w:r>
        <w:rPr>
          <w:lang w:val="en-GB"/>
        </w:rPr>
        <w:t>Complete</w:t>
      </w:r>
      <w:r w:rsidR="00352C8D">
        <w:rPr>
          <w:lang w:val="en-GB"/>
        </w:rPr>
        <w:t xml:space="preserve"> report always </w:t>
      </w:r>
      <w:r w:rsidR="00503681">
        <w:rPr>
          <w:lang w:val="en-GB"/>
        </w:rPr>
        <w:t xml:space="preserve">contains </w:t>
      </w:r>
      <w:r w:rsidR="001D52BA">
        <w:rPr>
          <w:lang w:val="en-GB"/>
        </w:rPr>
        <w:t xml:space="preserve">all </w:t>
      </w:r>
      <w:r w:rsidR="00352C8D">
        <w:rPr>
          <w:lang w:val="en-GB"/>
        </w:rPr>
        <w:t>modifications that were executed since the start of the current business day</w:t>
      </w:r>
      <w:r w:rsidR="00764679">
        <w:rPr>
          <w:lang w:val="en-GB"/>
        </w:rPr>
        <w:t>.</w:t>
      </w:r>
      <w:r w:rsidR="00352C8D">
        <w:rPr>
          <w:lang w:val="en-GB"/>
        </w:rPr>
        <w:t xml:space="preserve">   </w:t>
      </w:r>
    </w:p>
    <w:p w14:paraId="7BF86F5D" w14:textId="77777777" w:rsidR="00001ECA" w:rsidRDefault="00001ECA" w:rsidP="00001ECA">
      <w:pPr>
        <w:pStyle w:val="ListParagraph"/>
        <w:ind w:left="2160"/>
        <w:rPr>
          <w:lang w:val="en-GB"/>
        </w:rPr>
      </w:pPr>
    </w:p>
    <w:p w14:paraId="04D547C9" w14:textId="77777777" w:rsidR="00001ECA" w:rsidRPr="00716F50" w:rsidRDefault="00001ECA" w:rsidP="00001ECA">
      <w:pPr>
        <w:rPr>
          <w:b/>
          <w:lang w:val="en-GB"/>
        </w:rPr>
      </w:pPr>
      <w:r>
        <w:rPr>
          <w:b/>
          <w:lang w:val="en-GB"/>
        </w:rPr>
        <w:t>Business need</w:t>
      </w:r>
    </w:p>
    <w:p w14:paraId="052FAD62" w14:textId="77777777" w:rsidR="001E04FD" w:rsidRPr="00001ECA" w:rsidRDefault="001E04FD" w:rsidP="001E04FD">
      <w:pPr>
        <w:rPr>
          <w:lang w:val="en-GB"/>
        </w:rPr>
      </w:pPr>
      <w:r>
        <w:rPr>
          <w:lang w:val="en-GB"/>
        </w:rPr>
        <w:t>In general, delta reports are used to prevent duplicate reporting of modification requests, with each and every report generated throughout the business day decreasing reporting costs and reducing the required processing capacity.</w:t>
      </w:r>
    </w:p>
    <w:p w14:paraId="111B4765" w14:textId="77777777" w:rsidR="00001ECA" w:rsidRDefault="00001ECA" w:rsidP="00001ECA">
      <w:pPr>
        <w:rPr>
          <w:lang w:val="en-GB"/>
        </w:rPr>
      </w:pPr>
      <w:r>
        <w:rPr>
          <w:lang w:val="en-GB"/>
        </w:rPr>
        <w:t xml:space="preserve">This might be relevant for </w:t>
      </w:r>
      <w:r w:rsidR="003F5C55">
        <w:rPr>
          <w:lang w:val="en-GB"/>
        </w:rPr>
        <w:t>users of an SSS</w:t>
      </w:r>
      <w:r>
        <w:rPr>
          <w:lang w:val="en-GB"/>
        </w:rPr>
        <w:t xml:space="preserve"> in different contexts:</w:t>
      </w:r>
    </w:p>
    <w:p w14:paraId="5E8EA968" w14:textId="77777777" w:rsidR="00001ECA" w:rsidRDefault="00001ECA" w:rsidP="001A4605">
      <w:pPr>
        <w:pStyle w:val="ListParagraph"/>
        <w:numPr>
          <w:ilvl w:val="0"/>
          <w:numId w:val="12"/>
        </w:numPr>
        <w:rPr>
          <w:lang w:val="en-GB"/>
        </w:rPr>
      </w:pPr>
      <w:r w:rsidRPr="00587BC2">
        <w:rPr>
          <w:lang w:val="en-GB"/>
        </w:rPr>
        <w:t xml:space="preserve">For internal book keeping, some </w:t>
      </w:r>
      <w:r w:rsidR="003F5C55">
        <w:rPr>
          <w:lang w:val="en-GB"/>
        </w:rPr>
        <w:t>users</w:t>
      </w:r>
      <w:r w:rsidRPr="00587BC2">
        <w:rPr>
          <w:lang w:val="en-GB"/>
        </w:rPr>
        <w:t xml:space="preserve"> may rely on statements rather than on real-time messages. Intra-day reporting would be relevant to inform these actors about the current status of their settlement activities throughout the day. </w:t>
      </w:r>
    </w:p>
    <w:p w14:paraId="2205F212" w14:textId="114C183A" w:rsidR="00325DBA" w:rsidRPr="00E543EF" w:rsidRDefault="00325DBA" w:rsidP="00325DBA">
      <w:pPr>
        <w:pStyle w:val="ListParagraph"/>
        <w:numPr>
          <w:ilvl w:val="0"/>
          <w:numId w:val="12"/>
        </w:numPr>
        <w:rPr>
          <w:lang w:val="en-GB"/>
        </w:rPr>
      </w:pPr>
      <w:r w:rsidRPr="00F56B73">
        <w:rPr>
          <w:lang w:val="en-GB"/>
        </w:rPr>
        <w:t xml:space="preserve">For information on the latest attribute values of a </w:t>
      </w:r>
      <w:r>
        <w:rPr>
          <w:lang w:val="en-GB"/>
        </w:rPr>
        <w:t xml:space="preserve">modified </w:t>
      </w:r>
      <w:r>
        <w:t xml:space="preserve">instruction to impact a securities </w:t>
      </w:r>
      <w:r w:rsidR="00BA266A">
        <w:t xml:space="preserve">position </w:t>
      </w:r>
      <w:r>
        <w:t xml:space="preserve">or cash </w:t>
      </w:r>
      <w:r w:rsidR="00BA266A">
        <w:t>balance.</w:t>
      </w:r>
    </w:p>
    <w:p w14:paraId="5924569B" w14:textId="77777777" w:rsidR="00001ECA" w:rsidRDefault="00001ECA" w:rsidP="00001ECA">
      <w:pPr>
        <w:pStyle w:val="ListParagraph"/>
        <w:ind w:left="2160"/>
        <w:rPr>
          <w:lang w:val="en-GB"/>
        </w:rPr>
      </w:pPr>
    </w:p>
    <w:p w14:paraId="621B6FBE" w14:textId="77777777" w:rsidR="00001ECA" w:rsidRDefault="00001ECA" w:rsidP="00001ECA">
      <w:pPr>
        <w:pStyle w:val="Heading2"/>
        <w:rPr>
          <w:lang w:val="en-GB"/>
        </w:rPr>
      </w:pPr>
      <w:bookmarkStart w:id="11" w:name="_Toc491159110"/>
      <w:r>
        <w:rPr>
          <w:lang w:val="en-GB"/>
        </w:rPr>
        <w:t xml:space="preserve">Cancellation </w:t>
      </w:r>
      <w:r w:rsidRPr="00B25E91">
        <w:rPr>
          <w:lang w:val="en-GB"/>
        </w:rPr>
        <w:t>Report</w:t>
      </w:r>
      <w:bookmarkEnd w:id="11"/>
    </w:p>
    <w:p w14:paraId="519ABA64" w14:textId="77777777" w:rsidR="003A52F2" w:rsidRPr="00001ECA" w:rsidRDefault="0046661E" w:rsidP="00001ECA">
      <w:pPr>
        <w:rPr>
          <w:b/>
          <w:lang w:val="en-GB"/>
        </w:rPr>
      </w:pPr>
      <w:proofErr w:type="spellStart"/>
      <w:r w:rsidRPr="0046661E">
        <w:rPr>
          <w:b/>
          <w:lang w:val="en-GB"/>
        </w:rPr>
        <w:t>SecuritiesTransactionCancellationRequestReport</w:t>
      </w:r>
      <w:proofErr w:type="spellEnd"/>
      <w:r>
        <w:rPr>
          <w:b/>
          <w:lang w:val="en-GB"/>
        </w:rPr>
        <w:t xml:space="preserve"> </w:t>
      </w:r>
      <w:r w:rsidR="00001ECA" w:rsidRPr="00001ECA">
        <w:rPr>
          <w:b/>
          <w:lang w:val="en-GB"/>
        </w:rPr>
        <w:t>semt.033*</w:t>
      </w:r>
      <w:r>
        <w:rPr>
          <w:b/>
          <w:lang w:val="en-GB"/>
        </w:rPr>
        <w:t xml:space="preserve"> and</w:t>
      </w:r>
      <w:r w:rsidR="00001ECA" w:rsidRPr="00001ECA">
        <w:rPr>
          <w:b/>
          <w:lang w:val="en-GB"/>
        </w:rPr>
        <w:t xml:space="preserve"> </w:t>
      </w:r>
      <w:proofErr w:type="spellStart"/>
      <w:r w:rsidRPr="0046661E">
        <w:rPr>
          <w:b/>
          <w:lang w:val="en-GB"/>
        </w:rPr>
        <w:t>IntraBalanceMovementCancellation</w:t>
      </w:r>
      <w:proofErr w:type="spellEnd"/>
      <w:r>
        <w:rPr>
          <w:b/>
          <w:lang w:val="en-GB"/>
        </w:rPr>
        <w:t xml:space="preserve"> </w:t>
      </w:r>
      <w:r w:rsidRPr="0046661E">
        <w:rPr>
          <w:b/>
          <w:lang w:val="en-GB"/>
        </w:rPr>
        <w:t>Report</w:t>
      </w:r>
      <w:r>
        <w:rPr>
          <w:b/>
          <w:lang w:val="en-GB"/>
        </w:rPr>
        <w:t xml:space="preserve"> </w:t>
      </w:r>
      <w:r w:rsidR="00001ECA" w:rsidRPr="00001ECA">
        <w:rPr>
          <w:b/>
          <w:lang w:val="en-GB"/>
        </w:rPr>
        <w:t>camt.083*</w:t>
      </w:r>
      <w:r w:rsidR="00EB779C" w:rsidRPr="00EB779C">
        <w:rPr>
          <w:rStyle w:val="FootnoteReference"/>
          <w:b/>
          <w:color w:val="FFFFFF" w:themeColor="background1"/>
          <w:lang w:val="en-GB"/>
        </w:rPr>
        <w:footnoteReference w:id="4"/>
      </w:r>
    </w:p>
    <w:p w14:paraId="37ED7D86" w14:textId="48A35F20" w:rsidR="0046661E" w:rsidRDefault="0046661E" w:rsidP="001E04FD">
      <w:pPr>
        <w:rPr>
          <w:lang w:val="en-GB"/>
        </w:rPr>
      </w:pPr>
      <w:r>
        <w:rPr>
          <w:lang w:val="en-GB"/>
        </w:rPr>
        <w:t xml:space="preserve">Each of these reports </w:t>
      </w:r>
      <w:r w:rsidR="003F5C55">
        <w:rPr>
          <w:lang w:val="en-GB"/>
        </w:rPr>
        <w:t>may be</w:t>
      </w:r>
      <w:r>
        <w:rPr>
          <w:lang w:val="en-GB"/>
        </w:rPr>
        <w:t xml:space="preserve"> divided into two sub-reports, which </w:t>
      </w:r>
      <w:r w:rsidR="00503681">
        <w:rPr>
          <w:lang w:val="en-GB"/>
        </w:rPr>
        <w:t xml:space="preserve">can </w:t>
      </w:r>
      <w:r>
        <w:rPr>
          <w:lang w:val="en-GB"/>
        </w:rPr>
        <w:t>be generated and distributed separately, depending on the configuration</w:t>
      </w:r>
      <w:r w:rsidR="003F5C55">
        <w:rPr>
          <w:lang w:val="en-GB"/>
        </w:rPr>
        <w:t xml:space="preserve"> and SSS</w:t>
      </w:r>
      <w:r>
        <w:rPr>
          <w:lang w:val="en-GB"/>
        </w:rPr>
        <w:t xml:space="preserve">; version that contains all pending requests and version that contains all executed requests. Pending cancellation requests will mainly occur in situations where bilateral cancellation is required and the counterparty has not yet </w:t>
      </w:r>
      <w:r w:rsidR="00BA266A">
        <w:rPr>
          <w:lang w:val="en-GB"/>
        </w:rPr>
        <w:t xml:space="preserve">instructed its </w:t>
      </w:r>
      <w:r>
        <w:rPr>
          <w:lang w:val="en-GB"/>
        </w:rPr>
        <w:t>cancellation request</w:t>
      </w:r>
      <w:r w:rsidR="003F5C55">
        <w:rPr>
          <w:lang w:val="en-GB"/>
        </w:rPr>
        <w:t>, but depending on the SSS there might also be other cases possible</w:t>
      </w:r>
      <w:r>
        <w:rPr>
          <w:lang w:val="en-GB"/>
        </w:rPr>
        <w:t xml:space="preserve">. </w:t>
      </w:r>
    </w:p>
    <w:p w14:paraId="2CF54670" w14:textId="77777777" w:rsidR="00587BC2" w:rsidRPr="001E04FD" w:rsidRDefault="00587BC2" w:rsidP="001E04FD">
      <w:pPr>
        <w:rPr>
          <w:lang w:val="en-GB"/>
        </w:rPr>
      </w:pPr>
      <w:r w:rsidRPr="001E04FD">
        <w:rPr>
          <w:lang w:val="en-GB"/>
        </w:rPr>
        <w:t xml:space="preserve">Settlement instructions and intra-position movements would be included in the same report, </w:t>
      </w:r>
      <w:r w:rsidR="00503681" w:rsidRPr="001E04FD">
        <w:rPr>
          <w:lang w:val="en-GB"/>
        </w:rPr>
        <w:t>while</w:t>
      </w:r>
      <w:r w:rsidRPr="001E04FD">
        <w:rPr>
          <w:lang w:val="en-GB"/>
        </w:rPr>
        <w:t xml:space="preserve"> Intra-balance movements would be reported separately, </w:t>
      </w:r>
      <w:r w:rsidR="00503681" w:rsidRPr="001E04FD">
        <w:rPr>
          <w:lang w:val="en-GB"/>
        </w:rPr>
        <w:t>making use of the two new ISO20022 messages</w:t>
      </w:r>
      <w:r w:rsidRPr="001E04FD">
        <w:rPr>
          <w:lang w:val="en-GB"/>
        </w:rPr>
        <w:t xml:space="preserve">. </w:t>
      </w:r>
    </w:p>
    <w:p w14:paraId="589BF879" w14:textId="77777777" w:rsidR="0046661E" w:rsidRDefault="0046661E" w:rsidP="0046661E">
      <w:pPr>
        <w:pStyle w:val="ListParagraph"/>
        <w:rPr>
          <w:lang w:val="en-GB"/>
        </w:rPr>
      </w:pPr>
    </w:p>
    <w:p w14:paraId="7298263A" w14:textId="77777777" w:rsidR="0046661E" w:rsidRDefault="0046661E" w:rsidP="0046661E">
      <w:pPr>
        <w:pStyle w:val="Heading2"/>
        <w:numPr>
          <w:ilvl w:val="2"/>
          <w:numId w:val="3"/>
        </w:numPr>
        <w:rPr>
          <w:lang w:val="en-GB"/>
        </w:rPr>
      </w:pPr>
      <w:bookmarkStart w:id="12" w:name="_Toc491159111"/>
      <w:r>
        <w:rPr>
          <w:lang w:val="en-GB"/>
        </w:rPr>
        <w:t>Report of pending cancellation requests</w:t>
      </w:r>
      <w:bookmarkEnd w:id="12"/>
    </w:p>
    <w:p w14:paraId="51FF6AF7" w14:textId="77777777" w:rsidR="0046661E" w:rsidRDefault="0046661E" w:rsidP="001A4605">
      <w:pPr>
        <w:pStyle w:val="ListParagraph"/>
        <w:numPr>
          <w:ilvl w:val="1"/>
          <w:numId w:val="5"/>
        </w:numPr>
        <w:rPr>
          <w:lang w:val="en-GB"/>
        </w:rPr>
      </w:pPr>
      <w:r>
        <w:rPr>
          <w:lang w:val="en-GB"/>
        </w:rPr>
        <w:t xml:space="preserve">For the report of pending cancellation requests, the </w:t>
      </w:r>
      <w:r w:rsidRPr="001D52BA">
        <w:rPr>
          <w:lang w:val="en-GB"/>
        </w:rPr>
        <w:t xml:space="preserve">delta </w:t>
      </w:r>
      <w:r>
        <w:rPr>
          <w:lang w:val="en-GB"/>
        </w:rPr>
        <w:t>version</w:t>
      </w:r>
      <w:r w:rsidRPr="001D52BA">
        <w:rPr>
          <w:lang w:val="en-GB"/>
        </w:rPr>
        <w:t xml:space="preserve"> will </w:t>
      </w:r>
      <w:r w:rsidRPr="00764679">
        <w:rPr>
          <w:u w:val="single"/>
          <w:lang w:val="en-GB"/>
        </w:rPr>
        <w:t>in any case</w:t>
      </w:r>
      <w:r w:rsidRPr="001D52BA">
        <w:rPr>
          <w:lang w:val="en-GB"/>
        </w:rPr>
        <w:t xml:space="preserve"> (end-of-day and intra-day) </w:t>
      </w:r>
      <w:r w:rsidRPr="00764679">
        <w:rPr>
          <w:u w:val="single"/>
          <w:lang w:val="en-GB"/>
        </w:rPr>
        <w:t>have a different content</w:t>
      </w:r>
      <w:r w:rsidRPr="001D52BA">
        <w:rPr>
          <w:lang w:val="en-GB"/>
        </w:rPr>
        <w:t xml:space="preserve"> than the complete </w:t>
      </w:r>
      <w:r>
        <w:rPr>
          <w:lang w:val="en-GB"/>
        </w:rPr>
        <w:t>version.</w:t>
      </w:r>
    </w:p>
    <w:p w14:paraId="4EB77526" w14:textId="76017EA9" w:rsidR="003B3433" w:rsidRDefault="0046661E" w:rsidP="003B3433">
      <w:pPr>
        <w:pStyle w:val="ListParagraph"/>
        <w:numPr>
          <w:ilvl w:val="2"/>
          <w:numId w:val="5"/>
        </w:numPr>
        <w:rPr>
          <w:lang w:val="en-GB"/>
        </w:rPr>
      </w:pPr>
      <w:r>
        <w:rPr>
          <w:lang w:val="en-GB"/>
        </w:rPr>
        <w:lastRenderedPageBreak/>
        <w:t xml:space="preserve">The delta report </w:t>
      </w:r>
      <w:r w:rsidR="00325DBA">
        <w:rPr>
          <w:lang w:val="en-GB"/>
        </w:rPr>
        <w:t>contains</w:t>
      </w:r>
      <w:r>
        <w:rPr>
          <w:lang w:val="en-GB"/>
        </w:rPr>
        <w:t xml:space="preserve"> all newly submitted cancellation requests which were accepted by </w:t>
      </w:r>
      <w:r w:rsidR="00503681">
        <w:rPr>
          <w:lang w:val="en-GB"/>
        </w:rPr>
        <w:t xml:space="preserve">the settlement system </w:t>
      </w:r>
      <w:r>
        <w:rPr>
          <w:lang w:val="en-GB"/>
        </w:rPr>
        <w:t>since the start of the business day or since the generation of the previous report (delta or complete) but which were not yet executed</w:t>
      </w:r>
      <w:r w:rsidR="00325DBA">
        <w:rPr>
          <w:lang w:val="en-GB"/>
        </w:rPr>
        <w:t>,</w:t>
      </w:r>
      <w:r w:rsidR="00503681">
        <w:rPr>
          <w:lang w:val="en-GB"/>
        </w:rPr>
        <w:t xml:space="preserve"> if any</w:t>
      </w:r>
      <w:r>
        <w:rPr>
          <w:lang w:val="en-GB"/>
        </w:rPr>
        <w:t xml:space="preserve">. In addition it </w:t>
      </w:r>
      <w:r w:rsidR="00503681">
        <w:rPr>
          <w:lang w:val="en-GB"/>
        </w:rPr>
        <w:t xml:space="preserve">will </w:t>
      </w:r>
      <w:r>
        <w:rPr>
          <w:lang w:val="en-GB"/>
        </w:rPr>
        <w:t xml:space="preserve">report all cancellation requests that were reported as pending in one of the </w:t>
      </w:r>
      <w:r w:rsidR="003B3433">
        <w:rPr>
          <w:lang w:val="en-GB"/>
        </w:rPr>
        <w:t xml:space="preserve">previously received statements on that business day and which were cancelled by </w:t>
      </w:r>
      <w:r w:rsidR="00325DBA">
        <w:rPr>
          <w:lang w:val="en-GB"/>
        </w:rPr>
        <w:t>the system</w:t>
      </w:r>
      <w:r w:rsidR="003B3433">
        <w:rPr>
          <w:lang w:val="en-GB"/>
        </w:rPr>
        <w:t xml:space="preserve"> in the meantime. </w:t>
      </w:r>
      <w:r w:rsidR="009A30A2">
        <w:rPr>
          <w:lang w:val="en-GB"/>
        </w:rPr>
        <w:t>Cancellation requests that were previously reported as pending, but were executed in the meantime, will not be included in the delta report of pending cancellation requests. Such executed requests will only be included in the report of executed cancellation requests (both delta and complete)</w:t>
      </w:r>
    </w:p>
    <w:p w14:paraId="6F161076" w14:textId="77777777" w:rsidR="0046661E" w:rsidRPr="001D52BA" w:rsidRDefault="0046661E" w:rsidP="001A4605">
      <w:pPr>
        <w:pStyle w:val="ListParagraph"/>
        <w:numPr>
          <w:ilvl w:val="2"/>
          <w:numId w:val="5"/>
        </w:numPr>
        <w:rPr>
          <w:lang w:val="en-GB"/>
        </w:rPr>
      </w:pPr>
      <w:r>
        <w:rPr>
          <w:lang w:val="en-GB"/>
        </w:rPr>
        <w:t>The c</w:t>
      </w:r>
      <w:r w:rsidRPr="001D52BA">
        <w:rPr>
          <w:lang w:val="en-GB"/>
        </w:rPr>
        <w:t xml:space="preserve">omplete report would always report all </w:t>
      </w:r>
      <w:r>
        <w:rPr>
          <w:lang w:val="en-GB"/>
        </w:rPr>
        <w:t>cancellation</w:t>
      </w:r>
      <w:r w:rsidRPr="001D52BA">
        <w:rPr>
          <w:lang w:val="en-GB"/>
        </w:rPr>
        <w:t xml:space="preserve"> requests that are pending in the</w:t>
      </w:r>
      <w:r w:rsidR="003B3433">
        <w:rPr>
          <w:lang w:val="en-GB"/>
        </w:rPr>
        <w:t xml:space="preserve"> settlement</w:t>
      </w:r>
      <w:r w:rsidRPr="001D52BA">
        <w:rPr>
          <w:lang w:val="en-GB"/>
        </w:rPr>
        <w:t xml:space="preserve"> system </w:t>
      </w:r>
    </w:p>
    <w:p w14:paraId="3C828105" w14:textId="77777777" w:rsidR="0046661E" w:rsidRDefault="0046661E" w:rsidP="0046661E">
      <w:pPr>
        <w:pStyle w:val="ListParagraph"/>
        <w:rPr>
          <w:lang w:val="en-GB"/>
        </w:rPr>
      </w:pPr>
    </w:p>
    <w:p w14:paraId="759C63EC" w14:textId="77777777" w:rsidR="0046661E" w:rsidRDefault="0046661E" w:rsidP="0046661E">
      <w:pPr>
        <w:pStyle w:val="Heading2"/>
        <w:numPr>
          <w:ilvl w:val="2"/>
          <w:numId w:val="3"/>
        </w:numPr>
        <w:rPr>
          <w:lang w:val="en-GB"/>
        </w:rPr>
      </w:pPr>
      <w:bookmarkStart w:id="13" w:name="_Toc491159112"/>
      <w:r>
        <w:rPr>
          <w:lang w:val="en-GB"/>
        </w:rPr>
        <w:t>Report of executed cancellation requests</w:t>
      </w:r>
      <w:bookmarkEnd w:id="13"/>
    </w:p>
    <w:p w14:paraId="0BB23D0A" w14:textId="77777777" w:rsidR="0046661E" w:rsidRPr="003B3433" w:rsidRDefault="003B3433" w:rsidP="001A4605">
      <w:pPr>
        <w:pStyle w:val="ListParagraph"/>
        <w:numPr>
          <w:ilvl w:val="1"/>
          <w:numId w:val="5"/>
        </w:numPr>
        <w:rPr>
          <w:lang w:val="en-GB"/>
        </w:rPr>
      </w:pPr>
      <w:r w:rsidRPr="003B3433">
        <w:rPr>
          <w:lang w:val="en-GB"/>
        </w:rPr>
        <w:t xml:space="preserve">The first delta report received during the day would </w:t>
      </w:r>
      <w:r>
        <w:t xml:space="preserve">contain the same data as the complete report. </w:t>
      </w:r>
      <w:r w:rsidR="0046661E" w:rsidRPr="003B3433">
        <w:rPr>
          <w:lang w:val="en-GB"/>
        </w:rPr>
        <w:t>It contain</w:t>
      </w:r>
      <w:r>
        <w:rPr>
          <w:lang w:val="en-GB"/>
        </w:rPr>
        <w:t>s</w:t>
      </w:r>
      <w:r w:rsidR="0046661E" w:rsidRPr="003B3433">
        <w:rPr>
          <w:lang w:val="en-GB"/>
        </w:rPr>
        <w:t xml:space="preserve"> all cancellation requests which were executed since the start of the business day</w:t>
      </w:r>
      <w:r w:rsidR="00325DBA">
        <w:rPr>
          <w:lang w:val="en-GB"/>
        </w:rPr>
        <w:t>,</w:t>
      </w:r>
      <w:r>
        <w:rPr>
          <w:lang w:val="en-GB"/>
        </w:rPr>
        <w:t xml:space="preserve"> if any</w:t>
      </w:r>
      <w:r w:rsidR="0046661E" w:rsidRPr="003B3433">
        <w:rPr>
          <w:lang w:val="en-GB"/>
        </w:rPr>
        <w:t>.</w:t>
      </w:r>
    </w:p>
    <w:p w14:paraId="4FDC561D" w14:textId="77777777" w:rsidR="0046661E" w:rsidRDefault="0046661E" w:rsidP="001A4605">
      <w:pPr>
        <w:pStyle w:val="ListParagraph"/>
        <w:numPr>
          <w:ilvl w:val="1"/>
          <w:numId w:val="5"/>
        </w:numPr>
        <w:rPr>
          <w:lang w:val="en-GB"/>
        </w:rPr>
      </w:pPr>
      <w:r>
        <w:rPr>
          <w:lang w:val="en-GB"/>
        </w:rPr>
        <w:t>Any subsequent report would be different depending on the report type</w:t>
      </w:r>
    </w:p>
    <w:p w14:paraId="52E07A30" w14:textId="77777777" w:rsidR="0046661E" w:rsidRDefault="0046661E" w:rsidP="001A4605">
      <w:pPr>
        <w:pStyle w:val="ListParagraph"/>
        <w:numPr>
          <w:ilvl w:val="2"/>
          <w:numId w:val="5"/>
        </w:numPr>
        <w:rPr>
          <w:lang w:val="en-GB"/>
        </w:rPr>
      </w:pPr>
      <w:r>
        <w:rPr>
          <w:lang w:val="en-GB"/>
        </w:rPr>
        <w:t>Delta report would contain all cancellation requests that were executed since the generation of the previous report for executed cancellations</w:t>
      </w:r>
      <w:r w:rsidR="00764679">
        <w:rPr>
          <w:lang w:val="en-GB"/>
        </w:rPr>
        <w:t>, if any</w:t>
      </w:r>
      <w:r w:rsidR="00764679" w:rsidRPr="003B3433">
        <w:rPr>
          <w:lang w:val="en-GB"/>
        </w:rPr>
        <w:t>.</w:t>
      </w:r>
    </w:p>
    <w:p w14:paraId="08BC739C" w14:textId="77777777" w:rsidR="0046661E" w:rsidRDefault="0046661E" w:rsidP="001A4605">
      <w:pPr>
        <w:pStyle w:val="ListParagraph"/>
        <w:numPr>
          <w:ilvl w:val="2"/>
          <w:numId w:val="5"/>
        </w:numPr>
        <w:rPr>
          <w:lang w:val="en-GB"/>
        </w:rPr>
      </w:pPr>
      <w:r>
        <w:rPr>
          <w:lang w:val="en-GB"/>
        </w:rPr>
        <w:t>Complete report would always report all cancellations that were executed since the start of the current business day</w:t>
      </w:r>
      <w:r w:rsidR="00764679">
        <w:rPr>
          <w:lang w:val="en-GB"/>
        </w:rPr>
        <w:t>.</w:t>
      </w:r>
      <w:r>
        <w:rPr>
          <w:lang w:val="en-GB"/>
        </w:rPr>
        <w:t xml:space="preserve">   </w:t>
      </w:r>
    </w:p>
    <w:p w14:paraId="40ABD7ED" w14:textId="77777777" w:rsidR="0046661E" w:rsidRDefault="0046661E" w:rsidP="0046661E">
      <w:pPr>
        <w:pStyle w:val="ListParagraph"/>
        <w:ind w:left="2160"/>
        <w:rPr>
          <w:lang w:val="en-GB"/>
        </w:rPr>
      </w:pPr>
    </w:p>
    <w:p w14:paraId="1B87780A" w14:textId="77777777" w:rsidR="0046661E" w:rsidRPr="00716F50" w:rsidRDefault="0046661E" w:rsidP="0046661E">
      <w:pPr>
        <w:rPr>
          <w:b/>
          <w:lang w:val="en-GB"/>
        </w:rPr>
      </w:pPr>
      <w:r>
        <w:rPr>
          <w:b/>
          <w:lang w:val="en-GB"/>
        </w:rPr>
        <w:t>Business need</w:t>
      </w:r>
    </w:p>
    <w:p w14:paraId="3714E26A" w14:textId="77777777" w:rsidR="001E04FD" w:rsidRPr="00001ECA" w:rsidRDefault="001E04FD" w:rsidP="001E04FD">
      <w:pPr>
        <w:rPr>
          <w:lang w:val="en-GB"/>
        </w:rPr>
      </w:pPr>
      <w:r>
        <w:rPr>
          <w:lang w:val="en-GB"/>
        </w:rPr>
        <w:t>In general, delta reports are used to prevent duplicate reporting of cancellation requests, with each and every report generated throughout the business day decreasing reporting costs and reducing the required processing capacity.</w:t>
      </w:r>
    </w:p>
    <w:p w14:paraId="373EBAA0" w14:textId="77777777" w:rsidR="003F5C55" w:rsidRDefault="003F5C55" w:rsidP="003F5C55">
      <w:pPr>
        <w:rPr>
          <w:lang w:val="en-GB"/>
        </w:rPr>
      </w:pPr>
      <w:r>
        <w:rPr>
          <w:lang w:val="en-GB"/>
        </w:rPr>
        <w:t>This might be relevant for users of an SSS in different contexts:</w:t>
      </w:r>
    </w:p>
    <w:p w14:paraId="7C8A55DA" w14:textId="77777777" w:rsidR="003F5C55" w:rsidRDefault="003F5C55" w:rsidP="003F5C55">
      <w:pPr>
        <w:pStyle w:val="ListParagraph"/>
        <w:numPr>
          <w:ilvl w:val="0"/>
          <w:numId w:val="12"/>
        </w:numPr>
        <w:rPr>
          <w:lang w:val="en-GB"/>
        </w:rPr>
      </w:pPr>
      <w:r w:rsidRPr="00587BC2">
        <w:rPr>
          <w:lang w:val="en-GB"/>
        </w:rPr>
        <w:t xml:space="preserve">For internal book keeping, some </w:t>
      </w:r>
      <w:r>
        <w:rPr>
          <w:lang w:val="en-GB"/>
        </w:rPr>
        <w:t>users</w:t>
      </w:r>
      <w:r w:rsidRPr="00587BC2">
        <w:rPr>
          <w:lang w:val="en-GB"/>
        </w:rPr>
        <w:t xml:space="preserve"> may rely on statements rather than on real-time messages. Intra-day reporting would be relevant to inform these actors about the current status of their settlement activities throughout the day. </w:t>
      </w:r>
    </w:p>
    <w:p w14:paraId="620C8235" w14:textId="3E853A5F" w:rsidR="00F507F7" w:rsidRPr="00F56B73" w:rsidRDefault="003F5C55" w:rsidP="003F5C55">
      <w:pPr>
        <w:pStyle w:val="ListParagraph"/>
        <w:numPr>
          <w:ilvl w:val="0"/>
          <w:numId w:val="12"/>
        </w:numPr>
        <w:rPr>
          <w:lang w:val="en-GB"/>
        </w:rPr>
      </w:pPr>
      <w:r w:rsidRPr="00F56B73">
        <w:rPr>
          <w:lang w:val="en-GB"/>
        </w:rPr>
        <w:t xml:space="preserve">For information on the latest attribute values of a </w:t>
      </w:r>
      <w:r>
        <w:rPr>
          <w:lang w:val="en-GB"/>
        </w:rPr>
        <w:t xml:space="preserve">modified </w:t>
      </w:r>
      <w:r>
        <w:t>instruction to impact a securities</w:t>
      </w:r>
      <w:r w:rsidR="00BA266A">
        <w:t xml:space="preserve"> position</w:t>
      </w:r>
      <w:r>
        <w:t xml:space="preserve"> or cash </w:t>
      </w:r>
      <w:r w:rsidR="00BA266A">
        <w:t>balance.</w:t>
      </w:r>
    </w:p>
    <w:p w14:paraId="14EC0865" w14:textId="77777777" w:rsidR="0046661E" w:rsidRDefault="0046661E" w:rsidP="00981D37">
      <w:pPr>
        <w:rPr>
          <w:lang w:val="en-GB"/>
        </w:rPr>
      </w:pPr>
    </w:p>
    <w:p w14:paraId="3E0AB5B3" w14:textId="77777777" w:rsidR="00EB779C" w:rsidRDefault="00EB779C" w:rsidP="00EB779C">
      <w:pPr>
        <w:pStyle w:val="Heading2"/>
        <w:rPr>
          <w:lang w:val="en-GB"/>
        </w:rPr>
      </w:pPr>
      <w:bookmarkStart w:id="14" w:name="_Toc491159113"/>
      <w:r>
        <w:rPr>
          <w:lang w:val="en-GB"/>
        </w:rPr>
        <w:t xml:space="preserve">Pending </w:t>
      </w:r>
      <w:r w:rsidRPr="00B25E91">
        <w:rPr>
          <w:lang w:val="en-GB"/>
        </w:rPr>
        <w:t>Report</w:t>
      </w:r>
      <w:bookmarkEnd w:id="14"/>
    </w:p>
    <w:p w14:paraId="3BE977E8" w14:textId="77777777" w:rsidR="00EB779C" w:rsidRPr="00001ECA" w:rsidRDefault="00EB779C" w:rsidP="00EB779C">
      <w:pPr>
        <w:rPr>
          <w:b/>
          <w:lang w:val="en-GB"/>
        </w:rPr>
      </w:pPr>
      <w:proofErr w:type="spellStart"/>
      <w:r w:rsidRPr="00EB779C">
        <w:rPr>
          <w:b/>
          <w:lang w:val="en-GB"/>
        </w:rPr>
        <w:t>SecuritiesTransactionPendingReport</w:t>
      </w:r>
      <w:proofErr w:type="spellEnd"/>
      <w:r>
        <w:rPr>
          <w:b/>
          <w:lang w:val="en-GB"/>
        </w:rPr>
        <w:t xml:space="preserve"> </w:t>
      </w:r>
      <w:r w:rsidRPr="00EB779C">
        <w:rPr>
          <w:b/>
          <w:lang w:val="en-GB"/>
        </w:rPr>
        <w:t xml:space="preserve">semt.018, </w:t>
      </w:r>
      <w:proofErr w:type="spellStart"/>
      <w:r w:rsidRPr="00EB779C">
        <w:rPr>
          <w:b/>
          <w:lang w:val="en-GB"/>
        </w:rPr>
        <w:t>IntraPositionMovementPendingReport</w:t>
      </w:r>
      <w:proofErr w:type="spellEnd"/>
      <w:r>
        <w:rPr>
          <w:b/>
          <w:lang w:val="en-GB"/>
        </w:rPr>
        <w:t xml:space="preserve"> </w:t>
      </w:r>
      <w:r w:rsidRPr="00EB779C">
        <w:rPr>
          <w:b/>
          <w:lang w:val="en-GB"/>
        </w:rPr>
        <w:t>semt.034*</w:t>
      </w:r>
      <w:r>
        <w:rPr>
          <w:b/>
          <w:lang w:val="en-GB"/>
        </w:rPr>
        <w:t xml:space="preserve"> and</w:t>
      </w:r>
      <w:r w:rsidRPr="00001ECA">
        <w:rPr>
          <w:b/>
          <w:lang w:val="en-GB"/>
        </w:rPr>
        <w:t xml:space="preserve"> </w:t>
      </w:r>
      <w:proofErr w:type="spellStart"/>
      <w:r w:rsidRPr="00EB779C">
        <w:rPr>
          <w:b/>
          <w:lang w:val="en-GB"/>
        </w:rPr>
        <w:t>IntraBalanceMovementPendingReport</w:t>
      </w:r>
      <w:proofErr w:type="spellEnd"/>
      <w:r>
        <w:rPr>
          <w:b/>
          <w:lang w:val="en-GB"/>
        </w:rPr>
        <w:t xml:space="preserve"> </w:t>
      </w:r>
      <w:r w:rsidRPr="00001ECA">
        <w:rPr>
          <w:b/>
          <w:lang w:val="en-GB"/>
        </w:rPr>
        <w:t>camt.08</w:t>
      </w:r>
      <w:r>
        <w:rPr>
          <w:b/>
          <w:lang w:val="en-GB"/>
        </w:rPr>
        <w:t>5</w:t>
      </w:r>
      <w:r w:rsidRPr="00001ECA">
        <w:rPr>
          <w:b/>
          <w:lang w:val="en-GB"/>
        </w:rPr>
        <w:t>*</w:t>
      </w:r>
      <w:r w:rsidRPr="00EB779C">
        <w:rPr>
          <w:rStyle w:val="FootnoteReference"/>
          <w:b/>
          <w:color w:val="FFFFFF" w:themeColor="background1"/>
          <w:lang w:val="en-GB"/>
        </w:rPr>
        <w:footnoteReference w:id="5"/>
      </w:r>
    </w:p>
    <w:p w14:paraId="06A9DDFF" w14:textId="77777777" w:rsidR="00BF3CBB" w:rsidRPr="00764679" w:rsidRDefault="00BF3CBB" w:rsidP="00764679">
      <w:pPr>
        <w:pStyle w:val="ListParagraph"/>
        <w:numPr>
          <w:ilvl w:val="0"/>
          <w:numId w:val="15"/>
        </w:numPr>
        <w:ind w:left="1418" w:hanging="354"/>
        <w:rPr>
          <w:lang w:val="en-GB"/>
        </w:rPr>
      </w:pPr>
      <w:r w:rsidRPr="00764679">
        <w:rPr>
          <w:lang w:val="en-GB"/>
        </w:rPr>
        <w:t xml:space="preserve">For all three posting reports, delta version will </w:t>
      </w:r>
      <w:r w:rsidRPr="00764679">
        <w:rPr>
          <w:u w:val="single"/>
          <w:lang w:val="en-GB"/>
        </w:rPr>
        <w:t>in any case</w:t>
      </w:r>
      <w:r w:rsidRPr="00764679">
        <w:rPr>
          <w:lang w:val="en-GB"/>
        </w:rPr>
        <w:t xml:space="preserve"> (end-of-day and intra-day) </w:t>
      </w:r>
      <w:r w:rsidRPr="00764679">
        <w:rPr>
          <w:u w:val="single"/>
          <w:lang w:val="en-GB"/>
        </w:rPr>
        <w:t>have a different content</w:t>
      </w:r>
      <w:r w:rsidRPr="00764679">
        <w:rPr>
          <w:lang w:val="en-GB"/>
        </w:rPr>
        <w:t xml:space="preserve"> than the complete version</w:t>
      </w:r>
    </w:p>
    <w:p w14:paraId="3DB62387" w14:textId="32650238" w:rsidR="00BF3CBB" w:rsidRDefault="00BF3CBB" w:rsidP="00764679">
      <w:pPr>
        <w:pStyle w:val="ListParagraph"/>
        <w:numPr>
          <w:ilvl w:val="2"/>
          <w:numId w:val="5"/>
        </w:numPr>
        <w:rPr>
          <w:lang w:val="en-GB"/>
        </w:rPr>
      </w:pPr>
      <w:r>
        <w:rPr>
          <w:lang w:val="en-GB"/>
        </w:rPr>
        <w:t>The delta report will contain all pending instructions</w:t>
      </w:r>
      <w:r w:rsidR="00EB5092">
        <w:rPr>
          <w:lang w:val="en-GB"/>
        </w:rPr>
        <w:t>/movement requests</w:t>
      </w:r>
      <w:r>
        <w:rPr>
          <w:lang w:val="en-GB"/>
        </w:rPr>
        <w:t xml:space="preserve"> that were new, modified, cancelled or changed their status</w:t>
      </w:r>
      <w:r w:rsidR="00F92602">
        <w:rPr>
          <w:lang w:val="en-GB"/>
        </w:rPr>
        <w:t xml:space="preserve"> or reason code</w:t>
      </w:r>
      <w:r>
        <w:rPr>
          <w:lang w:val="en-GB"/>
        </w:rPr>
        <w:t xml:space="preserve"> since the generation of the last report or since the start of the business day</w:t>
      </w:r>
      <w:r w:rsidR="00764679">
        <w:rPr>
          <w:lang w:val="en-GB"/>
        </w:rPr>
        <w:t>,</w:t>
      </w:r>
      <w:r w:rsidR="003B3433">
        <w:rPr>
          <w:lang w:val="en-GB"/>
        </w:rPr>
        <w:t xml:space="preserve"> if any</w:t>
      </w:r>
      <w:r>
        <w:rPr>
          <w:lang w:val="en-GB"/>
        </w:rPr>
        <w:t>. It will not show instructions</w:t>
      </w:r>
      <w:r w:rsidR="00EB5092">
        <w:rPr>
          <w:lang w:val="en-GB"/>
        </w:rPr>
        <w:t>/movement requests</w:t>
      </w:r>
      <w:r>
        <w:rPr>
          <w:lang w:val="en-GB"/>
        </w:rPr>
        <w:t xml:space="preserve"> which have settled since the last report or SoD (no </w:t>
      </w:r>
      <w:r>
        <w:rPr>
          <w:lang w:val="en-GB"/>
        </w:rPr>
        <w:lastRenderedPageBreak/>
        <w:t>delta between ‘pending’ and ‘not pending anymore’) and will neither show pending instructions</w:t>
      </w:r>
      <w:r w:rsidR="00EB5092">
        <w:rPr>
          <w:lang w:val="en-GB"/>
        </w:rPr>
        <w:t>/movement requests</w:t>
      </w:r>
      <w:r>
        <w:rPr>
          <w:lang w:val="en-GB"/>
        </w:rPr>
        <w:t xml:space="preserve"> for which no modification or status</w:t>
      </w:r>
      <w:r w:rsidR="00F92602">
        <w:rPr>
          <w:lang w:val="en-GB"/>
        </w:rPr>
        <w:t>/reason code</w:t>
      </w:r>
      <w:r>
        <w:rPr>
          <w:lang w:val="en-GB"/>
        </w:rPr>
        <w:t xml:space="preserve"> change has happened.</w:t>
      </w:r>
    </w:p>
    <w:p w14:paraId="0F7DCC1C" w14:textId="77777777" w:rsidR="00BF3CBB" w:rsidRDefault="00BF3CBB" w:rsidP="00764679">
      <w:pPr>
        <w:pStyle w:val="ListParagraph"/>
        <w:numPr>
          <w:ilvl w:val="2"/>
          <w:numId w:val="5"/>
        </w:numPr>
        <w:rPr>
          <w:lang w:val="en-GB"/>
        </w:rPr>
      </w:pPr>
      <w:r>
        <w:rPr>
          <w:lang w:val="en-GB"/>
        </w:rPr>
        <w:t>The complete report will contain all instructions</w:t>
      </w:r>
      <w:r w:rsidR="00EB5092">
        <w:rPr>
          <w:lang w:val="en-GB"/>
        </w:rPr>
        <w:t>/movement requests</w:t>
      </w:r>
      <w:r>
        <w:rPr>
          <w:lang w:val="en-GB"/>
        </w:rPr>
        <w:t xml:space="preserve"> that are pending on the time of the report generation.</w:t>
      </w:r>
    </w:p>
    <w:p w14:paraId="680C0E62" w14:textId="77777777" w:rsidR="00BF3CBB" w:rsidRDefault="00BF3CBB" w:rsidP="00BF3CBB">
      <w:pPr>
        <w:pStyle w:val="ListParagraph"/>
        <w:ind w:left="2160"/>
        <w:rPr>
          <w:lang w:val="en-GB"/>
        </w:rPr>
      </w:pPr>
    </w:p>
    <w:p w14:paraId="3190B8FE" w14:textId="77777777" w:rsidR="00BF3CBB" w:rsidRDefault="00BF3CBB" w:rsidP="00BF3CBB">
      <w:pPr>
        <w:pStyle w:val="ListParagraph"/>
        <w:rPr>
          <w:lang w:val="en-GB"/>
        </w:rPr>
      </w:pPr>
    </w:p>
    <w:p w14:paraId="1815B7A0" w14:textId="77777777" w:rsidR="00BF3CBB" w:rsidRPr="00716F50" w:rsidRDefault="00BF3CBB" w:rsidP="00BF3CBB">
      <w:pPr>
        <w:rPr>
          <w:b/>
          <w:lang w:val="en-GB"/>
        </w:rPr>
      </w:pPr>
      <w:r>
        <w:rPr>
          <w:b/>
          <w:lang w:val="en-GB"/>
        </w:rPr>
        <w:t>Business need</w:t>
      </w:r>
    </w:p>
    <w:p w14:paraId="14323651" w14:textId="77777777" w:rsidR="001E04FD" w:rsidRPr="00001ECA" w:rsidRDefault="001E04FD" w:rsidP="001E04FD">
      <w:pPr>
        <w:rPr>
          <w:lang w:val="en-GB"/>
        </w:rPr>
      </w:pPr>
      <w:r>
        <w:rPr>
          <w:lang w:val="en-GB"/>
        </w:rPr>
        <w:t>In general, delta reports are used to prevent duplicate reporting of pending instructions and movement requests, decreasing reporting costs and reducing the required processing capacity.</w:t>
      </w:r>
    </w:p>
    <w:p w14:paraId="655A75F3" w14:textId="77777777" w:rsidR="00BF3CBB" w:rsidRDefault="00BF3CBB" w:rsidP="003F5C55">
      <w:pPr>
        <w:rPr>
          <w:lang w:val="en-GB"/>
        </w:rPr>
      </w:pPr>
      <w:r>
        <w:rPr>
          <w:lang w:val="en-GB"/>
        </w:rPr>
        <w:t xml:space="preserve">This might be relevant for </w:t>
      </w:r>
      <w:r w:rsidR="003F5C55">
        <w:rPr>
          <w:lang w:val="en-GB"/>
        </w:rPr>
        <w:t>users of an SSS</w:t>
      </w:r>
      <w:r>
        <w:rPr>
          <w:lang w:val="en-GB"/>
        </w:rPr>
        <w:t xml:space="preserve"> </w:t>
      </w:r>
      <w:r w:rsidR="003F5C55">
        <w:rPr>
          <w:lang w:val="en-GB"/>
        </w:rPr>
        <w:t>f</w:t>
      </w:r>
      <w:r>
        <w:rPr>
          <w:lang w:val="en-GB"/>
        </w:rPr>
        <w:t xml:space="preserve">or internal book keeping, </w:t>
      </w:r>
      <w:r w:rsidR="003F5C55">
        <w:rPr>
          <w:lang w:val="en-GB"/>
        </w:rPr>
        <w:t xml:space="preserve">as </w:t>
      </w:r>
      <w:r>
        <w:rPr>
          <w:lang w:val="en-GB"/>
        </w:rPr>
        <w:t xml:space="preserve">some </w:t>
      </w:r>
      <w:r w:rsidR="003F5C55">
        <w:rPr>
          <w:lang w:val="en-GB"/>
        </w:rPr>
        <w:t>user</w:t>
      </w:r>
      <w:r>
        <w:rPr>
          <w:lang w:val="en-GB"/>
        </w:rPr>
        <w:t>s may</w:t>
      </w:r>
      <w:r w:rsidRPr="00B404A1">
        <w:rPr>
          <w:lang w:val="en-GB"/>
        </w:rPr>
        <w:t xml:space="preserve"> rely on statements rather than on real-time messages</w:t>
      </w:r>
      <w:r>
        <w:rPr>
          <w:lang w:val="en-GB"/>
        </w:rPr>
        <w:t xml:space="preserve">. Intra-day reporting would be relevant to inform these </w:t>
      </w:r>
      <w:r w:rsidR="003F5C55">
        <w:rPr>
          <w:lang w:val="en-GB"/>
        </w:rPr>
        <w:t>users</w:t>
      </w:r>
      <w:r>
        <w:rPr>
          <w:lang w:val="en-GB"/>
        </w:rPr>
        <w:t xml:space="preserve"> about the current status of their settlement activities throughout the day.</w:t>
      </w:r>
      <w:r w:rsidRPr="00B404A1">
        <w:rPr>
          <w:lang w:val="en-GB"/>
        </w:rPr>
        <w:t xml:space="preserve"> </w:t>
      </w:r>
      <w:r>
        <w:rPr>
          <w:lang w:val="en-GB"/>
        </w:rPr>
        <w:t xml:space="preserve">Several times or business events could be considered to receive such reports, e.g. after each partial settlement window, or after the T2S </w:t>
      </w:r>
      <w:proofErr w:type="spellStart"/>
      <w:r>
        <w:rPr>
          <w:lang w:val="en-GB"/>
        </w:rPr>
        <w:t>DvP</w:t>
      </w:r>
      <w:proofErr w:type="spellEnd"/>
      <w:r>
        <w:rPr>
          <w:lang w:val="en-GB"/>
        </w:rPr>
        <w:t xml:space="preserve"> cut-off.</w:t>
      </w:r>
    </w:p>
    <w:p w14:paraId="5A6BD1C7" w14:textId="77777777" w:rsidR="00BF3CBB" w:rsidRDefault="00BF3CBB" w:rsidP="00981D37">
      <w:pPr>
        <w:rPr>
          <w:lang w:val="en-GB"/>
        </w:rPr>
      </w:pPr>
    </w:p>
    <w:p w14:paraId="755BABB6" w14:textId="77777777" w:rsidR="00F81B31" w:rsidRDefault="00F81B31" w:rsidP="00F81B31">
      <w:pPr>
        <w:pStyle w:val="Heading2"/>
        <w:rPr>
          <w:lang w:val="en-GB"/>
        </w:rPr>
      </w:pPr>
      <w:bookmarkStart w:id="15" w:name="_Toc491159114"/>
      <w:r>
        <w:rPr>
          <w:lang w:val="en-GB"/>
        </w:rPr>
        <w:t>Allegement Report</w:t>
      </w:r>
      <w:bookmarkEnd w:id="15"/>
    </w:p>
    <w:p w14:paraId="58D75EF3" w14:textId="77777777" w:rsidR="00F81B31" w:rsidRPr="00001ECA" w:rsidRDefault="00F81B31" w:rsidP="00F81B31">
      <w:pPr>
        <w:rPr>
          <w:b/>
          <w:lang w:val="en-GB"/>
        </w:rPr>
      </w:pPr>
      <w:proofErr w:type="spellStart"/>
      <w:r w:rsidRPr="00F81B31">
        <w:rPr>
          <w:b/>
          <w:lang w:val="en-GB"/>
        </w:rPr>
        <w:t>SecuritiesSettlementTransactionAllegementReport</w:t>
      </w:r>
      <w:proofErr w:type="spellEnd"/>
      <w:r>
        <w:rPr>
          <w:b/>
          <w:lang w:val="en-GB"/>
        </w:rPr>
        <w:t xml:space="preserve"> </w:t>
      </w:r>
      <w:r w:rsidRPr="00EB779C">
        <w:rPr>
          <w:b/>
          <w:lang w:val="en-GB"/>
        </w:rPr>
        <w:t>semt.01</w:t>
      </w:r>
      <w:r>
        <w:rPr>
          <w:b/>
          <w:lang w:val="en-GB"/>
        </w:rPr>
        <w:t>9</w:t>
      </w:r>
    </w:p>
    <w:p w14:paraId="5962779A" w14:textId="77777777" w:rsidR="00F81B31" w:rsidRDefault="00F81B31" w:rsidP="00F81B31">
      <w:pPr>
        <w:rPr>
          <w:lang w:val="en-GB"/>
        </w:rPr>
      </w:pPr>
      <w:r>
        <w:rPr>
          <w:lang w:val="en-GB"/>
        </w:rPr>
        <w:t xml:space="preserve">For the allegement report, delta version will </w:t>
      </w:r>
      <w:r w:rsidRPr="00997646">
        <w:rPr>
          <w:u w:val="single"/>
          <w:lang w:val="en-GB"/>
        </w:rPr>
        <w:t>in any case</w:t>
      </w:r>
      <w:r>
        <w:rPr>
          <w:lang w:val="en-GB"/>
        </w:rPr>
        <w:t xml:space="preserve"> (end-of-day and intra-day) </w:t>
      </w:r>
      <w:r w:rsidRPr="00997646">
        <w:rPr>
          <w:u w:val="single"/>
          <w:lang w:val="en-GB"/>
        </w:rPr>
        <w:t>have a different content</w:t>
      </w:r>
      <w:r>
        <w:rPr>
          <w:lang w:val="en-GB"/>
        </w:rPr>
        <w:t xml:space="preserve"> than the complete version</w:t>
      </w:r>
    </w:p>
    <w:p w14:paraId="31933B4B" w14:textId="77777777" w:rsidR="00152CA5" w:rsidRDefault="00F81B31" w:rsidP="00F81B31">
      <w:pPr>
        <w:pStyle w:val="ListParagraph"/>
        <w:numPr>
          <w:ilvl w:val="1"/>
          <w:numId w:val="5"/>
        </w:numPr>
        <w:rPr>
          <w:lang w:val="en-GB"/>
        </w:rPr>
      </w:pPr>
      <w:r>
        <w:rPr>
          <w:lang w:val="en-GB"/>
        </w:rPr>
        <w:t xml:space="preserve">The delta report will contain </w:t>
      </w:r>
      <w:r w:rsidR="00152CA5">
        <w:rPr>
          <w:lang w:val="en-GB"/>
        </w:rPr>
        <w:t>alleged settlement instructions, if one of the following conditions applied</w:t>
      </w:r>
      <w:r w:rsidR="00152CA5" w:rsidRPr="00152CA5">
        <w:rPr>
          <w:lang w:val="en-GB"/>
        </w:rPr>
        <w:t xml:space="preserve"> </w:t>
      </w:r>
      <w:r w:rsidR="00152CA5">
        <w:rPr>
          <w:lang w:val="en-GB"/>
        </w:rPr>
        <w:t xml:space="preserve">since the generation of the last report or since the start of the business day (the reporting period): </w:t>
      </w:r>
    </w:p>
    <w:p w14:paraId="785678BF" w14:textId="77777777" w:rsidR="00152CA5" w:rsidRDefault="00152CA5" w:rsidP="00152CA5">
      <w:pPr>
        <w:pStyle w:val="ListParagraph"/>
        <w:numPr>
          <w:ilvl w:val="2"/>
          <w:numId w:val="5"/>
        </w:numPr>
        <w:rPr>
          <w:lang w:val="en-GB"/>
        </w:rPr>
      </w:pPr>
      <w:r>
        <w:rPr>
          <w:lang w:val="en-GB"/>
        </w:rPr>
        <w:t>N</w:t>
      </w:r>
      <w:r w:rsidR="00F81B31">
        <w:rPr>
          <w:lang w:val="en-GB"/>
        </w:rPr>
        <w:t>ewly alleged settlement instructions</w:t>
      </w:r>
      <w:r w:rsidR="00764679">
        <w:rPr>
          <w:lang w:val="en-GB"/>
        </w:rPr>
        <w:t>, if any</w:t>
      </w:r>
    </w:p>
    <w:p w14:paraId="286322B0" w14:textId="77777777" w:rsidR="00152CA5" w:rsidRDefault="00152CA5" w:rsidP="00152CA5">
      <w:pPr>
        <w:pStyle w:val="ListParagraph"/>
        <w:numPr>
          <w:ilvl w:val="2"/>
          <w:numId w:val="5"/>
        </w:numPr>
        <w:rPr>
          <w:lang w:val="en-GB"/>
        </w:rPr>
      </w:pPr>
      <w:r>
        <w:rPr>
          <w:lang w:val="en-GB"/>
        </w:rPr>
        <w:t>S</w:t>
      </w:r>
      <w:r w:rsidR="00F81B31">
        <w:rPr>
          <w:lang w:val="en-GB"/>
        </w:rPr>
        <w:t xml:space="preserve">ettlement instructions for which </w:t>
      </w:r>
      <w:r>
        <w:rPr>
          <w:lang w:val="en-GB"/>
        </w:rPr>
        <w:t xml:space="preserve">an </w:t>
      </w:r>
      <w:r w:rsidR="00F81B31">
        <w:rPr>
          <w:lang w:val="en-GB"/>
        </w:rPr>
        <w:t>allegement was removed or cancelled</w:t>
      </w:r>
      <w:r w:rsidR="00764679">
        <w:rPr>
          <w:lang w:val="en-GB"/>
        </w:rPr>
        <w:t>, if any</w:t>
      </w:r>
      <w:r w:rsidR="00F81B31">
        <w:rPr>
          <w:lang w:val="en-GB"/>
        </w:rPr>
        <w:t xml:space="preserve">. </w:t>
      </w:r>
    </w:p>
    <w:p w14:paraId="7E36719B" w14:textId="77777777" w:rsidR="00764679" w:rsidRDefault="00152CA5" w:rsidP="00567640">
      <w:pPr>
        <w:pStyle w:val="ListParagraph"/>
        <w:ind w:left="1440"/>
        <w:rPr>
          <w:lang w:val="en-GB"/>
        </w:rPr>
      </w:pPr>
      <w:r>
        <w:rPr>
          <w:lang w:val="en-GB"/>
        </w:rPr>
        <w:t xml:space="preserve">The delta report </w:t>
      </w:r>
      <w:r w:rsidR="00F81B31" w:rsidRPr="00152CA5">
        <w:rPr>
          <w:lang w:val="en-GB"/>
        </w:rPr>
        <w:t xml:space="preserve">will not show alleged settlement instructions for which there was no change in the allegement status since the generation of the last report or the start of the business day. </w:t>
      </w:r>
    </w:p>
    <w:p w14:paraId="09B145F1" w14:textId="77777777" w:rsidR="00764679" w:rsidRPr="00764679" w:rsidRDefault="00764679" w:rsidP="00764679">
      <w:pPr>
        <w:pStyle w:val="ListParagraph"/>
        <w:numPr>
          <w:ilvl w:val="1"/>
          <w:numId w:val="5"/>
        </w:numPr>
        <w:rPr>
          <w:lang w:val="en-GB"/>
        </w:rPr>
      </w:pPr>
      <w:r w:rsidRPr="00764679">
        <w:rPr>
          <w:lang w:val="en-GB"/>
        </w:rPr>
        <w:t>The complete report will contain all alleged settlement instructions. It will not report settlement instructions for which allegement was removed or cancelled.</w:t>
      </w:r>
    </w:p>
    <w:p w14:paraId="70D4E120" w14:textId="77777777" w:rsidR="00764679" w:rsidRDefault="00764679" w:rsidP="00F81B31">
      <w:pPr>
        <w:rPr>
          <w:lang w:val="en-GB"/>
        </w:rPr>
      </w:pPr>
    </w:p>
    <w:p w14:paraId="31CD79C5" w14:textId="77777777" w:rsidR="00F81B31" w:rsidRPr="00716F50" w:rsidRDefault="00F81B31" w:rsidP="00F81B31">
      <w:pPr>
        <w:rPr>
          <w:b/>
          <w:lang w:val="en-GB"/>
        </w:rPr>
      </w:pPr>
      <w:r>
        <w:rPr>
          <w:b/>
          <w:lang w:val="en-GB"/>
        </w:rPr>
        <w:t>Business need</w:t>
      </w:r>
    </w:p>
    <w:p w14:paraId="32C538D5" w14:textId="77777777" w:rsidR="00764679" w:rsidRDefault="00764679" w:rsidP="00F81B31">
      <w:pPr>
        <w:rPr>
          <w:lang w:val="en-GB"/>
        </w:rPr>
      </w:pPr>
      <w:r>
        <w:rPr>
          <w:lang w:val="en-GB"/>
        </w:rPr>
        <w:t>In general, the delta report for allegements is used to prevent duplicate reporting of alleged instructions</w:t>
      </w:r>
      <w:r w:rsidRPr="00C25BF5">
        <w:rPr>
          <w:lang w:val="en-GB"/>
        </w:rPr>
        <w:t xml:space="preserve"> </w:t>
      </w:r>
      <w:r>
        <w:rPr>
          <w:lang w:val="en-GB"/>
        </w:rPr>
        <w:t>and increase level of information (removal and cancelled allegements), allowing more quality of information.</w:t>
      </w:r>
    </w:p>
    <w:p w14:paraId="53221B0B" w14:textId="77777777" w:rsidR="00F81B31" w:rsidRDefault="00F81B31" w:rsidP="00F81B31">
      <w:pPr>
        <w:rPr>
          <w:lang w:val="en-GB"/>
        </w:rPr>
      </w:pPr>
      <w:r>
        <w:rPr>
          <w:lang w:val="en-GB"/>
        </w:rPr>
        <w:t xml:space="preserve">This might be relevant for </w:t>
      </w:r>
      <w:r w:rsidR="003F5C55">
        <w:rPr>
          <w:lang w:val="en-GB"/>
        </w:rPr>
        <w:t>users of an SSS</w:t>
      </w:r>
      <w:r>
        <w:rPr>
          <w:lang w:val="en-GB"/>
        </w:rPr>
        <w:t xml:space="preserve"> in different contexts:</w:t>
      </w:r>
    </w:p>
    <w:p w14:paraId="5E7462C4" w14:textId="77777777" w:rsidR="00F81B31" w:rsidRDefault="00F81B31" w:rsidP="00F81B31">
      <w:pPr>
        <w:pStyle w:val="ListParagraph"/>
        <w:numPr>
          <w:ilvl w:val="0"/>
          <w:numId w:val="12"/>
        </w:numPr>
        <w:rPr>
          <w:lang w:val="en-GB"/>
        </w:rPr>
      </w:pPr>
      <w:r>
        <w:rPr>
          <w:lang w:val="en-GB"/>
        </w:rPr>
        <w:t xml:space="preserve">For internal book keeping, some </w:t>
      </w:r>
      <w:r w:rsidR="003F5C55">
        <w:rPr>
          <w:lang w:val="en-GB"/>
        </w:rPr>
        <w:t>user</w:t>
      </w:r>
      <w:r>
        <w:rPr>
          <w:lang w:val="en-GB"/>
        </w:rPr>
        <w:t>s may</w:t>
      </w:r>
      <w:r w:rsidRPr="00B404A1">
        <w:rPr>
          <w:lang w:val="en-GB"/>
        </w:rPr>
        <w:t xml:space="preserve"> rely on statements rather than on real-time messages</w:t>
      </w:r>
      <w:r>
        <w:rPr>
          <w:lang w:val="en-GB"/>
        </w:rPr>
        <w:t>. Intra-day reporting would be relevant to inform these actors about the current status of their settlement activities throughout the day.</w:t>
      </w:r>
      <w:r w:rsidRPr="00B404A1">
        <w:rPr>
          <w:lang w:val="en-GB"/>
        </w:rPr>
        <w:t xml:space="preserve"> </w:t>
      </w:r>
      <w:r>
        <w:rPr>
          <w:lang w:val="en-GB"/>
        </w:rPr>
        <w:t xml:space="preserve">Several times or business events could be considered to receive such reports, e.g. after each partial settlement window, or after the </w:t>
      </w:r>
      <w:proofErr w:type="spellStart"/>
      <w:r>
        <w:rPr>
          <w:lang w:val="en-GB"/>
        </w:rPr>
        <w:t>DvP</w:t>
      </w:r>
      <w:proofErr w:type="spellEnd"/>
      <w:r>
        <w:rPr>
          <w:lang w:val="en-GB"/>
        </w:rPr>
        <w:t xml:space="preserve"> cut-off.</w:t>
      </w:r>
    </w:p>
    <w:p w14:paraId="31FDD704" w14:textId="77777777" w:rsidR="00C25BF5" w:rsidRPr="00C25BF5" w:rsidRDefault="00764679" w:rsidP="00C25BF5">
      <w:pPr>
        <w:pStyle w:val="ListParagraph"/>
        <w:numPr>
          <w:ilvl w:val="0"/>
          <w:numId w:val="12"/>
        </w:numPr>
        <w:rPr>
          <w:lang w:val="en-GB"/>
        </w:rPr>
      </w:pPr>
      <w:r>
        <w:rPr>
          <w:lang w:val="en-GB"/>
        </w:rPr>
        <w:t xml:space="preserve">Some </w:t>
      </w:r>
      <w:r w:rsidR="003F5C55">
        <w:rPr>
          <w:lang w:val="en-GB"/>
        </w:rPr>
        <w:t>users</w:t>
      </w:r>
      <w:r>
        <w:rPr>
          <w:lang w:val="en-GB"/>
        </w:rPr>
        <w:t xml:space="preserve"> may also use </w:t>
      </w:r>
      <w:r w:rsidR="00C25BF5">
        <w:rPr>
          <w:lang w:val="en-GB"/>
        </w:rPr>
        <w:t xml:space="preserve">the delta report of allegements to </w:t>
      </w:r>
      <w:r>
        <w:rPr>
          <w:lang w:val="en-GB"/>
        </w:rPr>
        <w:t xml:space="preserve">get information </w:t>
      </w:r>
      <w:r w:rsidR="00C25BF5">
        <w:rPr>
          <w:lang w:val="en-GB"/>
        </w:rPr>
        <w:t>about a</w:t>
      </w:r>
      <w:r w:rsidR="00C25BF5" w:rsidRPr="00C25BF5">
        <w:rPr>
          <w:lang w:val="en-GB"/>
        </w:rPr>
        <w:t xml:space="preserve">lleged settlement instructions for which the partial settlement indicator was changed (the updated value will be reported). </w:t>
      </w:r>
    </w:p>
    <w:p w14:paraId="722E77D0" w14:textId="77777777" w:rsidR="00F81B31" w:rsidRDefault="00F81B31" w:rsidP="00981D37">
      <w:pPr>
        <w:rPr>
          <w:lang w:val="en-GB"/>
        </w:rPr>
      </w:pPr>
    </w:p>
    <w:p w14:paraId="32C7092D" w14:textId="77777777" w:rsidR="00EE456A" w:rsidRDefault="00EE456A" w:rsidP="00981D37">
      <w:pPr>
        <w:rPr>
          <w:lang w:val="en-GB"/>
        </w:rPr>
      </w:pPr>
    </w:p>
    <w:p w14:paraId="18B7DE63" w14:textId="77777777" w:rsidR="00EE456A" w:rsidRDefault="00EE456A" w:rsidP="00981D37">
      <w:pPr>
        <w:rPr>
          <w:lang w:val="en-GB"/>
        </w:rPr>
      </w:pPr>
    </w:p>
    <w:p w14:paraId="7BB74BB6" w14:textId="77777777" w:rsidR="00F81B31" w:rsidRDefault="00F81B31" w:rsidP="00F81B31">
      <w:pPr>
        <w:pStyle w:val="Heading2"/>
        <w:rPr>
          <w:lang w:val="en-GB"/>
        </w:rPr>
      </w:pPr>
      <w:bookmarkStart w:id="16" w:name="_Toc491159115"/>
      <w:proofErr w:type="spellStart"/>
      <w:r w:rsidRPr="004118BB">
        <w:rPr>
          <w:lang w:val="en-GB"/>
        </w:rPr>
        <w:lastRenderedPageBreak/>
        <w:t>SecuritiesBalanceCustodyReport</w:t>
      </w:r>
      <w:bookmarkEnd w:id="16"/>
      <w:proofErr w:type="spellEnd"/>
    </w:p>
    <w:p w14:paraId="41E08DB6" w14:textId="77777777" w:rsidR="00F81B31" w:rsidRPr="00001ECA" w:rsidRDefault="00F81B31" w:rsidP="00F81B31">
      <w:pPr>
        <w:rPr>
          <w:b/>
          <w:lang w:val="en-GB"/>
        </w:rPr>
      </w:pPr>
      <w:r w:rsidRPr="00F81B31">
        <w:rPr>
          <w:b/>
          <w:lang w:val="en-GB"/>
        </w:rPr>
        <w:t>Statement of Holdings, semt.002</w:t>
      </w:r>
    </w:p>
    <w:p w14:paraId="5EA95E0D" w14:textId="77777777" w:rsidR="00F81B31" w:rsidRDefault="00F81B31" w:rsidP="00F81B31">
      <w:pPr>
        <w:rPr>
          <w:lang w:val="en-GB"/>
        </w:rPr>
      </w:pPr>
      <w:r>
        <w:rPr>
          <w:lang w:val="en-GB"/>
        </w:rPr>
        <w:t xml:space="preserve">For the statement of holdings, delta version will </w:t>
      </w:r>
      <w:r w:rsidRPr="00997646">
        <w:rPr>
          <w:u w:val="single"/>
          <w:lang w:val="en-GB"/>
        </w:rPr>
        <w:t>in any case</w:t>
      </w:r>
      <w:r>
        <w:rPr>
          <w:lang w:val="en-GB"/>
        </w:rPr>
        <w:t xml:space="preserve"> (end-of-day and intra-day) </w:t>
      </w:r>
      <w:r w:rsidRPr="00997646">
        <w:rPr>
          <w:u w:val="single"/>
          <w:lang w:val="en-GB"/>
        </w:rPr>
        <w:t>have a different content</w:t>
      </w:r>
      <w:r>
        <w:rPr>
          <w:lang w:val="en-GB"/>
        </w:rPr>
        <w:t xml:space="preserve"> than the complete version</w:t>
      </w:r>
    </w:p>
    <w:p w14:paraId="2289F7E2" w14:textId="77777777" w:rsidR="00DB68C3" w:rsidRPr="00DB68C3" w:rsidRDefault="00F81B31" w:rsidP="00DB68C3">
      <w:pPr>
        <w:pStyle w:val="ListParagraph"/>
        <w:numPr>
          <w:ilvl w:val="1"/>
          <w:numId w:val="5"/>
        </w:numPr>
        <w:rPr>
          <w:lang w:val="en-GB"/>
        </w:rPr>
      </w:pPr>
      <w:r>
        <w:rPr>
          <w:lang w:val="en-GB"/>
        </w:rPr>
        <w:t xml:space="preserve">The delta report will contain all securities positions and sub-positions </w:t>
      </w:r>
      <w:r w:rsidR="00DB68C3">
        <w:rPr>
          <w:lang w:val="en-GB"/>
        </w:rPr>
        <w:t xml:space="preserve">(if supported by the SSS) </w:t>
      </w:r>
      <w:r>
        <w:rPr>
          <w:lang w:val="en-GB"/>
        </w:rPr>
        <w:t xml:space="preserve">in a given account which have changed or became zero since the generation of the last report or since the start of the business day. </w:t>
      </w:r>
      <w:r w:rsidR="00DB68C3">
        <w:rPr>
          <w:lang w:val="en-GB"/>
        </w:rPr>
        <w:t>This includes positions which have turned zero. The change can either be triggered by an increase or decrease of an aggregated position or by a movement between different position types within the same position. If a SSS supports sub-position types, the delta report may either report all positions in a given ISIN if at least one sub-position was subject to a change, or only the sub-positions which were subject to a change are reported.</w:t>
      </w:r>
    </w:p>
    <w:p w14:paraId="21F766CE" w14:textId="77777777" w:rsidR="00F81B31" w:rsidRDefault="00F81B31" w:rsidP="00F81B31">
      <w:pPr>
        <w:pStyle w:val="ListParagraph"/>
        <w:numPr>
          <w:ilvl w:val="1"/>
          <w:numId w:val="5"/>
        </w:numPr>
        <w:rPr>
          <w:lang w:val="en-GB"/>
        </w:rPr>
      </w:pPr>
      <w:r>
        <w:rPr>
          <w:lang w:val="en-GB"/>
        </w:rPr>
        <w:t xml:space="preserve">The complete report will contain all securities positions (aggregated and sub-positions) in a given account on the time of the report generation. In addition, it will report securities for which the position has changed to zero on the same business day. </w:t>
      </w:r>
    </w:p>
    <w:p w14:paraId="2B2FAE2D" w14:textId="77777777" w:rsidR="00F81B31" w:rsidRDefault="00F81B31" w:rsidP="00F81B31">
      <w:pPr>
        <w:rPr>
          <w:lang w:val="en-GB"/>
        </w:rPr>
      </w:pPr>
    </w:p>
    <w:p w14:paraId="5F39B6CF" w14:textId="77777777" w:rsidR="00F81B31" w:rsidRPr="00716F50" w:rsidRDefault="00F81B31" w:rsidP="00F81B31">
      <w:pPr>
        <w:rPr>
          <w:b/>
          <w:lang w:val="en-GB"/>
        </w:rPr>
      </w:pPr>
      <w:r>
        <w:rPr>
          <w:b/>
          <w:lang w:val="en-GB"/>
        </w:rPr>
        <w:t>Business need</w:t>
      </w:r>
    </w:p>
    <w:p w14:paraId="44270176" w14:textId="77777777" w:rsidR="00764679" w:rsidRPr="00001ECA" w:rsidRDefault="00764679" w:rsidP="00764679">
      <w:pPr>
        <w:rPr>
          <w:lang w:val="en-GB"/>
        </w:rPr>
      </w:pPr>
      <w:r>
        <w:rPr>
          <w:lang w:val="en-GB"/>
        </w:rPr>
        <w:t>In general, delta reports can be used to prevent duplicate reporting of securities positions, which decreases reporting costs and reduces the required processing capacity.</w:t>
      </w:r>
    </w:p>
    <w:p w14:paraId="276FD2AD" w14:textId="77777777" w:rsidR="00F81B31" w:rsidRDefault="00F81B31" w:rsidP="00887219">
      <w:pPr>
        <w:rPr>
          <w:lang w:val="en-GB"/>
        </w:rPr>
      </w:pPr>
      <w:r>
        <w:rPr>
          <w:lang w:val="en-GB"/>
        </w:rPr>
        <w:t xml:space="preserve">This might be relevant for </w:t>
      </w:r>
      <w:r w:rsidR="006C2EE4">
        <w:rPr>
          <w:lang w:val="en-GB"/>
        </w:rPr>
        <w:t>users of an SSS</w:t>
      </w:r>
      <w:r>
        <w:rPr>
          <w:lang w:val="en-GB"/>
        </w:rPr>
        <w:t xml:space="preserve"> </w:t>
      </w:r>
      <w:r w:rsidR="00887219">
        <w:rPr>
          <w:lang w:val="en-GB"/>
        </w:rPr>
        <w:t xml:space="preserve">that rely on </w:t>
      </w:r>
      <w:r w:rsidR="00887219" w:rsidRPr="00B404A1">
        <w:rPr>
          <w:lang w:val="en-GB"/>
        </w:rPr>
        <w:t>statements rather than on real-time messages</w:t>
      </w:r>
      <w:r w:rsidR="00887219" w:rsidRPr="00887219">
        <w:rPr>
          <w:lang w:val="en-GB"/>
        </w:rPr>
        <w:t xml:space="preserve"> </w:t>
      </w:r>
      <w:r w:rsidR="00887219">
        <w:rPr>
          <w:lang w:val="en-GB"/>
        </w:rPr>
        <w:t>for their internal book keeping.</w:t>
      </w:r>
      <w:r>
        <w:rPr>
          <w:lang w:val="en-GB"/>
        </w:rPr>
        <w:t xml:space="preserve"> Intra-day reporting would be relevant to inform these actors about the current status of their settlement activities throughout the day.</w:t>
      </w:r>
      <w:r w:rsidRPr="00B404A1">
        <w:rPr>
          <w:lang w:val="en-GB"/>
        </w:rPr>
        <w:t xml:space="preserve"> </w:t>
      </w:r>
      <w:r>
        <w:rPr>
          <w:lang w:val="en-GB"/>
        </w:rPr>
        <w:t xml:space="preserve">Several times or business events could be considered to receive such reports, e.g. after each partial settlement window, or after the </w:t>
      </w:r>
      <w:proofErr w:type="spellStart"/>
      <w:r>
        <w:rPr>
          <w:lang w:val="en-GB"/>
        </w:rPr>
        <w:t>DvP</w:t>
      </w:r>
      <w:proofErr w:type="spellEnd"/>
      <w:r>
        <w:rPr>
          <w:lang w:val="en-GB"/>
        </w:rPr>
        <w:t xml:space="preserve"> cut-off.</w:t>
      </w:r>
    </w:p>
    <w:p w14:paraId="07F20347" w14:textId="77777777" w:rsidR="00D529CD" w:rsidRDefault="00D529CD" w:rsidP="004118BB">
      <w:pPr>
        <w:rPr>
          <w:lang w:val="en-GB"/>
        </w:rPr>
      </w:pPr>
    </w:p>
    <w:p w14:paraId="6A7478C2" w14:textId="77777777" w:rsidR="00EB779C" w:rsidRDefault="00EB779C" w:rsidP="00EB779C">
      <w:pPr>
        <w:pStyle w:val="Heading2"/>
        <w:rPr>
          <w:lang w:val="en-GB"/>
        </w:rPr>
      </w:pPr>
      <w:bookmarkStart w:id="17" w:name="_Toc491159116"/>
      <w:r>
        <w:rPr>
          <w:lang w:val="en-GB"/>
        </w:rPr>
        <w:t>General market practice rules</w:t>
      </w:r>
      <w:bookmarkEnd w:id="17"/>
      <w:r>
        <w:rPr>
          <w:lang w:val="en-GB"/>
        </w:rPr>
        <w:t xml:space="preserve"> </w:t>
      </w:r>
    </w:p>
    <w:p w14:paraId="11498CA3" w14:textId="77777777" w:rsidR="00AF4BC0" w:rsidRPr="00EB779C" w:rsidRDefault="00AF4BC0" w:rsidP="00EB779C">
      <w:pPr>
        <w:pStyle w:val="ListParagraph"/>
        <w:numPr>
          <w:ilvl w:val="0"/>
          <w:numId w:val="14"/>
        </w:numPr>
        <w:rPr>
          <w:lang w:val="en-GB"/>
        </w:rPr>
      </w:pPr>
      <w:r w:rsidRPr="00EB779C">
        <w:rPr>
          <w:lang w:val="en-GB"/>
        </w:rPr>
        <w:t xml:space="preserve">For the reporting of partial settlement, the same rules apply for complete reporting as well as delta reporting. For a Market Practice on Partial Settlement refer to the related SMPG document. The market practice on partial settlement was implemented in May 2015. </w:t>
      </w:r>
    </w:p>
    <w:p w14:paraId="4DA4FABE" w14:textId="77777777" w:rsidR="00AF4BC0" w:rsidRDefault="00AF4BC0" w:rsidP="00AF4BC0">
      <w:pPr>
        <w:rPr>
          <w:lang w:val="en-GB"/>
        </w:rPr>
      </w:pPr>
    </w:p>
    <w:p w14:paraId="4D342756" w14:textId="77777777" w:rsidR="00AF4BC0" w:rsidRDefault="00AF4BC0" w:rsidP="00EB779C">
      <w:pPr>
        <w:pStyle w:val="ListParagraph"/>
        <w:numPr>
          <w:ilvl w:val="0"/>
          <w:numId w:val="14"/>
        </w:numPr>
        <w:rPr>
          <w:lang w:val="en-GB"/>
        </w:rPr>
      </w:pPr>
      <w:r>
        <w:rPr>
          <w:lang w:val="en-GB"/>
        </w:rPr>
        <w:t xml:space="preserve">For pagination, the same rules apply for complete reporting as well as delta reporting. A description of fields to be used to handle pagination can be found in the Market Practice on </w:t>
      </w:r>
      <w:r w:rsidRPr="00AF4BC0">
        <w:rPr>
          <w:lang w:val="en-GB"/>
        </w:rPr>
        <w:t>Custody Holdings Reconciliation</w:t>
      </w:r>
      <w:r>
        <w:rPr>
          <w:lang w:val="en-GB"/>
        </w:rPr>
        <w:t>.</w:t>
      </w:r>
    </w:p>
    <w:p w14:paraId="64D5DFB0" w14:textId="77777777" w:rsidR="00137F68" w:rsidRDefault="00137F68" w:rsidP="00EB779C">
      <w:pPr>
        <w:pStyle w:val="ListParagraph"/>
        <w:rPr>
          <w:lang w:val="en-GB"/>
        </w:rPr>
      </w:pPr>
    </w:p>
    <w:p w14:paraId="7BF34DC8" w14:textId="77777777" w:rsidR="00CC6CC5" w:rsidRPr="00EB779C" w:rsidRDefault="006C2EE4" w:rsidP="00EB779C">
      <w:pPr>
        <w:pStyle w:val="ListParagraph"/>
        <w:numPr>
          <w:ilvl w:val="0"/>
          <w:numId w:val="14"/>
        </w:numPr>
        <w:rPr>
          <w:lang w:val="en-GB"/>
        </w:rPr>
      </w:pPr>
      <w:r>
        <w:rPr>
          <w:lang w:val="en-GB"/>
        </w:rPr>
        <w:t>If there was no settlement activity in a given securities account during the reporting period, an SSS may either send an empty report to explicitly inform that there was no activity, or may not send a report at all. F</w:t>
      </w:r>
      <w:r w:rsidR="00EC3FC9">
        <w:rPr>
          <w:lang w:val="en-GB"/>
        </w:rPr>
        <w:t>or all delta</w:t>
      </w:r>
      <w:r w:rsidR="00BD345C">
        <w:rPr>
          <w:lang w:val="en-GB"/>
        </w:rPr>
        <w:t xml:space="preserve"> and complete</w:t>
      </w:r>
      <w:r w:rsidR="00EC3FC9">
        <w:rPr>
          <w:lang w:val="en-GB"/>
        </w:rPr>
        <w:t xml:space="preserve"> reports mentioned, the </w:t>
      </w:r>
      <w:r w:rsidR="00EC3FC9" w:rsidRPr="00EB779C">
        <w:rPr>
          <w:lang w:val="en-GB"/>
        </w:rPr>
        <w:t>Activity Indicator &lt;</w:t>
      </w:r>
      <w:proofErr w:type="spellStart"/>
      <w:r w:rsidR="00EC3FC9" w:rsidRPr="00EB779C">
        <w:rPr>
          <w:lang w:val="en-GB"/>
        </w:rPr>
        <w:t>RptGnlDtls</w:t>
      </w:r>
      <w:proofErr w:type="spellEnd"/>
      <w:r w:rsidR="00EC3FC9" w:rsidRPr="00EB779C">
        <w:rPr>
          <w:lang w:val="en-GB"/>
        </w:rPr>
        <w:t>&gt;&lt;</w:t>
      </w:r>
      <w:proofErr w:type="spellStart"/>
      <w:r w:rsidR="00EC3FC9" w:rsidRPr="00EB779C">
        <w:rPr>
          <w:lang w:val="en-GB"/>
        </w:rPr>
        <w:t>ActvtyInd</w:t>
      </w:r>
      <w:proofErr w:type="spellEnd"/>
      <w:r w:rsidR="00EC3FC9" w:rsidRPr="00EB779C">
        <w:rPr>
          <w:lang w:val="en-GB"/>
        </w:rPr>
        <w:t xml:space="preserve">&gt; is set to TRUE if </w:t>
      </w:r>
      <w:r w:rsidR="00CC6CC5" w:rsidRPr="00EB779C">
        <w:rPr>
          <w:lang w:val="en-GB"/>
        </w:rPr>
        <w:t>there is at least one item to report. If there is no item to report</w:t>
      </w:r>
      <w:r>
        <w:rPr>
          <w:lang w:val="en-GB"/>
        </w:rPr>
        <w:t xml:space="preserve"> and a report is sent out</w:t>
      </w:r>
      <w:r w:rsidR="00CC6CC5" w:rsidRPr="00EB779C">
        <w:rPr>
          <w:lang w:val="en-GB"/>
        </w:rPr>
        <w:t>, the Activity Indicator is set to FALSE</w:t>
      </w:r>
    </w:p>
    <w:p w14:paraId="3FFBF29C" w14:textId="77777777" w:rsidR="00036F1E" w:rsidRDefault="00036F1E" w:rsidP="00036F1E">
      <w:pPr>
        <w:pStyle w:val="BlockText"/>
        <w:rPr>
          <w:lang w:val="en-GB"/>
        </w:rPr>
      </w:pPr>
    </w:p>
    <w:p w14:paraId="3F971560" w14:textId="77777777" w:rsidR="00B01586" w:rsidRDefault="00B01586">
      <w:pPr>
        <w:spacing w:after="0"/>
        <w:jc w:val="left"/>
        <w:rPr>
          <w:sz w:val="16"/>
          <w:szCs w:val="16"/>
          <w:lang w:val="en-GB"/>
        </w:rPr>
      </w:pPr>
      <w:r>
        <w:rPr>
          <w:sz w:val="16"/>
          <w:szCs w:val="16"/>
          <w:lang w:val="en-GB"/>
        </w:rPr>
        <w:br w:type="page"/>
      </w:r>
    </w:p>
    <w:p w14:paraId="221BE163" w14:textId="77777777" w:rsidR="00036F1E" w:rsidRPr="001A3DE4" w:rsidRDefault="00036F1E" w:rsidP="00036F1E">
      <w:pPr>
        <w:shd w:val="clear" w:color="auto" w:fill="E0E0E0"/>
        <w:spacing w:before="60"/>
        <w:rPr>
          <w:sz w:val="16"/>
          <w:szCs w:val="16"/>
          <w:lang w:val="en-GB"/>
        </w:rPr>
      </w:pPr>
    </w:p>
    <w:p w14:paraId="22A260D1" w14:textId="77777777" w:rsidR="00753092" w:rsidRPr="004118BB" w:rsidRDefault="00864931" w:rsidP="00753092">
      <w:pPr>
        <w:pStyle w:val="Heading1"/>
        <w:rPr>
          <w:lang w:val="en-GB"/>
        </w:rPr>
      </w:pPr>
      <w:bookmarkStart w:id="18" w:name="_Toc491159117"/>
      <w:r>
        <w:rPr>
          <w:lang w:val="en-GB"/>
        </w:rPr>
        <w:t xml:space="preserve">Detailed </w:t>
      </w:r>
      <w:r w:rsidR="008726E1">
        <w:rPr>
          <w:lang w:val="en-GB"/>
        </w:rPr>
        <w:t>R</w:t>
      </w:r>
      <w:r>
        <w:rPr>
          <w:lang w:val="en-GB"/>
        </w:rPr>
        <w:t>ules</w:t>
      </w:r>
      <w:bookmarkEnd w:id="18"/>
    </w:p>
    <w:p w14:paraId="4A690133" w14:textId="77777777" w:rsidR="00D529CD" w:rsidRDefault="00D529CD" w:rsidP="00981D37">
      <w:pPr>
        <w:rPr>
          <w:lang w:val="en-GB"/>
        </w:rPr>
      </w:pPr>
    </w:p>
    <w:p w14:paraId="395FE21C" w14:textId="77777777" w:rsidR="001E08E8" w:rsidRPr="001E08E8" w:rsidRDefault="00C91A46" w:rsidP="001E08E8">
      <w:pPr>
        <w:pStyle w:val="Heading2"/>
        <w:rPr>
          <w:lang w:val="en-GB"/>
        </w:rPr>
      </w:pPr>
      <w:bookmarkStart w:id="19" w:name="_Toc491159118"/>
      <w:r w:rsidRPr="001E08E8">
        <w:rPr>
          <w:lang w:val="en-GB"/>
        </w:rPr>
        <w:t>Pending Report</w:t>
      </w:r>
      <w:bookmarkEnd w:id="19"/>
      <w:r w:rsidRPr="001E08E8">
        <w:rPr>
          <w:lang w:val="en-GB"/>
        </w:rPr>
        <w:t xml:space="preserve"> </w:t>
      </w:r>
    </w:p>
    <w:p w14:paraId="2E722B2F" w14:textId="77777777" w:rsidR="00C91A46" w:rsidRDefault="00B1663E" w:rsidP="00C91A46">
      <w:pPr>
        <w:rPr>
          <w:b/>
          <w:lang w:val="en-GB"/>
        </w:rPr>
      </w:pPr>
      <w:proofErr w:type="spellStart"/>
      <w:r w:rsidRPr="00B1663E">
        <w:rPr>
          <w:b/>
          <w:lang w:val="en-GB"/>
        </w:rPr>
        <w:t>SecuritiesTransactionPendingReport</w:t>
      </w:r>
      <w:proofErr w:type="spellEnd"/>
      <w:r w:rsidR="00221F5C">
        <w:rPr>
          <w:b/>
          <w:lang w:val="en-GB"/>
        </w:rPr>
        <w:t xml:space="preserve"> </w:t>
      </w:r>
      <w:r w:rsidR="00221F5C" w:rsidRPr="00221F5C">
        <w:rPr>
          <w:b/>
          <w:lang w:val="en-GB"/>
        </w:rPr>
        <w:t>semt.018</w:t>
      </w:r>
      <w:r>
        <w:rPr>
          <w:b/>
          <w:lang w:val="en-GB"/>
        </w:rPr>
        <w:t xml:space="preserve">, </w:t>
      </w:r>
      <w:proofErr w:type="spellStart"/>
      <w:r w:rsidRPr="00B1663E">
        <w:rPr>
          <w:b/>
          <w:lang w:val="en-GB"/>
        </w:rPr>
        <w:t>IntraPositionMovementPendingReport</w:t>
      </w:r>
      <w:proofErr w:type="spellEnd"/>
      <w:r>
        <w:rPr>
          <w:b/>
          <w:lang w:val="en-GB"/>
        </w:rPr>
        <w:t xml:space="preserve"> </w:t>
      </w:r>
      <w:r w:rsidR="00CE76AC" w:rsidRPr="00B1663E">
        <w:rPr>
          <w:b/>
          <w:lang w:val="en-GB"/>
        </w:rPr>
        <w:t>semt.034*</w:t>
      </w:r>
      <w:r w:rsidRPr="00B1663E">
        <w:rPr>
          <w:b/>
          <w:lang w:val="en-GB"/>
        </w:rPr>
        <w:t xml:space="preserve"> and </w:t>
      </w:r>
      <w:proofErr w:type="spellStart"/>
      <w:r w:rsidRPr="00B1663E">
        <w:rPr>
          <w:b/>
          <w:lang w:val="en-GB"/>
        </w:rPr>
        <w:t>IntraBalanceMovementPendingReport</w:t>
      </w:r>
      <w:proofErr w:type="spellEnd"/>
      <w:r w:rsidR="00CE76AC" w:rsidRPr="00B1663E">
        <w:rPr>
          <w:b/>
          <w:lang w:val="en-GB"/>
        </w:rPr>
        <w:t xml:space="preserve"> camt.085*</w:t>
      </w:r>
      <w:r w:rsidRPr="00EB779C">
        <w:rPr>
          <w:rStyle w:val="FootnoteReference"/>
          <w:b/>
          <w:color w:val="FFFFFF" w:themeColor="background1"/>
          <w:lang w:val="en-GB"/>
        </w:rPr>
        <w:footnoteReference w:id="6"/>
      </w:r>
    </w:p>
    <w:p w14:paraId="6CEF69D6" w14:textId="23C815E7" w:rsidR="00C91A46" w:rsidRDefault="00C91A46" w:rsidP="00C91A46">
      <w:pPr>
        <w:rPr>
          <w:lang w:val="en-GB"/>
        </w:rPr>
      </w:pPr>
      <w:r w:rsidRPr="00C91A46">
        <w:rPr>
          <w:lang w:val="en-GB"/>
        </w:rPr>
        <w:t>The delta report will contain all pending instructions</w:t>
      </w:r>
      <w:r w:rsidR="00EB5092">
        <w:rPr>
          <w:lang w:val="en-GB"/>
        </w:rPr>
        <w:t>,</w:t>
      </w:r>
      <w:r w:rsidRPr="00C91A46">
        <w:rPr>
          <w:lang w:val="en-GB"/>
        </w:rPr>
        <w:t xml:space="preserve"> </w:t>
      </w:r>
      <w:r w:rsidR="00EB5092">
        <w:rPr>
          <w:lang w:val="en-GB"/>
        </w:rPr>
        <w:t>pending intra position movements or</w:t>
      </w:r>
      <w:r w:rsidR="00B1663E">
        <w:rPr>
          <w:lang w:val="en-GB"/>
        </w:rPr>
        <w:t xml:space="preserve"> </w:t>
      </w:r>
      <w:r w:rsidR="0038331C">
        <w:rPr>
          <w:lang w:val="en-GB"/>
        </w:rPr>
        <w:t xml:space="preserve">pending </w:t>
      </w:r>
      <w:r w:rsidR="00B1663E">
        <w:rPr>
          <w:lang w:val="en-GB"/>
        </w:rPr>
        <w:t xml:space="preserve">intra </w:t>
      </w:r>
      <w:r w:rsidR="00EB5092">
        <w:rPr>
          <w:lang w:val="en-GB"/>
        </w:rPr>
        <w:t>balance</w:t>
      </w:r>
      <w:r w:rsidR="00B1663E">
        <w:rPr>
          <w:lang w:val="en-GB"/>
        </w:rPr>
        <w:t xml:space="preserve"> movements </w:t>
      </w:r>
      <w:r w:rsidRPr="00C91A46">
        <w:rPr>
          <w:lang w:val="en-GB"/>
        </w:rPr>
        <w:t xml:space="preserve">that were </w:t>
      </w:r>
      <w:r w:rsidRPr="00042F6F">
        <w:rPr>
          <w:u w:val="single"/>
          <w:lang w:val="en-GB"/>
        </w:rPr>
        <w:t>new</w:t>
      </w:r>
      <w:r w:rsidRPr="00C91A46">
        <w:rPr>
          <w:lang w:val="en-GB"/>
        </w:rPr>
        <w:t xml:space="preserve">, </w:t>
      </w:r>
      <w:r w:rsidRPr="00042F6F">
        <w:rPr>
          <w:u w:val="single"/>
          <w:lang w:val="en-GB"/>
        </w:rPr>
        <w:t>modified</w:t>
      </w:r>
      <w:r w:rsidRPr="00C91A46">
        <w:rPr>
          <w:lang w:val="en-GB"/>
        </w:rPr>
        <w:t xml:space="preserve">, </w:t>
      </w:r>
      <w:r w:rsidRPr="00042F6F">
        <w:rPr>
          <w:u w:val="single"/>
          <w:lang w:val="en-GB"/>
        </w:rPr>
        <w:t>cancelled</w:t>
      </w:r>
      <w:r w:rsidR="00733BA1">
        <w:rPr>
          <w:u w:val="single"/>
          <w:lang w:val="en-GB"/>
        </w:rPr>
        <w:t>, partially</w:t>
      </w:r>
      <w:r w:rsidR="008B3A43">
        <w:rPr>
          <w:u w:val="single"/>
          <w:lang w:val="en-GB"/>
        </w:rPr>
        <w:t xml:space="preserve"> settled or </w:t>
      </w:r>
      <w:r w:rsidR="008B3A43" w:rsidRPr="00567640">
        <w:rPr>
          <w:u w:val="single"/>
          <w:lang w:val="en-GB"/>
        </w:rPr>
        <w:t>partially executed</w:t>
      </w:r>
      <w:r w:rsidRPr="00C91A46">
        <w:rPr>
          <w:lang w:val="en-GB"/>
        </w:rPr>
        <w:t xml:space="preserve"> or </w:t>
      </w:r>
      <w:r w:rsidRPr="00042F6F">
        <w:rPr>
          <w:u w:val="single"/>
          <w:lang w:val="en-GB"/>
        </w:rPr>
        <w:t>changed their status</w:t>
      </w:r>
      <w:r w:rsidR="00085AD0">
        <w:rPr>
          <w:u w:val="single"/>
          <w:lang w:val="en-GB"/>
        </w:rPr>
        <w:t xml:space="preserve"> or reason code</w:t>
      </w:r>
      <w:r w:rsidRPr="00C91A46">
        <w:rPr>
          <w:lang w:val="en-GB"/>
        </w:rPr>
        <w:t xml:space="preserve"> since the generation of the last report or since the start of the business day. </w:t>
      </w:r>
      <w:r w:rsidR="00F81B31">
        <w:rPr>
          <w:lang w:val="en-GB"/>
        </w:rPr>
        <w:t xml:space="preserve">It does not contain instructions or movements which were previously pending but which have </w:t>
      </w:r>
      <w:r w:rsidR="003B3433">
        <w:rPr>
          <w:lang w:val="en-GB"/>
        </w:rPr>
        <w:t xml:space="preserve">settled completely </w:t>
      </w:r>
      <w:r w:rsidR="00F81B31">
        <w:rPr>
          <w:lang w:val="en-GB"/>
        </w:rPr>
        <w:t xml:space="preserve">during the reporting period. </w:t>
      </w:r>
      <w:r w:rsidR="00042F6F">
        <w:rPr>
          <w:lang w:val="en-GB"/>
        </w:rPr>
        <w:t>All four conditions which result in inclusion of an instruction to the delta report shall be defined in more detail in this section.</w:t>
      </w:r>
    </w:p>
    <w:p w14:paraId="37BC26B0" w14:textId="77777777" w:rsidR="00C91A46" w:rsidRDefault="00C91A46" w:rsidP="00C91A46">
      <w:pPr>
        <w:rPr>
          <w:lang w:val="en-GB"/>
        </w:rPr>
      </w:pPr>
    </w:p>
    <w:p w14:paraId="4824EFCD" w14:textId="77777777" w:rsidR="00042F6F" w:rsidRPr="00A9531D" w:rsidRDefault="00042F6F" w:rsidP="00C91A46">
      <w:pPr>
        <w:rPr>
          <w:u w:val="single"/>
          <w:lang w:val="en-GB"/>
        </w:rPr>
      </w:pPr>
      <w:r w:rsidRPr="00A9531D">
        <w:rPr>
          <w:u w:val="single"/>
          <w:lang w:val="en-GB"/>
        </w:rPr>
        <w:t>New instructions</w:t>
      </w:r>
      <w:r w:rsidR="0038331C">
        <w:rPr>
          <w:u w:val="single"/>
          <w:lang w:val="en-GB"/>
        </w:rPr>
        <w:t xml:space="preserve">, intra position movements and intra-balance movements </w:t>
      </w:r>
    </w:p>
    <w:p w14:paraId="4C105859" w14:textId="77777777" w:rsidR="00042F6F" w:rsidRDefault="00042F6F" w:rsidP="00C91A46">
      <w:pPr>
        <w:rPr>
          <w:lang w:val="en-GB"/>
        </w:rPr>
      </w:pPr>
      <w:r w:rsidRPr="00042F6F">
        <w:rPr>
          <w:lang w:val="en-GB"/>
        </w:rPr>
        <w:t>These are instructions</w:t>
      </w:r>
      <w:r w:rsidR="00B404A1">
        <w:rPr>
          <w:lang w:val="en-GB"/>
        </w:rPr>
        <w:t xml:space="preserve"> and movements</w:t>
      </w:r>
      <w:r w:rsidRPr="00042F6F">
        <w:rPr>
          <w:lang w:val="en-GB"/>
        </w:rPr>
        <w:t xml:space="preserve"> that </w:t>
      </w:r>
      <w:r>
        <w:rPr>
          <w:lang w:val="en-GB"/>
        </w:rPr>
        <w:t xml:space="preserve">were accepted by </w:t>
      </w:r>
      <w:r w:rsidR="00887219">
        <w:rPr>
          <w:lang w:val="en-GB"/>
        </w:rPr>
        <w:t>a settlement system</w:t>
      </w:r>
      <w:r>
        <w:rPr>
          <w:lang w:val="en-GB"/>
        </w:rPr>
        <w:t xml:space="preserve"> before generation of the report and which have not been reported in a previous statement.</w:t>
      </w:r>
      <w:r w:rsidR="00EB5092">
        <w:rPr>
          <w:lang w:val="en-GB"/>
        </w:rPr>
        <w:t xml:space="preserve"> It does not contain instructions and movements which were newly submitted within the reporting period, but were already settled prior to the generation of the report. </w:t>
      </w:r>
    </w:p>
    <w:p w14:paraId="2A1A361C" w14:textId="77777777" w:rsidR="00042F6F" w:rsidRDefault="00042F6F" w:rsidP="00C91A46">
      <w:pPr>
        <w:rPr>
          <w:lang w:val="en-GB"/>
        </w:rPr>
      </w:pPr>
    </w:p>
    <w:p w14:paraId="4A9A999A" w14:textId="77777777" w:rsidR="00042F6F" w:rsidRPr="00A9531D" w:rsidRDefault="00042F6F" w:rsidP="00036F1E">
      <w:pPr>
        <w:keepNext/>
        <w:rPr>
          <w:u w:val="single"/>
          <w:lang w:val="en-GB"/>
        </w:rPr>
      </w:pPr>
      <w:r w:rsidRPr="00A9531D">
        <w:rPr>
          <w:u w:val="single"/>
          <w:lang w:val="en-GB"/>
        </w:rPr>
        <w:t>Modified instructions</w:t>
      </w:r>
      <w:r w:rsidR="0038331C">
        <w:rPr>
          <w:u w:val="single"/>
          <w:lang w:val="en-GB"/>
        </w:rPr>
        <w:t>, intra position movements and intra-balance movements</w:t>
      </w:r>
    </w:p>
    <w:p w14:paraId="28038316" w14:textId="77777777" w:rsidR="00042F6F" w:rsidRDefault="00042F6F" w:rsidP="00042F6F">
      <w:pPr>
        <w:rPr>
          <w:lang w:val="en-GB"/>
        </w:rPr>
      </w:pPr>
      <w:r w:rsidRPr="00042F6F">
        <w:rPr>
          <w:lang w:val="en-GB"/>
        </w:rPr>
        <w:t xml:space="preserve">These are instructions </w:t>
      </w:r>
      <w:r w:rsidR="003B4FAF">
        <w:rPr>
          <w:lang w:val="en-GB"/>
        </w:rPr>
        <w:t xml:space="preserve">and movements </w:t>
      </w:r>
      <w:r>
        <w:rPr>
          <w:lang w:val="en-GB"/>
        </w:rPr>
        <w:t xml:space="preserve">for which a modification of a processing indicator was executed by </w:t>
      </w:r>
      <w:r w:rsidR="00887219">
        <w:rPr>
          <w:lang w:val="en-GB"/>
        </w:rPr>
        <w:t>a settlement system</w:t>
      </w:r>
      <w:r>
        <w:rPr>
          <w:lang w:val="en-GB"/>
        </w:rPr>
        <w:t xml:space="preserve"> before generation of the report and which have not been reported in a previous statement. Processing indicators </w:t>
      </w:r>
      <w:r w:rsidR="003B4FAF">
        <w:rPr>
          <w:lang w:val="en-GB"/>
        </w:rPr>
        <w:t xml:space="preserve">in T2S </w:t>
      </w:r>
      <w:r>
        <w:rPr>
          <w:lang w:val="en-GB"/>
        </w:rPr>
        <w:t>are</w:t>
      </w:r>
    </w:p>
    <w:p w14:paraId="29C8AA2D" w14:textId="77777777" w:rsidR="00042F6F" w:rsidRDefault="00042F6F" w:rsidP="001A4605">
      <w:pPr>
        <w:pStyle w:val="ListParagraph"/>
        <w:numPr>
          <w:ilvl w:val="0"/>
          <w:numId w:val="9"/>
        </w:numPr>
        <w:rPr>
          <w:lang w:val="en-GB"/>
        </w:rPr>
      </w:pPr>
      <w:r>
        <w:rPr>
          <w:lang w:val="en-GB"/>
        </w:rPr>
        <w:t xml:space="preserve">Priority </w:t>
      </w:r>
      <w:r w:rsidR="00DE310E">
        <w:rPr>
          <w:lang w:val="en-GB"/>
        </w:rPr>
        <w:t>V</w:t>
      </w:r>
      <w:r>
        <w:rPr>
          <w:lang w:val="en-GB"/>
        </w:rPr>
        <w:t>alue</w:t>
      </w:r>
    </w:p>
    <w:p w14:paraId="12354942" w14:textId="77777777" w:rsidR="0038331C" w:rsidRDefault="00042F6F" w:rsidP="001A4605">
      <w:pPr>
        <w:pStyle w:val="ListParagraph"/>
        <w:numPr>
          <w:ilvl w:val="0"/>
          <w:numId w:val="9"/>
        </w:numPr>
        <w:rPr>
          <w:lang w:val="en-GB"/>
        </w:rPr>
      </w:pPr>
      <w:r w:rsidRPr="0038331C">
        <w:rPr>
          <w:lang w:val="en-GB"/>
        </w:rPr>
        <w:t>Linkage</w:t>
      </w:r>
    </w:p>
    <w:p w14:paraId="21481257" w14:textId="77777777" w:rsidR="00F86BB8" w:rsidRPr="0038331C" w:rsidRDefault="00F86BB8" w:rsidP="001A4605">
      <w:pPr>
        <w:pStyle w:val="ListParagraph"/>
        <w:numPr>
          <w:ilvl w:val="0"/>
          <w:numId w:val="9"/>
        </w:numPr>
        <w:rPr>
          <w:lang w:val="en-GB"/>
        </w:rPr>
      </w:pPr>
      <w:r w:rsidRPr="0038331C">
        <w:rPr>
          <w:lang w:val="en-GB"/>
        </w:rPr>
        <w:t>Partial Settlement Indicator</w:t>
      </w:r>
      <w:r w:rsidR="0038331C">
        <w:rPr>
          <w:lang w:val="en-GB"/>
        </w:rPr>
        <w:t>, only applicable for settlement instructions</w:t>
      </w:r>
    </w:p>
    <w:p w14:paraId="64F45145" w14:textId="77777777" w:rsidR="00CE76AC" w:rsidRPr="00CE76AC" w:rsidRDefault="00887219" w:rsidP="00CE76AC">
      <w:pPr>
        <w:rPr>
          <w:lang w:val="en-GB"/>
        </w:rPr>
      </w:pPr>
      <w:r>
        <w:rPr>
          <w:lang w:val="en-GB"/>
        </w:rPr>
        <w:t>For example, a</w:t>
      </w:r>
      <w:r w:rsidR="00CE76AC">
        <w:rPr>
          <w:lang w:val="en-GB"/>
        </w:rPr>
        <w:t xml:space="preserve"> modification request which was submitted </w:t>
      </w:r>
      <w:r>
        <w:rPr>
          <w:lang w:val="en-GB"/>
        </w:rPr>
        <w:t xml:space="preserve">to a settlement system </w:t>
      </w:r>
      <w:r w:rsidR="00CE76AC">
        <w:rPr>
          <w:lang w:val="en-GB"/>
        </w:rPr>
        <w:t xml:space="preserve">but which was not yet executed would not lead to inclusion of the instruction in the Pending Report. </w:t>
      </w:r>
    </w:p>
    <w:p w14:paraId="0BDEB0B7" w14:textId="77777777" w:rsidR="00042F6F" w:rsidRPr="00042F6F" w:rsidRDefault="00042F6F" w:rsidP="00042F6F">
      <w:pPr>
        <w:pStyle w:val="ListParagraph"/>
        <w:rPr>
          <w:lang w:val="en-GB"/>
        </w:rPr>
      </w:pPr>
    </w:p>
    <w:p w14:paraId="792E1E7D" w14:textId="77777777" w:rsidR="008B3A43" w:rsidRPr="00A9531D" w:rsidRDefault="00042F6F" w:rsidP="008B3A43">
      <w:pPr>
        <w:rPr>
          <w:u w:val="single"/>
          <w:lang w:val="en-GB"/>
        </w:rPr>
      </w:pPr>
      <w:r w:rsidRPr="00A9531D">
        <w:rPr>
          <w:u w:val="single"/>
          <w:lang w:val="en-GB"/>
        </w:rPr>
        <w:t>Cancelled instructions</w:t>
      </w:r>
      <w:r w:rsidR="008B3A43">
        <w:rPr>
          <w:u w:val="single"/>
          <w:lang w:val="en-GB"/>
        </w:rPr>
        <w:t xml:space="preserve">, intra position movements and intra-balance movements </w:t>
      </w:r>
    </w:p>
    <w:p w14:paraId="7954A295" w14:textId="7C85EE36" w:rsidR="00887219" w:rsidRDefault="00887219" w:rsidP="00042F6F">
      <w:pPr>
        <w:rPr>
          <w:lang w:val="en-GB"/>
        </w:rPr>
      </w:pPr>
      <w:r w:rsidRPr="00042F6F">
        <w:rPr>
          <w:lang w:val="en-GB"/>
        </w:rPr>
        <w:t xml:space="preserve">These are instructions </w:t>
      </w:r>
      <w:r>
        <w:rPr>
          <w:lang w:val="en-GB"/>
        </w:rPr>
        <w:t xml:space="preserve">and movements for which a cancellation was executed before generation of the report and which have not been reported in a previous statement. In general, cancelled instructions and movements are not considered pending any longer and are therefore not included in Pending Reports. </w:t>
      </w:r>
    </w:p>
    <w:p w14:paraId="3EEE3407" w14:textId="77777777" w:rsidR="00042F6F" w:rsidRDefault="00887219" w:rsidP="00042F6F">
      <w:pPr>
        <w:rPr>
          <w:lang w:val="en-GB"/>
        </w:rPr>
      </w:pPr>
      <w:r>
        <w:rPr>
          <w:lang w:val="en-GB"/>
        </w:rPr>
        <w:t>The i</w:t>
      </w:r>
      <w:r w:rsidR="00B1663E">
        <w:rPr>
          <w:lang w:val="en-GB"/>
        </w:rPr>
        <w:t>nclusion of cancelled instructions</w:t>
      </w:r>
      <w:r w:rsidR="003B4FAF">
        <w:rPr>
          <w:lang w:val="en-GB"/>
        </w:rPr>
        <w:t xml:space="preserve"> and movements</w:t>
      </w:r>
      <w:r w:rsidR="00B1663E">
        <w:rPr>
          <w:lang w:val="en-GB"/>
        </w:rPr>
        <w:t xml:space="preserve"> in a Pending Report is a behaviour which is very specific to the T2S delta version of the Pending Report. </w:t>
      </w:r>
      <w:r>
        <w:rPr>
          <w:lang w:val="en-GB"/>
        </w:rPr>
        <w:t xml:space="preserve">The complete version of the T2S Pending Report follows the general rule, i.e. excludes cancelled instructions and movements, whereas the delta version explicitly includes them.   </w:t>
      </w:r>
    </w:p>
    <w:p w14:paraId="534EBACC" w14:textId="77777777" w:rsidR="00042F6F" w:rsidRDefault="00042F6F" w:rsidP="00C91A46">
      <w:pPr>
        <w:rPr>
          <w:lang w:val="en-GB"/>
        </w:rPr>
      </w:pPr>
    </w:p>
    <w:p w14:paraId="0E60FE2D" w14:textId="77777777" w:rsidR="00B01586" w:rsidRDefault="00B01586">
      <w:pPr>
        <w:spacing w:after="0"/>
        <w:jc w:val="left"/>
        <w:rPr>
          <w:u w:val="single"/>
          <w:lang w:val="en-GB"/>
        </w:rPr>
      </w:pPr>
      <w:r>
        <w:rPr>
          <w:u w:val="single"/>
          <w:lang w:val="en-GB"/>
        </w:rPr>
        <w:br w:type="page"/>
      </w:r>
    </w:p>
    <w:p w14:paraId="3A03C490" w14:textId="77777777" w:rsidR="00733BA1" w:rsidRPr="00A9531D" w:rsidRDefault="00733BA1" w:rsidP="00733BA1">
      <w:pPr>
        <w:rPr>
          <w:u w:val="single"/>
          <w:lang w:val="en-GB"/>
        </w:rPr>
      </w:pPr>
      <w:r>
        <w:rPr>
          <w:u w:val="single"/>
          <w:lang w:val="en-GB"/>
        </w:rPr>
        <w:lastRenderedPageBreak/>
        <w:t>Partially settled</w:t>
      </w:r>
      <w:r w:rsidRPr="00A9531D">
        <w:rPr>
          <w:u w:val="single"/>
          <w:lang w:val="en-GB"/>
        </w:rPr>
        <w:t xml:space="preserve"> instruction</w:t>
      </w:r>
    </w:p>
    <w:p w14:paraId="3D989557" w14:textId="77777777" w:rsidR="00E20B96" w:rsidRDefault="00733BA1" w:rsidP="00733BA1">
      <w:pPr>
        <w:rPr>
          <w:lang w:val="en-GB"/>
        </w:rPr>
      </w:pPr>
      <w:r>
        <w:rPr>
          <w:lang w:val="en-GB"/>
        </w:rPr>
        <w:t xml:space="preserve">These are instructions which have settled partially during the reporting period. This could be the first part or any subsequent part, but not the last remaining part (this way the instruction is fully settled and not pending any longer). In case of partial settlement, situations may occur where an instruction is reported in a delta report, even if there was no visible change in any status. The entry will look exactly the same as in the previous report, as the statement of pending instructions only reports the original quantity and amount, not the remaining ones. </w:t>
      </w:r>
    </w:p>
    <w:p w14:paraId="21A5F9F5" w14:textId="77777777" w:rsidR="00733BA1" w:rsidRDefault="00E20B96" w:rsidP="00733BA1">
      <w:pPr>
        <w:rPr>
          <w:lang w:val="en-GB"/>
        </w:rPr>
      </w:pPr>
      <w:r>
        <w:rPr>
          <w:lang w:val="en-GB"/>
        </w:rPr>
        <w:t xml:space="preserve">Note: </w:t>
      </w:r>
      <w:r w:rsidR="00887219">
        <w:rPr>
          <w:lang w:val="en-GB"/>
        </w:rPr>
        <w:t>I</w:t>
      </w:r>
      <w:r>
        <w:rPr>
          <w:lang w:val="en-GB"/>
        </w:rPr>
        <w:t xml:space="preserve">n </w:t>
      </w:r>
      <w:r w:rsidR="00887219">
        <w:rPr>
          <w:lang w:val="en-GB"/>
        </w:rPr>
        <w:t xml:space="preserve">the specific example of </w:t>
      </w:r>
      <w:r>
        <w:rPr>
          <w:lang w:val="en-GB"/>
        </w:rPr>
        <w:t>T2S</w:t>
      </w:r>
      <w:r w:rsidR="00887219">
        <w:rPr>
          <w:lang w:val="en-GB"/>
        </w:rPr>
        <w:t>,</w:t>
      </w:r>
      <w:r>
        <w:rPr>
          <w:lang w:val="en-GB"/>
        </w:rPr>
        <w:t xml:space="preserve"> partial settlement of instructions will be applied during night-time settlement, but only during specific partial settlement windows during real-time settlement. Outside these windows, T2S does not attempt for partial settlement during real-time settlement. </w:t>
      </w:r>
      <w:r w:rsidR="00733BA1">
        <w:rPr>
          <w:lang w:val="en-GB"/>
        </w:rPr>
        <w:t xml:space="preserve">  </w:t>
      </w:r>
    </w:p>
    <w:p w14:paraId="7772ED30" w14:textId="77777777" w:rsidR="00733BA1" w:rsidRDefault="00733BA1" w:rsidP="00C91A46">
      <w:pPr>
        <w:rPr>
          <w:lang w:val="en-GB"/>
        </w:rPr>
      </w:pPr>
    </w:p>
    <w:p w14:paraId="0F024BB1" w14:textId="77777777" w:rsidR="00E20B96" w:rsidRPr="00A9531D" w:rsidRDefault="00E20B96" w:rsidP="00E20B96">
      <w:pPr>
        <w:rPr>
          <w:u w:val="single"/>
          <w:lang w:val="en-GB"/>
        </w:rPr>
      </w:pPr>
      <w:r>
        <w:rPr>
          <w:u w:val="single"/>
          <w:lang w:val="en-GB"/>
        </w:rPr>
        <w:t>Partially executed</w:t>
      </w:r>
      <w:r w:rsidRPr="00A9531D">
        <w:rPr>
          <w:u w:val="single"/>
          <w:lang w:val="en-GB"/>
        </w:rPr>
        <w:t xml:space="preserve"> </w:t>
      </w:r>
      <w:r>
        <w:rPr>
          <w:u w:val="single"/>
          <w:lang w:val="en-GB"/>
        </w:rPr>
        <w:t>intra position movements and intra-balance movements</w:t>
      </w:r>
    </w:p>
    <w:p w14:paraId="661E8583" w14:textId="77777777" w:rsidR="00E20B96" w:rsidRDefault="00E20B96" w:rsidP="00E20B96">
      <w:pPr>
        <w:rPr>
          <w:lang w:val="en-GB"/>
        </w:rPr>
      </w:pPr>
      <w:r>
        <w:rPr>
          <w:lang w:val="en-GB"/>
        </w:rPr>
        <w:t xml:space="preserve">These are movements which have been executed partially during the reporting period. This could be the first part or any subsequent part, but not the last remaining part (this way the movement is fully executed and not pending any longer). In case of partial execution, situations may occur where a movement is reported in a delta report, even if there was no visible change in any status. The entry will look exactly the same as in the previous report, as the statements of pending </w:t>
      </w:r>
      <w:r w:rsidRPr="00E20B96">
        <w:rPr>
          <w:lang w:val="en-GB"/>
        </w:rPr>
        <w:t>intra position movements</w:t>
      </w:r>
      <w:r>
        <w:rPr>
          <w:lang w:val="en-GB"/>
        </w:rPr>
        <w:t xml:space="preserve"> and pending </w:t>
      </w:r>
      <w:r w:rsidRPr="00E20B96">
        <w:rPr>
          <w:lang w:val="en-GB"/>
        </w:rPr>
        <w:t>intra-balance movements</w:t>
      </w:r>
      <w:r>
        <w:rPr>
          <w:lang w:val="en-GB"/>
        </w:rPr>
        <w:t xml:space="preserve"> only report the original quantity and amount, not the remaining ones. </w:t>
      </w:r>
    </w:p>
    <w:p w14:paraId="3BF4E5FB" w14:textId="77777777" w:rsidR="00E20B96" w:rsidRDefault="00E20B96" w:rsidP="00E20B96">
      <w:pPr>
        <w:rPr>
          <w:lang w:val="en-GB"/>
        </w:rPr>
      </w:pPr>
      <w:r>
        <w:rPr>
          <w:lang w:val="en-GB"/>
        </w:rPr>
        <w:t xml:space="preserve">Note: different to partial settlement on instruction level, intra position movements and intra balance movements can be executed in parts at any time during the business day, whenever the system is available for settlement. </w:t>
      </w:r>
    </w:p>
    <w:p w14:paraId="3D279D88" w14:textId="77777777" w:rsidR="00E20B96" w:rsidRDefault="00E20B96" w:rsidP="00C91A46">
      <w:pPr>
        <w:rPr>
          <w:lang w:val="en-GB"/>
        </w:rPr>
      </w:pPr>
    </w:p>
    <w:p w14:paraId="33D351F5" w14:textId="77777777" w:rsidR="00C91A46" w:rsidRPr="00A9531D" w:rsidRDefault="001E08E8" w:rsidP="001E08E8">
      <w:pPr>
        <w:spacing w:after="0"/>
        <w:jc w:val="left"/>
        <w:rPr>
          <w:u w:val="single"/>
          <w:lang w:val="en-GB"/>
        </w:rPr>
      </w:pPr>
      <w:r>
        <w:rPr>
          <w:u w:val="single"/>
          <w:lang w:val="en-GB"/>
        </w:rPr>
        <w:t>S</w:t>
      </w:r>
      <w:r w:rsidR="00042F6F" w:rsidRPr="00A9531D">
        <w:rPr>
          <w:u w:val="single"/>
          <w:lang w:val="en-GB"/>
        </w:rPr>
        <w:t>tatus change of an instruction</w:t>
      </w:r>
    </w:p>
    <w:p w14:paraId="4CFBFEE4" w14:textId="77777777" w:rsidR="00C91A46" w:rsidRDefault="00C91A46" w:rsidP="001A4605">
      <w:pPr>
        <w:pStyle w:val="ListParagraph"/>
        <w:numPr>
          <w:ilvl w:val="0"/>
          <w:numId w:val="8"/>
        </w:numPr>
        <w:rPr>
          <w:lang w:val="en-GB"/>
        </w:rPr>
      </w:pPr>
      <w:r>
        <w:rPr>
          <w:lang w:val="en-GB"/>
        </w:rPr>
        <w:t>Matching Status – change from unmatched to matched</w:t>
      </w:r>
    </w:p>
    <w:p w14:paraId="7A6E5754" w14:textId="77777777" w:rsidR="00C91A46" w:rsidRDefault="007123B3" w:rsidP="001A4605">
      <w:pPr>
        <w:pStyle w:val="ListParagraph"/>
        <w:numPr>
          <w:ilvl w:val="0"/>
          <w:numId w:val="8"/>
        </w:numPr>
        <w:rPr>
          <w:lang w:val="en-GB"/>
        </w:rPr>
      </w:pPr>
      <w:r>
        <w:rPr>
          <w:lang w:val="en-GB"/>
        </w:rPr>
        <w:t>Any change that is causing a change in the pending reason code</w:t>
      </w:r>
      <w:r w:rsidR="00C14921">
        <w:rPr>
          <w:lang w:val="en-GB"/>
        </w:rPr>
        <w:t xml:space="preserve"> (settlement status section)</w:t>
      </w:r>
    </w:p>
    <w:p w14:paraId="76191DEF" w14:textId="77777777" w:rsidR="007123B3" w:rsidRDefault="007123B3" w:rsidP="001A4605">
      <w:pPr>
        <w:pStyle w:val="ListParagraph"/>
        <w:numPr>
          <w:ilvl w:val="1"/>
          <w:numId w:val="8"/>
        </w:numPr>
        <w:rPr>
          <w:lang w:val="en-GB"/>
        </w:rPr>
      </w:pPr>
      <w:r>
        <w:rPr>
          <w:lang w:val="en-GB"/>
        </w:rPr>
        <w:t>Change of hold status (</w:t>
      </w:r>
      <w:r w:rsidR="006C2EE4">
        <w:rPr>
          <w:lang w:val="en-GB"/>
        </w:rPr>
        <w:t>any hold</w:t>
      </w:r>
      <w:r w:rsidR="00B046BF">
        <w:rPr>
          <w:lang w:val="en-GB"/>
        </w:rPr>
        <w:t xml:space="preserve"> of own instruction or any hold of counterparty instruction</w:t>
      </w:r>
      <w:r>
        <w:rPr>
          <w:lang w:val="en-GB"/>
        </w:rPr>
        <w:t>)</w:t>
      </w:r>
    </w:p>
    <w:p w14:paraId="3C9E53BC" w14:textId="77777777" w:rsidR="007123B3" w:rsidRDefault="007123B3" w:rsidP="001A4605">
      <w:pPr>
        <w:pStyle w:val="ListParagraph"/>
        <w:numPr>
          <w:ilvl w:val="1"/>
          <w:numId w:val="8"/>
        </w:numPr>
        <w:rPr>
          <w:lang w:val="en-GB"/>
        </w:rPr>
      </w:pPr>
      <w:r>
        <w:rPr>
          <w:lang w:val="en-GB"/>
        </w:rPr>
        <w:t>Changes in reason why settlement attempt was failing, independent from instruction parameters, e.g. lack of cash or securities, securities or cash account blocked (all for own or counterparty side), change in status of</w:t>
      </w:r>
      <w:r w:rsidR="00B046BF">
        <w:rPr>
          <w:lang w:val="en-GB"/>
        </w:rPr>
        <w:t xml:space="preserve"> a</w:t>
      </w:r>
      <w:r>
        <w:rPr>
          <w:lang w:val="en-GB"/>
        </w:rPr>
        <w:t xml:space="preserve"> linked instruction </w:t>
      </w:r>
      <w:r w:rsidR="00B046BF">
        <w:rPr>
          <w:lang w:val="en-GB"/>
        </w:rPr>
        <w:t xml:space="preserve">or a pool </w:t>
      </w:r>
      <w:r>
        <w:rPr>
          <w:lang w:val="en-GB"/>
        </w:rPr>
        <w:t>that hinders settlement</w:t>
      </w:r>
      <w:r w:rsidR="00B046BF">
        <w:rPr>
          <w:lang w:val="en-GB"/>
        </w:rPr>
        <w:t>, market deadline was missed, partial settlement</w:t>
      </w:r>
      <w:r>
        <w:rPr>
          <w:lang w:val="en-GB"/>
        </w:rPr>
        <w:t xml:space="preserve"> </w:t>
      </w:r>
      <w:r w:rsidR="00B046BF">
        <w:rPr>
          <w:lang w:val="en-GB"/>
        </w:rPr>
        <w:t>execution</w:t>
      </w:r>
    </w:p>
    <w:p w14:paraId="20FF1B28" w14:textId="77777777" w:rsidR="00C91A46" w:rsidRDefault="00C14921" w:rsidP="001A4605">
      <w:pPr>
        <w:pStyle w:val="ListParagraph"/>
        <w:numPr>
          <w:ilvl w:val="0"/>
          <w:numId w:val="8"/>
        </w:numPr>
        <w:rPr>
          <w:lang w:val="en-GB"/>
        </w:rPr>
      </w:pPr>
      <w:r>
        <w:rPr>
          <w:lang w:val="en-GB"/>
        </w:rPr>
        <w:t>Any change in the instruction processing status</w:t>
      </w:r>
    </w:p>
    <w:p w14:paraId="75C1886C" w14:textId="77777777" w:rsidR="00C14921" w:rsidRDefault="00C14921" w:rsidP="001A4605">
      <w:pPr>
        <w:pStyle w:val="ListParagraph"/>
        <w:numPr>
          <w:ilvl w:val="1"/>
          <w:numId w:val="8"/>
        </w:numPr>
        <w:rPr>
          <w:lang w:val="en-GB"/>
        </w:rPr>
      </w:pPr>
      <w:r>
        <w:rPr>
          <w:lang w:val="en-GB"/>
        </w:rPr>
        <w:t>Cancellation requested</w:t>
      </w:r>
    </w:p>
    <w:p w14:paraId="1C9B8E99" w14:textId="77777777" w:rsidR="005626BF" w:rsidRPr="005626BF" w:rsidRDefault="00C14921" w:rsidP="001A4605">
      <w:pPr>
        <w:pStyle w:val="ListParagraph"/>
        <w:numPr>
          <w:ilvl w:val="1"/>
          <w:numId w:val="8"/>
        </w:numPr>
        <w:rPr>
          <w:lang w:val="en-GB"/>
        </w:rPr>
      </w:pPr>
      <w:r>
        <w:rPr>
          <w:lang w:val="en-GB"/>
        </w:rPr>
        <w:t>Cancellation requested by counterparty</w:t>
      </w:r>
    </w:p>
    <w:p w14:paraId="16BA44B3" w14:textId="77777777" w:rsidR="00C14921" w:rsidRDefault="00C14921" w:rsidP="00C14921">
      <w:pPr>
        <w:rPr>
          <w:lang w:val="en-GB"/>
        </w:rPr>
      </w:pPr>
    </w:p>
    <w:p w14:paraId="02EA3496" w14:textId="77777777" w:rsidR="00887219" w:rsidRDefault="00887219" w:rsidP="00887219">
      <w:pPr>
        <w:rPr>
          <w:lang w:val="en-GB"/>
        </w:rPr>
      </w:pPr>
      <w:r>
        <w:rPr>
          <w:lang w:val="en-GB"/>
        </w:rPr>
        <w:t xml:space="preserve">In case a status settlement or processing status code was added and removed again (or removed and added) within the reporting period, e.g. instruction was released and set on hold again (same hold status), then the instruction will be included in the delta report, even if the same code is reported as before. </w:t>
      </w:r>
    </w:p>
    <w:p w14:paraId="6DF022C0" w14:textId="77777777" w:rsidR="00887219" w:rsidRDefault="00887219" w:rsidP="00887219">
      <w:pPr>
        <w:rPr>
          <w:lang w:val="en-GB"/>
        </w:rPr>
      </w:pPr>
    </w:p>
    <w:p w14:paraId="30720BCD" w14:textId="77777777" w:rsidR="007123B3" w:rsidRDefault="00887219" w:rsidP="006D28D5">
      <w:pPr>
        <w:rPr>
          <w:lang w:val="en-GB"/>
        </w:rPr>
      </w:pPr>
      <w:r>
        <w:rPr>
          <w:lang w:val="en-GB"/>
        </w:rPr>
        <w:t xml:space="preserve">In the specific case of </w:t>
      </w:r>
      <w:r w:rsidR="00C14921">
        <w:rPr>
          <w:lang w:val="en-GB"/>
        </w:rPr>
        <w:t>T2S</w:t>
      </w:r>
      <w:r>
        <w:rPr>
          <w:lang w:val="en-GB"/>
        </w:rPr>
        <w:t xml:space="preserve">, all pending reasons which do apply are </w:t>
      </w:r>
      <w:r w:rsidR="00C14921">
        <w:rPr>
          <w:lang w:val="en-GB"/>
        </w:rPr>
        <w:t>report</w:t>
      </w:r>
      <w:r>
        <w:rPr>
          <w:lang w:val="en-GB"/>
        </w:rPr>
        <w:t>ed</w:t>
      </w:r>
      <w:r w:rsidR="00C14921">
        <w:rPr>
          <w:lang w:val="en-GB"/>
        </w:rPr>
        <w:t xml:space="preserve"> to </w:t>
      </w:r>
      <w:r>
        <w:rPr>
          <w:lang w:val="en-GB"/>
        </w:rPr>
        <w:t>the T2S</w:t>
      </w:r>
      <w:r w:rsidR="00C14921">
        <w:rPr>
          <w:lang w:val="en-GB"/>
        </w:rPr>
        <w:t xml:space="preserve"> Actors, which could be several ones. In order for an instruction to be included in the delta version of the report, it is sufficient if one of the codes has changed (was added or removed).</w:t>
      </w:r>
    </w:p>
    <w:p w14:paraId="223B7F2E" w14:textId="77777777" w:rsidR="00DE310E" w:rsidRDefault="00DE310E" w:rsidP="00DE310E">
      <w:pPr>
        <w:rPr>
          <w:b/>
          <w:lang w:val="en-GB"/>
        </w:rPr>
      </w:pPr>
    </w:p>
    <w:p w14:paraId="5F8ADB08" w14:textId="77777777" w:rsidR="00B01586" w:rsidRDefault="00B01586">
      <w:pPr>
        <w:spacing w:after="0"/>
        <w:jc w:val="left"/>
        <w:rPr>
          <w:b/>
          <w:color w:val="000000"/>
          <w:sz w:val="24"/>
          <w:u w:val="single"/>
          <w:lang w:val="en-GB"/>
        </w:rPr>
      </w:pPr>
      <w:r>
        <w:rPr>
          <w:lang w:val="en-GB"/>
        </w:rPr>
        <w:br w:type="page"/>
      </w:r>
    </w:p>
    <w:p w14:paraId="6D019B25" w14:textId="77777777" w:rsidR="001E08E8" w:rsidRPr="001E08E8" w:rsidRDefault="001E08E8" w:rsidP="001E08E8">
      <w:pPr>
        <w:pStyle w:val="Heading2"/>
        <w:rPr>
          <w:lang w:val="en-GB"/>
        </w:rPr>
      </w:pPr>
      <w:bookmarkStart w:id="20" w:name="_Toc491159119"/>
      <w:r>
        <w:rPr>
          <w:lang w:val="en-GB"/>
        </w:rPr>
        <w:lastRenderedPageBreak/>
        <w:t>Allegement</w:t>
      </w:r>
      <w:r w:rsidRPr="001E08E8">
        <w:rPr>
          <w:lang w:val="en-GB"/>
        </w:rPr>
        <w:t xml:space="preserve"> Report</w:t>
      </w:r>
      <w:bookmarkEnd w:id="20"/>
      <w:r w:rsidRPr="001E08E8">
        <w:rPr>
          <w:lang w:val="en-GB"/>
        </w:rPr>
        <w:t xml:space="preserve"> </w:t>
      </w:r>
    </w:p>
    <w:p w14:paraId="71A9C117" w14:textId="77777777" w:rsidR="003F7EA7" w:rsidRPr="00265B3C" w:rsidRDefault="003F7EA7" w:rsidP="003F7EA7">
      <w:pPr>
        <w:rPr>
          <w:b/>
          <w:lang w:val="en-GB"/>
        </w:rPr>
      </w:pPr>
      <w:proofErr w:type="spellStart"/>
      <w:r w:rsidRPr="00265B3C">
        <w:rPr>
          <w:b/>
          <w:szCs w:val="22"/>
        </w:rPr>
        <w:t>SecuritiesSettlementTransactionAllegementReport</w:t>
      </w:r>
      <w:proofErr w:type="spellEnd"/>
      <w:r w:rsidRPr="00265B3C">
        <w:rPr>
          <w:b/>
          <w:szCs w:val="22"/>
        </w:rPr>
        <w:t xml:space="preserve"> </w:t>
      </w:r>
      <w:r w:rsidRPr="00265B3C">
        <w:rPr>
          <w:b/>
          <w:lang w:val="en-GB"/>
        </w:rPr>
        <w:t>Semt.019</w:t>
      </w:r>
    </w:p>
    <w:p w14:paraId="186189DE" w14:textId="77777777" w:rsidR="003F7EA7" w:rsidRDefault="003F7EA7" w:rsidP="003F7EA7">
      <w:pPr>
        <w:rPr>
          <w:lang w:val="en-GB"/>
        </w:rPr>
      </w:pPr>
      <w:r>
        <w:rPr>
          <w:lang w:val="en-GB"/>
        </w:rPr>
        <w:t xml:space="preserve">The delta report will contain all </w:t>
      </w:r>
      <w:r w:rsidRPr="00DC6C8B">
        <w:rPr>
          <w:u w:val="single"/>
          <w:lang w:val="en-GB"/>
        </w:rPr>
        <w:t>newly</w:t>
      </w:r>
      <w:r>
        <w:rPr>
          <w:lang w:val="en-GB"/>
        </w:rPr>
        <w:t xml:space="preserve"> alleged settlement instructions, as well as all settlement instructions for which allegement was </w:t>
      </w:r>
      <w:r w:rsidRPr="00DC6C8B">
        <w:rPr>
          <w:u w:val="single"/>
          <w:lang w:val="en-GB"/>
        </w:rPr>
        <w:t>removed</w:t>
      </w:r>
      <w:r>
        <w:rPr>
          <w:lang w:val="en-GB"/>
        </w:rPr>
        <w:t xml:space="preserve"> or </w:t>
      </w:r>
      <w:r w:rsidRPr="00DC6C8B">
        <w:rPr>
          <w:u w:val="single"/>
          <w:lang w:val="en-GB"/>
        </w:rPr>
        <w:t>cancelled</w:t>
      </w:r>
      <w:r>
        <w:rPr>
          <w:lang w:val="en-GB"/>
        </w:rPr>
        <w:t xml:space="preserve"> since the generation of the last report or since the start of the business day. It will also contain alleged settlement instructions </w:t>
      </w:r>
      <w:r w:rsidRPr="00DC6C8B">
        <w:rPr>
          <w:u w:val="single"/>
          <w:lang w:val="en-GB"/>
        </w:rPr>
        <w:t>modified</w:t>
      </w:r>
      <w:r>
        <w:rPr>
          <w:lang w:val="en-GB"/>
        </w:rPr>
        <w:t xml:space="preserve"> (i.e. partial settlement indicator). It will not show alleged settlement instructions for which there was no change in the allegement status since the generation of the last report or the start of the business day. </w:t>
      </w:r>
    </w:p>
    <w:p w14:paraId="70F2BC86" w14:textId="77777777" w:rsidR="003F7EA7" w:rsidRDefault="003F7EA7" w:rsidP="003F7EA7">
      <w:pPr>
        <w:rPr>
          <w:lang w:val="en-GB"/>
        </w:rPr>
      </w:pPr>
    </w:p>
    <w:p w14:paraId="2B374755" w14:textId="77777777" w:rsidR="003F7EA7" w:rsidRDefault="003F7EA7" w:rsidP="003F7EA7">
      <w:pPr>
        <w:rPr>
          <w:u w:val="single"/>
          <w:lang w:val="en-GB"/>
        </w:rPr>
      </w:pPr>
      <w:r w:rsidRPr="00A16507">
        <w:rPr>
          <w:u w:val="single"/>
          <w:lang w:val="en-GB"/>
        </w:rPr>
        <w:t>Newly</w:t>
      </w:r>
      <w:r>
        <w:rPr>
          <w:u w:val="single"/>
          <w:lang w:val="en-GB"/>
        </w:rPr>
        <w:t xml:space="preserve"> alleged settlement instructions</w:t>
      </w:r>
    </w:p>
    <w:p w14:paraId="02B85C07" w14:textId="77777777" w:rsidR="003F7EA7" w:rsidRDefault="003F7EA7" w:rsidP="003F7EA7">
      <w:pPr>
        <w:rPr>
          <w:lang w:val="en-GB"/>
        </w:rPr>
      </w:pPr>
      <w:r>
        <w:rPr>
          <w:lang w:val="en-GB"/>
        </w:rPr>
        <w:t>These are new allegements from other counterparties generated since the start of Day or since the last report of the present Business Date.</w:t>
      </w:r>
    </w:p>
    <w:p w14:paraId="75AF2B57" w14:textId="77777777" w:rsidR="003F7EA7" w:rsidRDefault="003F7EA7" w:rsidP="003F7EA7">
      <w:pPr>
        <w:rPr>
          <w:lang w:val="en-GB"/>
        </w:rPr>
      </w:pPr>
    </w:p>
    <w:p w14:paraId="5C1EAEA7" w14:textId="77777777" w:rsidR="003F7EA7" w:rsidRDefault="003F7EA7" w:rsidP="003F7EA7">
      <w:r w:rsidRPr="002D58FF">
        <w:rPr>
          <w:u w:val="single"/>
        </w:rPr>
        <w:t>Allegement removals/cancellations</w:t>
      </w:r>
      <w:r w:rsidRPr="002D58FF">
        <w:t xml:space="preserve"> </w:t>
      </w:r>
    </w:p>
    <w:p w14:paraId="201F2BCA" w14:textId="77777777" w:rsidR="003F7EA7" w:rsidRDefault="003F7EA7" w:rsidP="003F7EA7">
      <w:r>
        <w:t>They a</w:t>
      </w:r>
      <w:r w:rsidRPr="002D58FF">
        <w:t>re reported in the following cases</w:t>
      </w:r>
      <w:r>
        <w:t xml:space="preserve"> to let the interested party know </w:t>
      </w:r>
      <w:r w:rsidR="008E7662">
        <w:t>that the request</w:t>
      </w:r>
      <w:r>
        <w:t xml:space="preserve"> for a settlement instruction to be matched with the one from the counterparty</w:t>
      </w:r>
      <w:r w:rsidR="008E7662">
        <w:t xml:space="preserve"> does not exist any longer</w:t>
      </w:r>
      <w:r w:rsidR="00887219">
        <w:t>.</w:t>
      </w:r>
    </w:p>
    <w:p w14:paraId="66DFA62B" w14:textId="77777777" w:rsidR="003F7EA7" w:rsidRPr="002D58FF" w:rsidRDefault="003F7EA7" w:rsidP="003F7EA7">
      <w:pPr>
        <w:rPr>
          <w:lang w:val="en-GB"/>
        </w:rPr>
      </w:pPr>
      <w:r w:rsidRPr="002D58FF">
        <w:tab/>
        <w:t>For alleged instructions from other counterparties:</w:t>
      </w:r>
    </w:p>
    <w:p w14:paraId="2CF6ABE5" w14:textId="77777777" w:rsidR="003F7EA7" w:rsidRPr="002D58FF" w:rsidRDefault="003F7EA7" w:rsidP="00887219">
      <w:pPr>
        <w:pStyle w:val="ListParagraph"/>
        <w:numPr>
          <w:ilvl w:val="1"/>
          <w:numId w:val="8"/>
        </w:numPr>
        <w:rPr>
          <w:lang w:val="en-GB"/>
        </w:rPr>
      </w:pPr>
      <w:proofErr w:type="gramStart"/>
      <w:r w:rsidRPr="00887219">
        <w:rPr>
          <w:lang w:val="en-GB"/>
        </w:rPr>
        <w:t>if</w:t>
      </w:r>
      <w:proofErr w:type="gramEnd"/>
      <w:r w:rsidRPr="00887219">
        <w:rPr>
          <w:lang w:val="en-GB"/>
        </w:rPr>
        <w:t xml:space="preserve"> a matching instruction has been received.</w:t>
      </w:r>
    </w:p>
    <w:p w14:paraId="0E2D35BA" w14:textId="181D2FFF" w:rsidR="003F7EA7" w:rsidRPr="002D58FF" w:rsidRDefault="003F7EA7" w:rsidP="00887219">
      <w:pPr>
        <w:pStyle w:val="ListParagraph"/>
        <w:numPr>
          <w:ilvl w:val="1"/>
          <w:numId w:val="8"/>
        </w:numPr>
        <w:rPr>
          <w:lang w:val="en-GB"/>
        </w:rPr>
      </w:pPr>
      <w:r w:rsidRPr="00887219">
        <w:rPr>
          <w:lang w:val="en-GB"/>
        </w:rPr>
        <w:t>if counterparty cancelled its instruction</w:t>
      </w:r>
      <w:r w:rsidR="00A2679D">
        <w:rPr>
          <w:lang w:val="en-GB"/>
        </w:rPr>
        <w:t xml:space="preserve"> (or the instruction was automatically cancelled</w:t>
      </w:r>
      <w:r w:rsidR="009D7286">
        <w:rPr>
          <w:lang w:val="en-GB"/>
        </w:rPr>
        <w:t xml:space="preserve"> by the system)</w:t>
      </w:r>
    </w:p>
    <w:p w14:paraId="7772E99F" w14:textId="77777777" w:rsidR="003F7EA7" w:rsidRDefault="003F7EA7" w:rsidP="003F7EA7">
      <w:pPr>
        <w:rPr>
          <w:lang w:val="en-GB"/>
        </w:rPr>
      </w:pPr>
    </w:p>
    <w:p w14:paraId="0E797CCA" w14:textId="77777777" w:rsidR="003F7EA7" w:rsidRPr="00A16507" w:rsidRDefault="003F7EA7" w:rsidP="003F7EA7">
      <w:pPr>
        <w:rPr>
          <w:u w:val="single"/>
          <w:lang w:val="en-GB"/>
        </w:rPr>
      </w:pPr>
      <w:r w:rsidRPr="00A16507">
        <w:rPr>
          <w:u w:val="single"/>
          <w:lang w:val="en-GB"/>
        </w:rPr>
        <w:t>Modified</w:t>
      </w:r>
    </w:p>
    <w:p w14:paraId="65B506F4" w14:textId="77777777" w:rsidR="003F7EA7" w:rsidRDefault="003F7EA7" w:rsidP="003F7EA7">
      <w:pPr>
        <w:rPr>
          <w:lang w:val="en-GB"/>
        </w:rPr>
      </w:pPr>
      <w:r>
        <w:rPr>
          <w:lang w:val="en-GB"/>
        </w:rPr>
        <w:t>If previously alleged instructions have changed the partial settlement indicator before the generation of new delta report, then the updated value will be reported. On the other hand, alleged settlement instructions for which there was a change in the hold status, priority or linkage section will not be shown.</w:t>
      </w:r>
    </w:p>
    <w:p w14:paraId="1F60B23D" w14:textId="77777777" w:rsidR="00A82FE9" w:rsidRDefault="00A82FE9" w:rsidP="003F7EA7">
      <w:pPr>
        <w:rPr>
          <w:lang w:val="en-GB"/>
        </w:rPr>
      </w:pPr>
    </w:p>
    <w:p w14:paraId="6CD8B9F8" w14:textId="77777777" w:rsidR="001E08E8" w:rsidRDefault="001E08E8" w:rsidP="001E08E8">
      <w:pPr>
        <w:rPr>
          <w:lang w:val="en-GB"/>
        </w:rPr>
      </w:pPr>
      <w:r>
        <w:rPr>
          <w:lang w:val="en-GB"/>
        </w:rPr>
        <w:t xml:space="preserve">   </w:t>
      </w:r>
    </w:p>
    <w:p w14:paraId="51635E8C" w14:textId="77777777" w:rsidR="001A3DE4" w:rsidRPr="001A3DE4" w:rsidRDefault="001A3DE4" w:rsidP="001A3DE4">
      <w:pPr>
        <w:shd w:val="clear" w:color="auto" w:fill="E0E0E0"/>
        <w:spacing w:before="60"/>
        <w:rPr>
          <w:sz w:val="16"/>
          <w:szCs w:val="16"/>
          <w:lang w:val="en-GB"/>
        </w:rPr>
      </w:pPr>
    </w:p>
    <w:sectPr w:rsidR="001A3DE4" w:rsidRPr="001A3DE4" w:rsidSect="00F16144">
      <w:headerReference w:type="even" r:id="rId10"/>
      <w:headerReference w:type="default" r:id="rId11"/>
      <w:footerReference w:type="even" r:id="rId12"/>
      <w:footerReference w:type="default" r:id="rId13"/>
      <w:headerReference w:type="first" r:id="rId14"/>
      <w:footerReference w:type="first" r:id="rId15"/>
      <w:pgSz w:w="12240" w:h="15840"/>
      <w:pgMar w:top="1728" w:right="1181" w:bottom="1440" w:left="1282" w:header="720" w:footer="51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0D97D8" w15:done="0"/>
  <w15:commentEx w15:paraId="6C87254A" w15:done="0"/>
  <w15:commentEx w15:paraId="4DFCF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78670" w14:textId="77777777" w:rsidR="00776A5A" w:rsidRDefault="00776A5A">
      <w:r>
        <w:separator/>
      </w:r>
    </w:p>
  </w:endnote>
  <w:endnote w:type="continuationSeparator" w:id="0">
    <w:p w14:paraId="50C99F6A" w14:textId="77777777" w:rsidR="00776A5A" w:rsidRDefault="0077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C2F" w14:textId="77777777" w:rsidR="00C81442" w:rsidRDefault="00C8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70F94" w14:textId="77777777" w:rsidR="00A34030" w:rsidRDefault="00A34030">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EE456A">
      <w:rPr>
        <w:noProof/>
        <w:snapToGrid w:val="0"/>
      </w:rPr>
      <w:t>2</w:t>
    </w:r>
    <w:r>
      <w:rPr>
        <w:snapToGrid w:val="0"/>
      </w:rPr>
      <w:fldChar w:fldCharType="end"/>
    </w:r>
    <w:r>
      <w:rPr>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4390" w14:textId="77777777" w:rsidR="00C81442" w:rsidRDefault="00C81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53D2D" w14:textId="77777777" w:rsidR="00776A5A" w:rsidRDefault="00776A5A">
      <w:r>
        <w:separator/>
      </w:r>
    </w:p>
  </w:footnote>
  <w:footnote w:type="continuationSeparator" w:id="0">
    <w:p w14:paraId="39134893" w14:textId="77777777" w:rsidR="00776A5A" w:rsidRDefault="00776A5A">
      <w:r>
        <w:continuationSeparator/>
      </w:r>
    </w:p>
  </w:footnote>
  <w:footnote w:id="1">
    <w:p w14:paraId="4F05673A" w14:textId="77777777" w:rsidR="00A34030" w:rsidRPr="006E5969" w:rsidRDefault="00A34030" w:rsidP="008409A6">
      <w:pPr>
        <w:pStyle w:val="FootnoteText"/>
        <w:jc w:val="both"/>
        <w:rPr>
          <w:sz w:val="20"/>
        </w:rPr>
      </w:pPr>
      <w:r w:rsidRPr="006E5969">
        <w:rPr>
          <w:rStyle w:val="FootnoteReference"/>
          <w:sz w:val="20"/>
        </w:rPr>
        <w:footnoteRef/>
      </w:r>
      <w:r w:rsidRPr="006E5969">
        <w:rPr>
          <w:sz w:val="20"/>
        </w:rPr>
        <w:t xml:space="preserve"> Settlement instructions can also be used to move positions</w:t>
      </w:r>
      <w:r w:rsidR="00307BA2">
        <w:rPr>
          <w:sz w:val="20"/>
        </w:rPr>
        <w:t>/balances</w:t>
      </w:r>
      <w:r w:rsidRPr="006E5969">
        <w:rPr>
          <w:sz w:val="20"/>
        </w:rPr>
        <w:t xml:space="preserve"> within the same account from an available</w:t>
      </w:r>
      <w:r w:rsidR="00307BA2">
        <w:rPr>
          <w:sz w:val="20"/>
        </w:rPr>
        <w:t>/deliverable</w:t>
      </w:r>
      <w:r w:rsidRPr="006E5969">
        <w:rPr>
          <w:sz w:val="20"/>
        </w:rPr>
        <w:t xml:space="preserve"> position type to another sub-position type or vice versa</w:t>
      </w:r>
      <w:r>
        <w:rPr>
          <w:sz w:val="20"/>
        </w:rPr>
        <w:t xml:space="preserve">. </w:t>
      </w:r>
    </w:p>
  </w:footnote>
  <w:footnote w:id="2">
    <w:p w14:paraId="1D55FD1B" w14:textId="77777777" w:rsidR="00A34030" w:rsidRPr="00EB779C" w:rsidRDefault="00A34030" w:rsidP="00EE456A">
      <w:pPr>
        <w:pStyle w:val="FootnoteText"/>
        <w:jc w:val="both"/>
        <w:rPr>
          <w:sz w:val="20"/>
        </w:rPr>
      </w:pPr>
      <w:r w:rsidRPr="00EB779C">
        <w:rPr>
          <w:rStyle w:val="FootnoteReference"/>
          <w:color w:val="FFFFFF" w:themeColor="background1"/>
        </w:rPr>
        <w:footnoteRef/>
      </w:r>
      <w:r>
        <w:rPr>
          <w:vertAlign w:val="superscript"/>
          <w:lang w:val="en-GB"/>
        </w:rPr>
        <w:t>*</w:t>
      </w:r>
      <w:r w:rsidRPr="00D646BA">
        <w:rPr>
          <w:sz w:val="20"/>
        </w:rPr>
        <w:t xml:space="preserve"> This is a message type </w:t>
      </w:r>
      <w:r>
        <w:rPr>
          <w:sz w:val="20"/>
        </w:rPr>
        <w:t xml:space="preserve">developed on the basis of the </w:t>
      </w:r>
      <w:r>
        <w:rPr>
          <w:lang w:val="en-GB"/>
        </w:rPr>
        <w:t xml:space="preserve">Business Justification for the Development of new UNIFI (ISO20022) Financial Repository submitted by </w:t>
      </w:r>
      <w:r w:rsidRPr="009B3280">
        <w:rPr>
          <w:lang w:val="en-GB"/>
        </w:rPr>
        <w:t xml:space="preserve">Deutsche Bundesbank on behalf of the 4CB </w:t>
      </w:r>
      <w:r>
        <w:rPr>
          <w:lang w:val="en-GB"/>
        </w:rPr>
        <w:t xml:space="preserve">in April 2009 </w:t>
      </w:r>
      <w:r w:rsidRPr="00D646BA">
        <w:rPr>
          <w:sz w:val="20"/>
        </w:rPr>
        <w:t>which is not part of the standard set of ISO20022 messages</w:t>
      </w:r>
      <w:r>
        <w:rPr>
          <w:sz w:val="20"/>
        </w:rPr>
        <w:t xml:space="preserve"> yet.</w:t>
      </w:r>
      <w:r>
        <w:t xml:space="preserve"> </w:t>
      </w:r>
    </w:p>
  </w:footnote>
  <w:footnote w:id="3">
    <w:p w14:paraId="06DBB0E8" w14:textId="77777777" w:rsidR="00A34030" w:rsidRPr="00EB779C" w:rsidRDefault="00A34030" w:rsidP="00EE456A">
      <w:pPr>
        <w:pStyle w:val="FootnoteText"/>
        <w:jc w:val="both"/>
      </w:pPr>
      <w:r w:rsidRPr="00EB779C">
        <w:rPr>
          <w:rStyle w:val="FootnoteReference"/>
          <w:color w:val="FFFFFF" w:themeColor="background1"/>
        </w:rPr>
        <w:footnoteRef/>
      </w:r>
      <w:r>
        <w:rPr>
          <w:vertAlign w:val="superscript"/>
          <w:lang w:val="en-GB"/>
        </w:rPr>
        <w:t>*</w:t>
      </w:r>
      <w:r w:rsidRPr="00D646BA">
        <w:rPr>
          <w:sz w:val="20"/>
        </w:rPr>
        <w:t xml:space="preserve"> This is a message type </w:t>
      </w:r>
      <w:r>
        <w:rPr>
          <w:sz w:val="20"/>
        </w:rPr>
        <w:t xml:space="preserve">developed on the basis of the </w:t>
      </w:r>
      <w:r>
        <w:rPr>
          <w:lang w:val="en-GB"/>
        </w:rPr>
        <w:t xml:space="preserve">Business Justification for the Development of new UNIFI (ISO20022) Financial Repository submitted by </w:t>
      </w:r>
      <w:r w:rsidRPr="009B3280">
        <w:rPr>
          <w:lang w:val="en-GB"/>
        </w:rPr>
        <w:t xml:space="preserve">Deutsche Bundesbank on behalf of the 4CB </w:t>
      </w:r>
      <w:r>
        <w:rPr>
          <w:lang w:val="en-GB"/>
        </w:rPr>
        <w:t xml:space="preserve">in April 2009 </w:t>
      </w:r>
      <w:r w:rsidRPr="00D646BA">
        <w:rPr>
          <w:sz w:val="20"/>
        </w:rPr>
        <w:t>which is not part of the standard set of ISO20022 messages</w:t>
      </w:r>
      <w:r>
        <w:rPr>
          <w:sz w:val="20"/>
        </w:rPr>
        <w:t xml:space="preserve"> yet.</w:t>
      </w:r>
    </w:p>
  </w:footnote>
  <w:footnote w:id="4">
    <w:p w14:paraId="351E5B52" w14:textId="77777777" w:rsidR="00A34030" w:rsidRPr="00EB779C" w:rsidRDefault="00A34030" w:rsidP="00EE456A">
      <w:pPr>
        <w:pStyle w:val="FootnoteText"/>
        <w:jc w:val="both"/>
        <w:rPr>
          <w:sz w:val="20"/>
        </w:rPr>
      </w:pPr>
      <w:r w:rsidRPr="00EB779C">
        <w:rPr>
          <w:rStyle w:val="FootnoteReference"/>
          <w:color w:val="FFFFFF" w:themeColor="background1"/>
        </w:rPr>
        <w:footnoteRef/>
      </w:r>
      <w:r>
        <w:rPr>
          <w:vertAlign w:val="superscript"/>
          <w:lang w:val="en-GB"/>
        </w:rPr>
        <w:t>*</w:t>
      </w:r>
      <w:r w:rsidRPr="00D646BA">
        <w:rPr>
          <w:sz w:val="20"/>
        </w:rPr>
        <w:t xml:space="preserve"> This is a message type </w:t>
      </w:r>
      <w:r>
        <w:rPr>
          <w:sz w:val="20"/>
        </w:rPr>
        <w:t xml:space="preserve">developed on the basis of the </w:t>
      </w:r>
      <w:r>
        <w:rPr>
          <w:lang w:val="en-GB"/>
        </w:rPr>
        <w:t xml:space="preserve">Business Justification for the Development of new UNIFI (ISO20022) Financial Repository submitted by </w:t>
      </w:r>
      <w:r w:rsidRPr="009B3280">
        <w:rPr>
          <w:lang w:val="en-GB"/>
        </w:rPr>
        <w:t xml:space="preserve">Deutsche Bundesbank on behalf of the 4CB </w:t>
      </w:r>
      <w:r>
        <w:rPr>
          <w:lang w:val="en-GB"/>
        </w:rPr>
        <w:t xml:space="preserve">in April 2009 </w:t>
      </w:r>
      <w:r w:rsidRPr="00D646BA">
        <w:rPr>
          <w:sz w:val="20"/>
        </w:rPr>
        <w:t>which is not part of the standard set of ISO20022 messages</w:t>
      </w:r>
      <w:r>
        <w:rPr>
          <w:sz w:val="20"/>
        </w:rPr>
        <w:t xml:space="preserve"> yet.</w:t>
      </w:r>
    </w:p>
  </w:footnote>
  <w:footnote w:id="5">
    <w:p w14:paraId="68A2249D" w14:textId="77777777" w:rsidR="00A34030" w:rsidRPr="00EB779C" w:rsidRDefault="00A34030" w:rsidP="00EE456A">
      <w:pPr>
        <w:pStyle w:val="FootnoteText"/>
        <w:jc w:val="both"/>
        <w:rPr>
          <w:sz w:val="20"/>
        </w:rPr>
      </w:pPr>
      <w:r w:rsidRPr="00EB779C">
        <w:rPr>
          <w:rStyle w:val="FootnoteReference"/>
          <w:color w:val="FFFFFF" w:themeColor="background1"/>
        </w:rPr>
        <w:footnoteRef/>
      </w:r>
      <w:r>
        <w:rPr>
          <w:vertAlign w:val="superscript"/>
          <w:lang w:val="en-GB"/>
        </w:rPr>
        <w:t>*</w:t>
      </w:r>
      <w:r w:rsidRPr="00D646BA">
        <w:rPr>
          <w:sz w:val="20"/>
        </w:rPr>
        <w:t xml:space="preserve"> This is a message type </w:t>
      </w:r>
      <w:r>
        <w:rPr>
          <w:sz w:val="20"/>
        </w:rPr>
        <w:t xml:space="preserve">developed on the basis of the </w:t>
      </w:r>
      <w:r>
        <w:rPr>
          <w:lang w:val="en-GB"/>
        </w:rPr>
        <w:t xml:space="preserve">Business Justification for the Development of new UNIFI (ISO20022) Financial Repository submitted by </w:t>
      </w:r>
      <w:r w:rsidRPr="009B3280">
        <w:rPr>
          <w:lang w:val="en-GB"/>
        </w:rPr>
        <w:t xml:space="preserve">Deutsche Bundesbank on behalf of the 4CB </w:t>
      </w:r>
      <w:r>
        <w:rPr>
          <w:lang w:val="en-GB"/>
        </w:rPr>
        <w:t xml:space="preserve">in April 2009 </w:t>
      </w:r>
      <w:r w:rsidRPr="00D646BA">
        <w:rPr>
          <w:sz w:val="20"/>
        </w:rPr>
        <w:t>which is not part of the standard set of ISO20022 messages</w:t>
      </w:r>
      <w:r>
        <w:rPr>
          <w:sz w:val="20"/>
        </w:rPr>
        <w:t xml:space="preserve"> yet.</w:t>
      </w:r>
    </w:p>
  </w:footnote>
  <w:footnote w:id="6">
    <w:p w14:paraId="2F639458" w14:textId="77777777" w:rsidR="00A34030" w:rsidRPr="00B1663E" w:rsidRDefault="00A34030" w:rsidP="008409A6">
      <w:pPr>
        <w:pStyle w:val="FootnoteText"/>
        <w:jc w:val="both"/>
        <w:rPr>
          <w:sz w:val="20"/>
        </w:rPr>
      </w:pPr>
      <w:r w:rsidRPr="00B1663E">
        <w:rPr>
          <w:rStyle w:val="FootnoteReference"/>
          <w:color w:val="FFFFFF" w:themeColor="background1"/>
        </w:rPr>
        <w:footnoteRef/>
      </w:r>
      <w:r>
        <w:rPr>
          <w:vertAlign w:val="superscript"/>
          <w:lang w:val="en-GB"/>
        </w:rPr>
        <w:t>*</w:t>
      </w:r>
      <w:r w:rsidRPr="00D646BA">
        <w:rPr>
          <w:sz w:val="20"/>
        </w:rPr>
        <w:t xml:space="preserve"> This is a message type </w:t>
      </w:r>
      <w:r>
        <w:rPr>
          <w:sz w:val="20"/>
        </w:rPr>
        <w:t xml:space="preserve">developed on the basis of the </w:t>
      </w:r>
      <w:r>
        <w:rPr>
          <w:lang w:val="en-GB"/>
        </w:rPr>
        <w:t xml:space="preserve">Business Justification for the Development of new UNIFI (ISO20022) Financial Repository submitted by </w:t>
      </w:r>
      <w:r w:rsidRPr="009B3280">
        <w:rPr>
          <w:lang w:val="en-GB"/>
        </w:rPr>
        <w:t xml:space="preserve">Deutsche Bundesbank on behalf of the 4CB </w:t>
      </w:r>
      <w:r>
        <w:rPr>
          <w:lang w:val="en-GB"/>
        </w:rPr>
        <w:t xml:space="preserve">in April 2009 </w:t>
      </w:r>
      <w:r w:rsidRPr="00D646BA">
        <w:rPr>
          <w:sz w:val="20"/>
        </w:rPr>
        <w:t>which is not part of the standard set of ISO20022 messages</w:t>
      </w:r>
      <w:r>
        <w:rPr>
          <w:sz w:val="20"/>
        </w:rPr>
        <w:t xml:space="preserve"> yet.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34D6" w14:textId="77777777" w:rsidR="00C81442" w:rsidRDefault="00C81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4417" w14:textId="77777777" w:rsidR="00A34030" w:rsidRPr="00E0167A" w:rsidRDefault="00A34030">
    <w:pPr>
      <w:pStyle w:val="Header"/>
    </w:pPr>
    <w:r>
      <w:rPr>
        <w:noProof/>
        <w:lang w:val="en-GB" w:eastAsia="en-GB"/>
      </w:rPr>
      <w:drawing>
        <wp:anchor distT="0" distB="0" distL="114300" distR="114300" simplePos="0" relativeHeight="251657728" behindDoc="0" locked="0" layoutInCell="1" allowOverlap="1" wp14:anchorId="34EB4442" wp14:editId="40A6611B">
          <wp:simplePos x="0" y="0"/>
          <wp:positionH relativeFrom="column">
            <wp:posOffset>4553585</wp:posOffset>
          </wp:positionH>
          <wp:positionV relativeFrom="paragraph">
            <wp:posOffset>-179282</wp:posOffset>
          </wp:positionV>
          <wp:extent cx="1578744" cy="738000"/>
          <wp:effectExtent l="0" t="0" r="2540" b="5080"/>
          <wp:wrapNone/>
          <wp:docPr id="4" name="Picture 4" descr="SMPG_logo_low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PG_logo_low_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744" cy="73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ECA">
      <w:rPr>
        <w:noProof/>
        <w:lang w:val="en-GB" w:eastAsia="en-GB"/>
      </w:rPr>
      <w:drawing>
        <wp:anchor distT="0" distB="0" distL="114300" distR="114300" simplePos="0" relativeHeight="251660800" behindDoc="0" locked="0" layoutInCell="1" allowOverlap="1" wp14:anchorId="49E82D70" wp14:editId="6B23F95A">
          <wp:simplePos x="0" y="0"/>
          <wp:positionH relativeFrom="column">
            <wp:posOffset>2267585</wp:posOffset>
          </wp:positionH>
          <wp:positionV relativeFrom="paragraph">
            <wp:posOffset>-244475</wp:posOffset>
          </wp:positionV>
          <wp:extent cx="1202055" cy="72644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02055" cy="726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04ECA">
      <w:rPr>
        <w:noProof/>
        <w:lang w:val="en-GB" w:eastAsia="en-GB"/>
      </w:rPr>
      <w:drawing>
        <wp:anchor distT="0" distB="0" distL="114300" distR="114300" simplePos="0" relativeHeight="251659776" behindDoc="0" locked="0" layoutInCell="1" allowOverlap="1" wp14:anchorId="5E21DF77" wp14:editId="5486B61D">
          <wp:simplePos x="0" y="0"/>
          <wp:positionH relativeFrom="column">
            <wp:posOffset>-26670</wp:posOffset>
          </wp:positionH>
          <wp:positionV relativeFrom="paragraph">
            <wp:posOffset>-180340</wp:posOffset>
          </wp:positionV>
          <wp:extent cx="1450340" cy="617855"/>
          <wp:effectExtent l="0" t="0" r="0" b="0"/>
          <wp:wrapSquare wrapText="bothSides"/>
          <wp:docPr id="2" name="Picture 2" descr="ecb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_logo_en"/>
                  <pic:cNvPicPr>
                    <a:picLocks noChangeAspect="1" noChangeArrowheads="1"/>
                  </pic:cNvPicPr>
                </pic:nvPicPr>
                <pic:blipFill>
                  <a:blip r:embed="rId3"/>
                  <a:srcRect/>
                  <a:stretch>
                    <a:fillRect/>
                  </a:stretch>
                </pic:blipFill>
                <pic:spPr bwMode="auto">
                  <a:xfrm>
                    <a:off x="0" y="0"/>
                    <a:ext cx="1450340" cy="617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77DF" w14:textId="77777777" w:rsidR="00C81442" w:rsidRDefault="00C81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2">
    <w:nsid w:val="0633017D"/>
    <w:multiLevelType w:val="hybridMultilevel"/>
    <w:tmpl w:val="98767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6724B"/>
    <w:multiLevelType w:val="hybridMultilevel"/>
    <w:tmpl w:val="5680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44704"/>
    <w:multiLevelType w:val="hybridMultilevel"/>
    <w:tmpl w:val="6DDA9DE2"/>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
    <w:nsid w:val="140402F4"/>
    <w:multiLevelType w:val="hybridMultilevel"/>
    <w:tmpl w:val="E700A7DC"/>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6F42D530">
      <w:numFmt w:val="bullet"/>
      <w:lvlText w:val="-"/>
      <w:lvlJc w:val="left"/>
      <w:pPr>
        <w:ind w:left="3653" w:hanging="360"/>
      </w:pPr>
      <w:rPr>
        <w:rFonts w:ascii="Times New Roman" w:eastAsia="Times New Roman" w:hAnsi="Times New Roman" w:cs="Times New Roman"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nsid w:val="184F4BE5"/>
    <w:multiLevelType w:val="hybridMultilevel"/>
    <w:tmpl w:val="50543564"/>
    <w:lvl w:ilvl="0" w:tplc="3C3045CE">
      <w:start w:val="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83306E"/>
    <w:multiLevelType w:val="hybridMultilevel"/>
    <w:tmpl w:val="B87A9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AD3A43"/>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pStyle w:val="Heading3"/>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7380B03"/>
    <w:multiLevelType w:val="hybridMultilevel"/>
    <w:tmpl w:val="381E3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7802DE"/>
    <w:multiLevelType w:val="hybridMultilevel"/>
    <w:tmpl w:val="5336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A60F7"/>
    <w:multiLevelType w:val="multilevel"/>
    <w:tmpl w:val="52BA42AE"/>
    <w:lvl w:ilvl="0">
      <w:start w:val="1"/>
      <w:numFmt w:val="upperRoman"/>
      <w:pStyle w:val="Heading1"/>
      <w:suff w:val="space"/>
      <w:lvlText w:val="%1."/>
      <w:lvlJc w:val="left"/>
      <w:pPr>
        <w:ind w:left="0" w:firstLine="0"/>
      </w:pPr>
    </w:lvl>
    <w:lvl w:ilvl="1">
      <w:start w:val="1"/>
      <w:numFmt w:val="upperLetter"/>
      <w:pStyle w:val="Heading2"/>
      <w:suff w:val="space"/>
      <w:lvlText w:val="%2."/>
      <w:lvlJc w:val="left"/>
      <w:pPr>
        <w:ind w:left="680" w:hanging="680"/>
      </w:pPr>
    </w:lvl>
    <w:lvl w:ilvl="2">
      <w:start w:val="1"/>
      <w:numFmt w:val="none"/>
      <w:suff w:val="space"/>
      <w:lvlText w:val="Scenario "/>
      <w:lvlJc w:val="left"/>
      <w:pPr>
        <w:ind w:left="510" w:hanging="510"/>
      </w:pPr>
    </w:lvl>
    <w:lvl w:ilvl="3">
      <w:start w:val="1"/>
      <w:numFmt w:val="lowerLetter"/>
      <w:pStyle w:val="Heading4"/>
      <w:suff w:val="space"/>
      <w:lvlText w:val="%4. "/>
      <w:lvlJc w:val="left"/>
      <w:pPr>
        <w:ind w:left="794" w:hanging="794"/>
      </w:pPr>
    </w:lvl>
    <w:lvl w:ilvl="4">
      <w:start w:val="1"/>
      <w:numFmt w:val="decimal"/>
      <w:pStyle w:val="Heading5"/>
      <w:lvlText w:val="(%5)"/>
      <w:lvlJc w:val="left"/>
      <w:pPr>
        <w:tabs>
          <w:tab w:val="num" w:pos="1287"/>
        </w:tabs>
        <w:ind w:left="567"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5A1E72FE"/>
    <w:multiLevelType w:val="hybridMultilevel"/>
    <w:tmpl w:val="1D5C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C954B3"/>
    <w:multiLevelType w:val="hybridMultilevel"/>
    <w:tmpl w:val="2A06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6176E1"/>
    <w:multiLevelType w:val="hybridMultilevel"/>
    <w:tmpl w:val="F140E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8"/>
  </w:num>
  <w:num w:numId="5">
    <w:abstractNumId w:val="2"/>
  </w:num>
  <w:num w:numId="6">
    <w:abstractNumId w:val="5"/>
  </w:num>
  <w:num w:numId="7">
    <w:abstractNumId w:val="13"/>
  </w:num>
  <w:num w:numId="8">
    <w:abstractNumId w:val="9"/>
  </w:num>
  <w:num w:numId="9">
    <w:abstractNumId w:val="10"/>
  </w:num>
  <w:num w:numId="10">
    <w:abstractNumId w:val="12"/>
  </w:num>
  <w:num w:numId="11">
    <w:abstractNumId w:val="6"/>
  </w:num>
  <w:num w:numId="12">
    <w:abstractNumId w:val="3"/>
  </w:num>
  <w:num w:numId="13">
    <w:abstractNumId w:val="4"/>
  </w:num>
  <w:num w:numId="14">
    <w:abstractNumId w:val="7"/>
  </w:num>
  <w:num w:numId="15">
    <w:abstractNumId w:val="14"/>
  </w:num>
  <w:num w:numId="16">
    <w:abstractNumId w:val="11"/>
  </w:num>
  <w:num w:numId="17">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TAHOCES, MIGUEL ANGEL">
    <w15:presenceInfo w15:providerId="AD" w15:userId="S-1-5-21-1516911240-1051151395-1136263860-122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9,#c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B2"/>
    <w:rsid w:val="00001ECA"/>
    <w:rsid w:val="00002FC1"/>
    <w:rsid w:val="00004841"/>
    <w:rsid w:val="00004ECA"/>
    <w:rsid w:val="000141AC"/>
    <w:rsid w:val="00015950"/>
    <w:rsid w:val="00015EFC"/>
    <w:rsid w:val="000227DB"/>
    <w:rsid w:val="00036F1E"/>
    <w:rsid w:val="000406A9"/>
    <w:rsid w:val="00042F6F"/>
    <w:rsid w:val="000464BF"/>
    <w:rsid w:val="00051B65"/>
    <w:rsid w:val="000527AB"/>
    <w:rsid w:val="000551F3"/>
    <w:rsid w:val="0006123A"/>
    <w:rsid w:val="00076197"/>
    <w:rsid w:val="0008496E"/>
    <w:rsid w:val="00085AD0"/>
    <w:rsid w:val="000860DC"/>
    <w:rsid w:val="00090624"/>
    <w:rsid w:val="000947D5"/>
    <w:rsid w:val="00095584"/>
    <w:rsid w:val="000956B8"/>
    <w:rsid w:val="00096CFD"/>
    <w:rsid w:val="000A7D51"/>
    <w:rsid w:val="000B4CAA"/>
    <w:rsid w:val="000B6D67"/>
    <w:rsid w:val="000C699E"/>
    <w:rsid w:val="000D0D58"/>
    <w:rsid w:val="000D17D9"/>
    <w:rsid w:val="000E2CCA"/>
    <w:rsid w:val="000E5BE8"/>
    <w:rsid w:val="000F0646"/>
    <w:rsid w:val="000F1097"/>
    <w:rsid w:val="000F21D2"/>
    <w:rsid w:val="000F61FE"/>
    <w:rsid w:val="00105E0A"/>
    <w:rsid w:val="00113A42"/>
    <w:rsid w:val="00115AFB"/>
    <w:rsid w:val="00120D13"/>
    <w:rsid w:val="00121CBE"/>
    <w:rsid w:val="00126DC9"/>
    <w:rsid w:val="0012721A"/>
    <w:rsid w:val="001319C4"/>
    <w:rsid w:val="00137F68"/>
    <w:rsid w:val="00151532"/>
    <w:rsid w:val="00152CA5"/>
    <w:rsid w:val="00155EE5"/>
    <w:rsid w:val="00164621"/>
    <w:rsid w:val="00170032"/>
    <w:rsid w:val="001714F9"/>
    <w:rsid w:val="00174123"/>
    <w:rsid w:val="00180E85"/>
    <w:rsid w:val="0018771B"/>
    <w:rsid w:val="00196082"/>
    <w:rsid w:val="001A3DE4"/>
    <w:rsid w:val="001A4605"/>
    <w:rsid w:val="001B7A13"/>
    <w:rsid w:val="001C24FB"/>
    <w:rsid w:val="001D168F"/>
    <w:rsid w:val="001D33A9"/>
    <w:rsid w:val="001D39E9"/>
    <w:rsid w:val="001D4F37"/>
    <w:rsid w:val="001D52BA"/>
    <w:rsid w:val="001D7328"/>
    <w:rsid w:val="001E04FD"/>
    <w:rsid w:val="001E08E8"/>
    <w:rsid w:val="001F6EAC"/>
    <w:rsid w:val="00200ED6"/>
    <w:rsid w:val="00201B71"/>
    <w:rsid w:val="00206AB8"/>
    <w:rsid w:val="00213CEA"/>
    <w:rsid w:val="00221F5C"/>
    <w:rsid w:val="002247A4"/>
    <w:rsid w:val="002248F9"/>
    <w:rsid w:val="00226E23"/>
    <w:rsid w:val="00234140"/>
    <w:rsid w:val="00240446"/>
    <w:rsid w:val="002424F8"/>
    <w:rsid w:val="00252154"/>
    <w:rsid w:val="0025248C"/>
    <w:rsid w:val="00252C52"/>
    <w:rsid w:val="00260D40"/>
    <w:rsid w:val="00274865"/>
    <w:rsid w:val="002776D0"/>
    <w:rsid w:val="00282373"/>
    <w:rsid w:val="00285EEA"/>
    <w:rsid w:val="00286AEC"/>
    <w:rsid w:val="00292D79"/>
    <w:rsid w:val="00293991"/>
    <w:rsid w:val="002A1BC8"/>
    <w:rsid w:val="002A7E63"/>
    <w:rsid w:val="002B1B30"/>
    <w:rsid w:val="002C1147"/>
    <w:rsid w:val="002D0ABA"/>
    <w:rsid w:val="002E36C5"/>
    <w:rsid w:val="002E564D"/>
    <w:rsid w:val="002E798E"/>
    <w:rsid w:val="002F4655"/>
    <w:rsid w:val="00301367"/>
    <w:rsid w:val="00303C9C"/>
    <w:rsid w:val="00305D9A"/>
    <w:rsid w:val="00306AF1"/>
    <w:rsid w:val="00307BA2"/>
    <w:rsid w:val="00321DB0"/>
    <w:rsid w:val="00325DBA"/>
    <w:rsid w:val="00325FFE"/>
    <w:rsid w:val="00352C8D"/>
    <w:rsid w:val="0035399B"/>
    <w:rsid w:val="003601EE"/>
    <w:rsid w:val="00361C0D"/>
    <w:rsid w:val="0037666C"/>
    <w:rsid w:val="003777B4"/>
    <w:rsid w:val="0038331C"/>
    <w:rsid w:val="00386861"/>
    <w:rsid w:val="003944DD"/>
    <w:rsid w:val="003A4F01"/>
    <w:rsid w:val="003A52F2"/>
    <w:rsid w:val="003A79A5"/>
    <w:rsid w:val="003B05E9"/>
    <w:rsid w:val="003B3433"/>
    <w:rsid w:val="003B4CCC"/>
    <w:rsid w:val="003B4FAF"/>
    <w:rsid w:val="003B6075"/>
    <w:rsid w:val="003B7437"/>
    <w:rsid w:val="003B7E97"/>
    <w:rsid w:val="003D1B9E"/>
    <w:rsid w:val="003F044B"/>
    <w:rsid w:val="003F4992"/>
    <w:rsid w:val="003F5C55"/>
    <w:rsid w:val="003F60DB"/>
    <w:rsid w:val="003F6D39"/>
    <w:rsid w:val="003F708D"/>
    <w:rsid w:val="003F7EA7"/>
    <w:rsid w:val="00400120"/>
    <w:rsid w:val="00405075"/>
    <w:rsid w:val="00405E8D"/>
    <w:rsid w:val="00410AB3"/>
    <w:rsid w:val="004118BB"/>
    <w:rsid w:val="00411F26"/>
    <w:rsid w:val="00421F1A"/>
    <w:rsid w:val="00422351"/>
    <w:rsid w:val="0043228C"/>
    <w:rsid w:val="004348E5"/>
    <w:rsid w:val="004356B1"/>
    <w:rsid w:val="0043735B"/>
    <w:rsid w:val="00444AC2"/>
    <w:rsid w:val="00446CE1"/>
    <w:rsid w:val="00460EB8"/>
    <w:rsid w:val="00465FBE"/>
    <w:rsid w:val="0046661E"/>
    <w:rsid w:val="004728F4"/>
    <w:rsid w:val="00473390"/>
    <w:rsid w:val="00474DB9"/>
    <w:rsid w:val="004764E4"/>
    <w:rsid w:val="00490CC8"/>
    <w:rsid w:val="004922AB"/>
    <w:rsid w:val="0049344D"/>
    <w:rsid w:val="004971A5"/>
    <w:rsid w:val="004A633F"/>
    <w:rsid w:val="004B02D8"/>
    <w:rsid w:val="004B0334"/>
    <w:rsid w:val="004B41FD"/>
    <w:rsid w:val="004B6CF7"/>
    <w:rsid w:val="004C378A"/>
    <w:rsid w:val="004C4AC0"/>
    <w:rsid w:val="004C5381"/>
    <w:rsid w:val="004C6483"/>
    <w:rsid w:val="004E2926"/>
    <w:rsid w:val="004F4015"/>
    <w:rsid w:val="004F7662"/>
    <w:rsid w:val="00502FB5"/>
    <w:rsid w:val="00503681"/>
    <w:rsid w:val="00504401"/>
    <w:rsid w:val="00506184"/>
    <w:rsid w:val="0051014E"/>
    <w:rsid w:val="00522ACA"/>
    <w:rsid w:val="00527571"/>
    <w:rsid w:val="00532AC9"/>
    <w:rsid w:val="00540478"/>
    <w:rsid w:val="005425A4"/>
    <w:rsid w:val="005626BF"/>
    <w:rsid w:val="0056676C"/>
    <w:rsid w:val="00567640"/>
    <w:rsid w:val="00567C00"/>
    <w:rsid w:val="00587BC2"/>
    <w:rsid w:val="00596E41"/>
    <w:rsid w:val="005B01B7"/>
    <w:rsid w:val="005C7BF9"/>
    <w:rsid w:val="005D6DA6"/>
    <w:rsid w:val="005D6F2F"/>
    <w:rsid w:val="005E3995"/>
    <w:rsid w:val="005E7FA1"/>
    <w:rsid w:val="005F4CE9"/>
    <w:rsid w:val="005F5CE1"/>
    <w:rsid w:val="006026DE"/>
    <w:rsid w:val="00681555"/>
    <w:rsid w:val="00681ABD"/>
    <w:rsid w:val="0068769B"/>
    <w:rsid w:val="006A3183"/>
    <w:rsid w:val="006A42C1"/>
    <w:rsid w:val="006A6965"/>
    <w:rsid w:val="006C2EE4"/>
    <w:rsid w:val="006C5261"/>
    <w:rsid w:val="006D2477"/>
    <w:rsid w:val="006D28D5"/>
    <w:rsid w:val="006E4F25"/>
    <w:rsid w:val="006E539A"/>
    <w:rsid w:val="006E5969"/>
    <w:rsid w:val="006E5D29"/>
    <w:rsid w:val="006E7D87"/>
    <w:rsid w:val="006F031E"/>
    <w:rsid w:val="006F547D"/>
    <w:rsid w:val="007054BF"/>
    <w:rsid w:val="00705C72"/>
    <w:rsid w:val="00706373"/>
    <w:rsid w:val="007102D7"/>
    <w:rsid w:val="007123B3"/>
    <w:rsid w:val="00715745"/>
    <w:rsid w:val="00716F50"/>
    <w:rsid w:val="007210DD"/>
    <w:rsid w:val="00726E4A"/>
    <w:rsid w:val="00726F45"/>
    <w:rsid w:val="00731FF4"/>
    <w:rsid w:val="00733BA1"/>
    <w:rsid w:val="00734BB3"/>
    <w:rsid w:val="00740C64"/>
    <w:rsid w:val="00753092"/>
    <w:rsid w:val="007577AA"/>
    <w:rsid w:val="00764679"/>
    <w:rsid w:val="007744E3"/>
    <w:rsid w:val="0077646B"/>
    <w:rsid w:val="00776A5A"/>
    <w:rsid w:val="00777EE7"/>
    <w:rsid w:val="0078113C"/>
    <w:rsid w:val="007825E0"/>
    <w:rsid w:val="00787EC3"/>
    <w:rsid w:val="00797453"/>
    <w:rsid w:val="007A0692"/>
    <w:rsid w:val="007B5B12"/>
    <w:rsid w:val="007B5C81"/>
    <w:rsid w:val="007D246A"/>
    <w:rsid w:val="007E1FAE"/>
    <w:rsid w:val="007E4A96"/>
    <w:rsid w:val="008018C0"/>
    <w:rsid w:val="008042DC"/>
    <w:rsid w:val="00813E21"/>
    <w:rsid w:val="0082102F"/>
    <w:rsid w:val="00821EBE"/>
    <w:rsid w:val="00831F40"/>
    <w:rsid w:val="0083385F"/>
    <w:rsid w:val="00835F1B"/>
    <w:rsid w:val="00836001"/>
    <w:rsid w:val="008409A6"/>
    <w:rsid w:val="00841BED"/>
    <w:rsid w:val="00844F95"/>
    <w:rsid w:val="00846EEC"/>
    <w:rsid w:val="00851BF2"/>
    <w:rsid w:val="00853565"/>
    <w:rsid w:val="00864931"/>
    <w:rsid w:val="008726E1"/>
    <w:rsid w:val="008815FA"/>
    <w:rsid w:val="00887219"/>
    <w:rsid w:val="00887625"/>
    <w:rsid w:val="00893135"/>
    <w:rsid w:val="0089401D"/>
    <w:rsid w:val="008A176B"/>
    <w:rsid w:val="008A40A6"/>
    <w:rsid w:val="008A51FC"/>
    <w:rsid w:val="008B3A43"/>
    <w:rsid w:val="008C23D7"/>
    <w:rsid w:val="008E7662"/>
    <w:rsid w:val="0090339C"/>
    <w:rsid w:val="0090624E"/>
    <w:rsid w:val="009137FB"/>
    <w:rsid w:val="00913F79"/>
    <w:rsid w:val="00921960"/>
    <w:rsid w:val="00931940"/>
    <w:rsid w:val="00936BE3"/>
    <w:rsid w:val="00937960"/>
    <w:rsid w:val="009521B2"/>
    <w:rsid w:val="00957406"/>
    <w:rsid w:val="009672DB"/>
    <w:rsid w:val="009725ED"/>
    <w:rsid w:val="009742B1"/>
    <w:rsid w:val="009774D2"/>
    <w:rsid w:val="00981D37"/>
    <w:rsid w:val="00991834"/>
    <w:rsid w:val="009921F1"/>
    <w:rsid w:val="00997646"/>
    <w:rsid w:val="009A30A2"/>
    <w:rsid w:val="009A6B90"/>
    <w:rsid w:val="009B3600"/>
    <w:rsid w:val="009C4A78"/>
    <w:rsid w:val="009C4FB1"/>
    <w:rsid w:val="009D3618"/>
    <w:rsid w:val="009D7286"/>
    <w:rsid w:val="009D7923"/>
    <w:rsid w:val="009E5C0B"/>
    <w:rsid w:val="00A02A59"/>
    <w:rsid w:val="00A17B67"/>
    <w:rsid w:val="00A2679D"/>
    <w:rsid w:val="00A31F89"/>
    <w:rsid w:val="00A34030"/>
    <w:rsid w:val="00A35F33"/>
    <w:rsid w:val="00A47A55"/>
    <w:rsid w:val="00A51D22"/>
    <w:rsid w:val="00A530DF"/>
    <w:rsid w:val="00A71987"/>
    <w:rsid w:val="00A735B4"/>
    <w:rsid w:val="00A82FE9"/>
    <w:rsid w:val="00A83AAF"/>
    <w:rsid w:val="00A86E9A"/>
    <w:rsid w:val="00A90D1C"/>
    <w:rsid w:val="00A9531D"/>
    <w:rsid w:val="00A95F39"/>
    <w:rsid w:val="00AB1F10"/>
    <w:rsid w:val="00AB7DAC"/>
    <w:rsid w:val="00AD43D2"/>
    <w:rsid w:val="00AD6A3F"/>
    <w:rsid w:val="00AE04DD"/>
    <w:rsid w:val="00AF4BC0"/>
    <w:rsid w:val="00AF5E38"/>
    <w:rsid w:val="00AF789E"/>
    <w:rsid w:val="00B00600"/>
    <w:rsid w:val="00B01586"/>
    <w:rsid w:val="00B03FAD"/>
    <w:rsid w:val="00B046BF"/>
    <w:rsid w:val="00B05009"/>
    <w:rsid w:val="00B1663E"/>
    <w:rsid w:val="00B204AA"/>
    <w:rsid w:val="00B25E91"/>
    <w:rsid w:val="00B30FE1"/>
    <w:rsid w:val="00B32918"/>
    <w:rsid w:val="00B379F4"/>
    <w:rsid w:val="00B404A1"/>
    <w:rsid w:val="00B41AE1"/>
    <w:rsid w:val="00B45B75"/>
    <w:rsid w:val="00B50A92"/>
    <w:rsid w:val="00B6001D"/>
    <w:rsid w:val="00B60769"/>
    <w:rsid w:val="00B71F4E"/>
    <w:rsid w:val="00B723E2"/>
    <w:rsid w:val="00B73CA3"/>
    <w:rsid w:val="00B76C43"/>
    <w:rsid w:val="00B81D51"/>
    <w:rsid w:val="00B83121"/>
    <w:rsid w:val="00B86742"/>
    <w:rsid w:val="00B87890"/>
    <w:rsid w:val="00B95A3E"/>
    <w:rsid w:val="00BA266A"/>
    <w:rsid w:val="00BA2790"/>
    <w:rsid w:val="00BA66E6"/>
    <w:rsid w:val="00BB0352"/>
    <w:rsid w:val="00BB16FD"/>
    <w:rsid w:val="00BB4C44"/>
    <w:rsid w:val="00BC1593"/>
    <w:rsid w:val="00BC1769"/>
    <w:rsid w:val="00BC2D64"/>
    <w:rsid w:val="00BC51BA"/>
    <w:rsid w:val="00BC7A79"/>
    <w:rsid w:val="00BD1DD2"/>
    <w:rsid w:val="00BD345C"/>
    <w:rsid w:val="00BE3436"/>
    <w:rsid w:val="00BE42C4"/>
    <w:rsid w:val="00BE7DD3"/>
    <w:rsid w:val="00BF26A5"/>
    <w:rsid w:val="00BF3CBB"/>
    <w:rsid w:val="00C01764"/>
    <w:rsid w:val="00C01FFA"/>
    <w:rsid w:val="00C14921"/>
    <w:rsid w:val="00C1778F"/>
    <w:rsid w:val="00C22C07"/>
    <w:rsid w:val="00C25BF5"/>
    <w:rsid w:val="00C30D56"/>
    <w:rsid w:val="00C35E58"/>
    <w:rsid w:val="00C5744F"/>
    <w:rsid w:val="00C7689A"/>
    <w:rsid w:val="00C81442"/>
    <w:rsid w:val="00C900EF"/>
    <w:rsid w:val="00C91A46"/>
    <w:rsid w:val="00C925A0"/>
    <w:rsid w:val="00C925A1"/>
    <w:rsid w:val="00CA01D9"/>
    <w:rsid w:val="00CB2E2D"/>
    <w:rsid w:val="00CC6CC5"/>
    <w:rsid w:val="00CD24B7"/>
    <w:rsid w:val="00CD3826"/>
    <w:rsid w:val="00CE0B32"/>
    <w:rsid w:val="00CE2FD5"/>
    <w:rsid w:val="00CE76AC"/>
    <w:rsid w:val="00CF188F"/>
    <w:rsid w:val="00D01479"/>
    <w:rsid w:val="00D05025"/>
    <w:rsid w:val="00D13B81"/>
    <w:rsid w:val="00D2236B"/>
    <w:rsid w:val="00D30DD0"/>
    <w:rsid w:val="00D31FA6"/>
    <w:rsid w:val="00D46244"/>
    <w:rsid w:val="00D529CD"/>
    <w:rsid w:val="00D53C21"/>
    <w:rsid w:val="00D56E21"/>
    <w:rsid w:val="00D62EC4"/>
    <w:rsid w:val="00D646BA"/>
    <w:rsid w:val="00D663D1"/>
    <w:rsid w:val="00D73B61"/>
    <w:rsid w:val="00D74EBB"/>
    <w:rsid w:val="00D920D7"/>
    <w:rsid w:val="00D9441F"/>
    <w:rsid w:val="00D95B23"/>
    <w:rsid w:val="00DB68C3"/>
    <w:rsid w:val="00DB6B21"/>
    <w:rsid w:val="00DC321B"/>
    <w:rsid w:val="00DD04B0"/>
    <w:rsid w:val="00DD52D2"/>
    <w:rsid w:val="00DE310E"/>
    <w:rsid w:val="00DE67E9"/>
    <w:rsid w:val="00DF32A4"/>
    <w:rsid w:val="00DF41D4"/>
    <w:rsid w:val="00E0167A"/>
    <w:rsid w:val="00E04967"/>
    <w:rsid w:val="00E14C65"/>
    <w:rsid w:val="00E20B96"/>
    <w:rsid w:val="00E22353"/>
    <w:rsid w:val="00E233D1"/>
    <w:rsid w:val="00E23CE0"/>
    <w:rsid w:val="00E32D68"/>
    <w:rsid w:val="00E332C6"/>
    <w:rsid w:val="00E3346E"/>
    <w:rsid w:val="00E504BC"/>
    <w:rsid w:val="00E7017A"/>
    <w:rsid w:val="00E71C72"/>
    <w:rsid w:val="00E7604E"/>
    <w:rsid w:val="00E807F3"/>
    <w:rsid w:val="00E84D6E"/>
    <w:rsid w:val="00EA2316"/>
    <w:rsid w:val="00EA2C9F"/>
    <w:rsid w:val="00EA5DFB"/>
    <w:rsid w:val="00EB0F09"/>
    <w:rsid w:val="00EB49AC"/>
    <w:rsid w:val="00EB5092"/>
    <w:rsid w:val="00EB5986"/>
    <w:rsid w:val="00EB5D31"/>
    <w:rsid w:val="00EB779C"/>
    <w:rsid w:val="00EC1633"/>
    <w:rsid w:val="00EC3FC9"/>
    <w:rsid w:val="00EC7783"/>
    <w:rsid w:val="00ED310A"/>
    <w:rsid w:val="00ED3B1F"/>
    <w:rsid w:val="00ED7DA7"/>
    <w:rsid w:val="00EE100E"/>
    <w:rsid w:val="00EE456A"/>
    <w:rsid w:val="00EE53DD"/>
    <w:rsid w:val="00EF4B63"/>
    <w:rsid w:val="00EF68DC"/>
    <w:rsid w:val="00F00BF7"/>
    <w:rsid w:val="00F0171C"/>
    <w:rsid w:val="00F02F9B"/>
    <w:rsid w:val="00F14A43"/>
    <w:rsid w:val="00F16144"/>
    <w:rsid w:val="00F223B8"/>
    <w:rsid w:val="00F2240E"/>
    <w:rsid w:val="00F229A7"/>
    <w:rsid w:val="00F22E5F"/>
    <w:rsid w:val="00F2681D"/>
    <w:rsid w:val="00F26DD8"/>
    <w:rsid w:val="00F27D10"/>
    <w:rsid w:val="00F42380"/>
    <w:rsid w:val="00F43440"/>
    <w:rsid w:val="00F507F7"/>
    <w:rsid w:val="00F561F9"/>
    <w:rsid w:val="00F66102"/>
    <w:rsid w:val="00F81B31"/>
    <w:rsid w:val="00F86BB8"/>
    <w:rsid w:val="00F8714D"/>
    <w:rsid w:val="00F92602"/>
    <w:rsid w:val="00F97DE7"/>
    <w:rsid w:val="00FA309C"/>
    <w:rsid w:val="00FA3E74"/>
    <w:rsid w:val="00FA627B"/>
    <w:rsid w:val="00FB4DE9"/>
    <w:rsid w:val="00FC50AD"/>
    <w:rsid w:val="00FD568F"/>
    <w:rsid w:val="00FE0720"/>
    <w:rsid w:val="00FE27C1"/>
    <w:rsid w:val="00FF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cf6"/>
    </o:shapedefaults>
    <o:shapelayout v:ext="edit">
      <o:idmap v:ext="edit" data="1"/>
    </o:shapelayout>
  </w:shapeDefaults>
  <w:decimalSymbol w:val="."/>
  <w:listSeparator w:val=","/>
  <w14:docId w14:val="3441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qFormat/>
    <w:pPr>
      <w:keepNext/>
      <w:numPr>
        <w:numId w:val="3"/>
      </w:numPr>
      <w:spacing w:before="120" w:after="120"/>
      <w:outlineLvl w:val="0"/>
    </w:pPr>
    <w:rPr>
      <w:sz w:val="32"/>
      <w:u w:val="single"/>
    </w:rPr>
  </w:style>
  <w:style w:type="paragraph" w:styleId="Heading2">
    <w:name w:val="heading 2"/>
    <w:basedOn w:val="Normal"/>
    <w:next w:val="BlockText"/>
    <w:qFormat/>
    <w:rsid w:val="0043735B"/>
    <w:pPr>
      <w:keepNext/>
      <w:numPr>
        <w:ilvl w:val="1"/>
        <w:numId w:val="3"/>
      </w:numPr>
      <w:spacing w:before="120" w:after="120"/>
      <w:outlineLvl w:val="1"/>
    </w:pPr>
    <w:rPr>
      <w:b/>
      <w:color w:val="000000"/>
      <w:sz w:val="24"/>
      <w:u w:val="single"/>
    </w:rPr>
  </w:style>
  <w:style w:type="paragraph" w:styleId="Heading3">
    <w:name w:val="heading 3"/>
    <w:basedOn w:val="Normal"/>
    <w:next w:val="Normal"/>
    <w:qFormat/>
    <w:pPr>
      <w:keepNext/>
      <w:numPr>
        <w:ilvl w:val="2"/>
        <w:numId w:val="4"/>
      </w:numPr>
      <w:spacing w:before="240"/>
      <w:outlineLvl w:val="2"/>
    </w:pPr>
    <w:rPr>
      <w:rFonts w:ascii="Arial" w:eastAsia="Times" w:hAnsi="Arial"/>
      <w:u w:val="single"/>
      <w:lang w:val="en-GB"/>
    </w:rPr>
  </w:style>
  <w:style w:type="paragraph" w:styleId="Heading4">
    <w:name w:val="heading 4"/>
    <w:basedOn w:val="Normal"/>
    <w:next w:val="Normal"/>
    <w:qFormat/>
    <w:pPr>
      <w:keepNext/>
      <w:numPr>
        <w:ilvl w:val="3"/>
        <w:numId w:val="3"/>
      </w:numPr>
      <w:spacing w:before="80" w:after="120"/>
      <w:jc w:val="left"/>
      <w:outlineLvl w:val="3"/>
    </w:pPr>
    <w:rPr>
      <w:rFonts w:eastAsia="Times"/>
      <w:b/>
      <w:i/>
      <w:lang w:val="en-GB"/>
    </w:rPr>
  </w:style>
  <w:style w:type="paragraph" w:styleId="Heading5">
    <w:name w:val="heading 5"/>
    <w:basedOn w:val="Normal"/>
    <w:next w:val="Normal"/>
    <w:qFormat/>
    <w:pPr>
      <w:numPr>
        <w:ilvl w:val="4"/>
        <w:numId w:val="3"/>
      </w:numPr>
      <w:spacing w:before="240"/>
      <w:outlineLvl w:val="4"/>
    </w:pPr>
  </w:style>
  <w:style w:type="paragraph" w:styleId="Heading6">
    <w:name w:val="heading 6"/>
    <w:basedOn w:val="Normal"/>
    <w:next w:val="Normal"/>
    <w:qFormat/>
    <w:pPr>
      <w:numPr>
        <w:ilvl w:val="5"/>
        <w:numId w:val="3"/>
      </w:numPr>
      <w:spacing w:before="240"/>
      <w:outlineLvl w:val="5"/>
    </w:pPr>
    <w:rPr>
      <w:i/>
    </w:rPr>
  </w:style>
  <w:style w:type="paragraph" w:styleId="Heading7">
    <w:name w:val="heading 7"/>
    <w:basedOn w:val="Normal"/>
    <w:next w:val="Normal"/>
    <w:qFormat/>
    <w:pPr>
      <w:numPr>
        <w:ilvl w:val="6"/>
        <w:numId w:val="3"/>
      </w:numPr>
      <w:spacing w:before="240"/>
      <w:outlineLvl w:val="6"/>
    </w:pPr>
    <w:rPr>
      <w:rFonts w:ascii="Arial" w:hAnsi="Arial"/>
    </w:rPr>
  </w:style>
  <w:style w:type="paragraph" w:styleId="Heading8">
    <w:name w:val="heading 8"/>
    <w:basedOn w:val="Normal"/>
    <w:next w:val="Normal"/>
    <w:qFormat/>
    <w:pPr>
      <w:keepNext/>
      <w:numPr>
        <w:ilvl w:val="7"/>
        <w:numId w:val="3"/>
      </w:numPr>
      <w:jc w:val="center"/>
      <w:outlineLvl w:val="7"/>
    </w:pPr>
    <w:rPr>
      <w:color w:val="FFFFFF"/>
      <w:u w:val="single"/>
      <w:lang w:val="es-ES"/>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120" w:after="240"/>
      <w:jc w:val="center"/>
    </w:pPr>
    <w:rPr>
      <w:sz w:val="56"/>
      <w:u w:val="double"/>
      <w:lang w:val="en-GB"/>
    </w:rPr>
  </w:style>
  <w:style w:type="paragraph" w:styleId="BodyText">
    <w:name w:val="Body Text"/>
    <w:basedOn w:val="Normal"/>
    <w:rPr>
      <w:rFonts w:ascii="Arial" w:hAnsi="Arial"/>
      <w:sz w:val="36"/>
      <w:u w:val="single"/>
      <w:lang w:val="es-ES"/>
    </w:rPr>
  </w:style>
  <w:style w:type="paragraph" w:styleId="BodyTextIndent3">
    <w:name w:val="Body Text Indent 3"/>
    <w:basedOn w:val="Normal"/>
    <w:pPr>
      <w:ind w:left="5040" w:hanging="2160"/>
    </w:pPr>
    <w:rPr>
      <w:snapToGrid w:val="0"/>
      <w:lang w:val="en-GB"/>
    </w:rPr>
  </w:style>
  <w:style w:type="paragraph" w:styleId="BodyText3">
    <w:name w:val="Body Text 3"/>
    <w:basedOn w:val="Normal"/>
    <w:pPr>
      <w:spacing w:before="80"/>
    </w:pPr>
    <w:rPr>
      <w:rFonts w:eastAsia="Times"/>
      <w:sz w:val="24"/>
      <w:lang w:val="en-GB"/>
    </w:rPr>
  </w:style>
  <w:style w:type="paragraph" w:styleId="BodyText2">
    <w:name w:val="Body Text 2"/>
    <w:basedOn w:val="Normal"/>
    <w:pPr>
      <w:jc w:val="center"/>
    </w:pPr>
    <w:rPr>
      <w:b/>
      <w:color w:val="FF0000"/>
      <w:sz w:val="24"/>
    </w:rPr>
  </w:style>
  <w:style w:type="paragraph" w:styleId="Subtitle">
    <w:name w:val="Subtitle"/>
    <w:basedOn w:val="Normal"/>
    <w:qFormat/>
    <w:rPr>
      <w:b/>
      <w:color w:val="FF000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1">
    <w:name w:val="Liste 21"/>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pPr>
      <w:spacing w:before="120" w:after="120"/>
      <w:jc w:val="left"/>
    </w:pPr>
    <w:rPr>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semiHidden/>
    <w:pPr>
      <w:spacing w:after="0"/>
      <w:ind w:left="440"/>
      <w:jc w:val="left"/>
    </w:pPr>
    <w:rPr>
      <w:i/>
      <w:sz w:val="20"/>
    </w:rPr>
  </w:style>
  <w:style w:type="paragraph" w:styleId="TOC4">
    <w:name w:val="toc 4"/>
    <w:basedOn w:val="Normal"/>
    <w:next w:val="Normal"/>
    <w:autoRedefine/>
    <w:semiHidden/>
    <w:pPr>
      <w:spacing w:after="0"/>
      <w:ind w:left="660"/>
      <w:jc w:val="left"/>
    </w:pPr>
    <w:rPr>
      <w:sz w:val="18"/>
    </w:rPr>
  </w:style>
  <w:style w:type="paragraph" w:styleId="TOC5">
    <w:name w:val="toc 5"/>
    <w:basedOn w:val="Normal"/>
    <w:next w:val="Normal"/>
    <w:autoRedefine/>
    <w:semiHidden/>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E91"/>
    <w:pPr>
      <w:ind w:left="720"/>
      <w:contextualSpacing/>
    </w:pPr>
  </w:style>
  <w:style w:type="character" w:styleId="CommentReference">
    <w:name w:val="annotation reference"/>
    <w:basedOn w:val="DefaultParagraphFont"/>
    <w:rsid w:val="000E5BE8"/>
    <w:rPr>
      <w:sz w:val="16"/>
      <w:szCs w:val="16"/>
    </w:rPr>
  </w:style>
  <w:style w:type="paragraph" w:styleId="CommentText">
    <w:name w:val="annotation text"/>
    <w:basedOn w:val="Normal"/>
    <w:link w:val="CommentTextChar"/>
    <w:rsid w:val="000E5BE8"/>
    <w:rPr>
      <w:sz w:val="20"/>
    </w:rPr>
  </w:style>
  <w:style w:type="character" w:customStyle="1" w:styleId="CommentTextChar">
    <w:name w:val="Comment Text Char"/>
    <w:basedOn w:val="DefaultParagraphFont"/>
    <w:link w:val="CommentText"/>
    <w:rsid w:val="000E5BE8"/>
    <w:rPr>
      <w:lang w:val="en-US" w:eastAsia="en-US"/>
    </w:rPr>
  </w:style>
  <w:style w:type="paragraph" w:styleId="CommentSubject">
    <w:name w:val="annotation subject"/>
    <w:basedOn w:val="CommentText"/>
    <w:next w:val="CommentText"/>
    <w:link w:val="CommentSubjectChar"/>
    <w:rsid w:val="000E5BE8"/>
    <w:rPr>
      <w:b/>
      <w:bCs/>
    </w:rPr>
  </w:style>
  <w:style w:type="character" w:customStyle="1" w:styleId="CommentSubjectChar">
    <w:name w:val="Comment Subject Char"/>
    <w:basedOn w:val="CommentTextChar"/>
    <w:link w:val="CommentSubject"/>
    <w:rsid w:val="000E5BE8"/>
    <w:rPr>
      <w:b/>
      <w:bCs/>
      <w:lang w:val="en-US" w:eastAsia="en-US"/>
    </w:rPr>
  </w:style>
  <w:style w:type="character" w:customStyle="1" w:styleId="ng-binding">
    <w:name w:val="ng-binding"/>
    <w:basedOn w:val="DefaultParagraphFont"/>
    <w:rsid w:val="00EC3FC9"/>
  </w:style>
  <w:style w:type="paragraph" w:customStyle="1" w:styleId="Default">
    <w:name w:val="Default"/>
    <w:rsid w:val="00001ECA"/>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503681"/>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qFormat/>
    <w:pPr>
      <w:keepNext/>
      <w:numPr>
        <w:numId w:val="3"/>
      </w:numPr>
      <w:spacing w:before="120" w:after="120"/>
      <w:outlineLvl w:val="0"/>
    </w:pPr>
    <w:rPr>
      <w:sz w:val="32"/>
      <w:u w:val="single"/>
    </w:rPr>
  </w:style>
  <w:style w:type="paragraph" w:styleId="Heading2">
    <w:name w:val="heading 2"/>
    <w:basedOn w:val="Normal"/>
    <w:next w:val="BlockText"/>
    <w:qFormat/>
    <w:rsid w:val="0043735B"/>
    <w:pPr>
      <w:keepNext/>
      <w:numPr>
        <w:ilvl w:val="1"/>
        <w:numId w:val="3"/>
      </w:numPr>
      <w:spacing w:before="120" w:after="120"/>
      <w:outlineLvl w:val="1"/>
    </w:pPr>
    <w:rPr>
      <w:b/>
      <w:color w:val="000000"/>
      <w:sz w:val="24"/>
      <w:u w:val="single"/>
    </w:rPr>
  </w:style>
  <w:style w:type="paragraph" w:styleId="Heading3">
    <w:name w:val="heading 3"/>
    <w:basedOn w:val="Normal"/>
    <w:next w:val="Normal"/>
    <w:qFormat/>
    <w:pPr>
      <w:keepNext/>
      <w:numPr>
        <w:ilvl w:val="2"/>
        <w:numId w:val="4"/>
      </w:numPr>
      <w:spacing w:before="240"/>
      <w:outlineLvl w:val="2"/>
    </w:pPr>
    <w:rPr>
      <w:rFonts w:ascii="Arial" w:eastAsia="Times" w:hAnsi="Arial"/>
      <w:u w:val="single"/>
      <w:lang w:val="en-GB"/>
    </w:rPr>
  </w:style>
  <w:style w:type="paragraph" w:styleId="Heading4">
    <w:name w:val="heading 4"/>
    <w:basedOn w:val="Normal"/>
    <w:next w:val="Normal"/>
    <w:qFormat/>
    <w:pPr>
      <w:keepNext/>
      <w:numPr>
        <w:ilvl w:val="3"/>
        <w:numId w:val="3"/>
      </w:numPr>
      <w:spacing w:before="80" w:after="120"/>
      <w:jc w:val="left"/>
      <w:outlineLvl w:val="3"/>
    </w:pPr>
    <w:rPr>
      <w:rFonts w:eastAsia="Times"/>
      <w:b/>
      <w:i/>
      <w:lang w:val="en-GB"/>
    </w:rPr>
  </w:style>
  <w:style w:type="paragraph" w:styleId="Heading5">
    <w:name w:val="heading 5"/>
    <w:basedOn w:val="Normal"/>
    <w:next w:val="Normal"/>
    <w:qFormat/>
    <w:pPr>
      <w:numPr>
        <w:ilvl w:val="4"/>
        <w:numId w:val="3"/>
      </w:numPr>
      <w:spacing w:before="240"/>
      <w:outlineLvl w:val="4"/>
    </w:pPr>
  </w:style>
  <w:style w:type="paragraph" w:styleId="Heading6">
    <w:name w:val="heading 6"/>
    <w:basedOn w:val="Normal"/>
    <w:next w:val="Normal"/>
    <w:qFormat/>
    <w:pPr>
      <w:numPr>
        <w:ilvl w:val="5"/>
        <w:numId w:val="3"/>
      </w:numPr>
      <w:spacing w:before="240"/>
      <w:outlineLvl w:val="5"/>
    </w:pPr>
    <w:rPr>
      <w:i/>
    </w:rPr>
  </w:style>
  <w:style w:type="paragraph" w:styleId="Heading7">
    <w:name w:val="heading 7"/>
    <w:basedOn w:val="Normal"/>
    <w:next w:val="Normal"/>
    <w:qFormat/>
    <w:pPr>
      <w:numPr>
        <w:ilvl w:val="6"/>
        <w:numId w:val="3"/>
      </w:numPr>
      <w:spacing w:before="240"/>
      <w:outlineLvl w:val="6"/>
    </w:pPr>
    <w:rPr>
      <w:rFonts w:ascii="Arial" w:hAnsi="Arial"/>
    </w:rPr>
  </w:style>
  <w:style w:type="paragraph" w:styleId="Heading8">
    <w:name w:val="heading 8"/>
    <w:basedOn w:val="Normal"/>
    <w:next w:val="Normal"/>
    <w:qFormat/>
    <w:pPr>
      <w:keepNext/>
      <w:numPr>
        <w:ilvl w:val="7"/>
        <w:numId w:val="3"/>
      </w:numPr>
      <w:jc w:val="center"/>
      <w:outlineLvl w:val="7"/>
    </w:pPr>
    <w:rPr>
      <w:color w:val="FFFFFF"/>
      <w:u w:val="single"/>
      <w:lang w:val="es-ES"/>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120" w:after="240"/>
      <w:jc w:val="center"/>
    </w:pPr>
    <w:rPr>
      <w:sz w:val="56"/>
      <w:u w:val="double"/>
      <w:lang w:val="en-GB"/>
    </w:rPr>
  </w:style>
  <w:style w:type="paragraph" w:styleId="BodyText">
    <w:name w:val="Body Text"/>
    <w:basedOn w:val="Normal"/>
    <w:rPr>
      <w:rFonts w:ascii="Arial" w:hAnsi="Arial"/>
      <w:sz w:val="36"/>
      <w:u w:val="single"/>
      <w:lang w:val="es-ES"/>
    </w:rPr>
  </w:style>
  <w:style w:type="paragraph" w:styleId="BodyTextIndent3">
    <w:name w:val="Body Text Indent 3"/>
    <w:basedOn w:val="Normal"/>
    <w:pPr>
      <w:ind w:left="5040" w:hanging="2160"/>
    </w:pPr>
    <w:rPr>
      <w:snapToGrid w:val="0"/>
      <w:lang w:val="en-GB"/>
    </w:rPr>
  </w:style>
  <w:style w:type="paragraph" w:styleId="BodyText3">
    <w:name w:val="Body Text 3"/>
    <w:basedOn w:val="Normal"/>
    <w:pPr>
      <w:spacing w:before="80"/>
    </w:pPr>
    <w:rPr>
      <w:rFonts w:eastAsia="Times"/>
      <w:sz w:val="24"/>
      <w:lang w:val="en-GB"/>
    </w:rPr>
  </w:style>
  <w:style w:type="paragraph" w:styleId="BodyText2">
    <w:name w:val="Body Text 2"/>
    <w:basedOn w:val="Normal"/>
    <w:pPr>
      <w:jc w:val="center"/>
    </w:pPr>
    <w:rPr>
      <w:b/>
      <w:color w:val="FF0000"/>
      <w:sz w:val="24"/>
    </w:rPr>
  </w:style>
  <w:style w:type="paragraph" w:styleId="Subtitle">
    <w:name w:val="Subtitle"/>
    <w:basedOn w:val="Normal"/>
    <w:qFormat/>
    <w:rPr>
      <w:b/>
      <w:color w:val="FF000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1">
    <w:name w:val="Liste 21"/>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pPr>
      <w:spacing w:before="120" w:after="120"/>
      <w:jc w:val="left"/>
    </w:pPr>
    <w:rPr>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semiHidden/>
    <w:pPr>
      <w:spacing w:after="0"/>
      <w:ind w:left="440"/>
      <w:jc w:val="left"/>
    </w:pPr>
    <w:rPr>
      <w:i/>
      <w:sz w:val="20"/>
    </w:rPr>
  </w:style>
  <w:style w:type="paragraph" w:styleId="TOC4">
    <w:name w:val="toc 4"/>
    <w:basedOn w:val="Normal"/>
    <w:next w:val="Normal"/>
    <w:autoRedefine/>
    <w:semiHidden/>
    <w:pPr>
      <w:spacing w:after="0"/>
      <w:ind w:left="660"/>
      <w:jc w:val="left"/>
    </w:pPr>
    <w:rPr>
      <w:sz w:val="18"/>
    </w:rPr>
  </w:style>
  <w:style w:type="paragraph" w:styleId="TOC5">
    <w:name w:val="toc 5"/>
    <w:basedOn w:val="Normal"/>
    <w:next w:val="Normal"/>
    <w:autoRedefine/>
    <w:semiHidden/>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E91"/>
    <w:pPr>
      <w:ind w:left="720"/>
      <w:contextualSpacing/>
    </w:pPr>
  </w:style>
  <w:style w:type="character" w:styleId="CommentReference">
    <w:name w:val="annotation reference"/>
    <w:basedOn w:val="DefaultParagraphFont"/>
    <w:rsid w:val="000E5BE8"/>
    <w:rPr>
      <w:sz w:val="16"/>
      <w:szCs w:val="16"/>
    </w:rPr>
  </w:style>
  <w:style w:type="paragraph" w:styleId="CommentText">
    <w:name w:val="annotation text"/>
    <w:basedOn w:val="Normal"/>
    <w:link w:val="CommentTextChar"/>
    <w:rsid w:val="000E5BE8"/>
    <w:rPr>
      <w:sz w:val="20"/>
    </w:rPr>
  </w:style>
  <w:style w:type="character" w:customStyle="1" w:styleId="CommentTextChar">
    <w:name w:val="Comment Text Char"/>
    <w:basedOn w:val="DefaultParagraphFont"/>
    <w:link w:val="CommentText"/>
    <w:rsid w:val="000E5BE8"/>
    <w:rPr>
      <w:lang w:val="en-US" w:eastAsia="en-US"/>
    </w:rPr>
  </w:style>
  <w:style w:type="paragraph" w:styleId="CommentSubject">
    <w:name w:val="annotation subject"/>
    <w:basedOn w:val="CommentText"/>
    <w:next w:val="CommentText"/>
    <w:link w:val="CommentSubjectChar"/>
    <w:rsid w:val="000E5BE8"/>
    <w:rPr>
      <w:b/>
      <w:bCs/>
    </w:rPr>
  </w:style>
  <w:style w:type="character" w:customStyle="1" w:styleId="CommentSubjectChar">
    <w:name w:val="Comment Subject Char"/>
    <w:basedOn w:val="CommentTextChar"/>
    <w:link w:val="CommentSubject"/>
    <w:rsid w:val="000E5BE8"/>
    <w:rPr>
      <w:b/>
      <w:bCs/>
      <w:lang w:val="en-US" w:eastAsia="en-US"/>
    </w:rPr>
  </w:style>
  <w:style w:type="character" w:customStyle="1" w:styleId="ng-binding">
    <w:name w:val="ng-binding"/>
    <w:basedOn w:val="DefaultParagraphFont"/>
    <w:rsid w:val="00EC3FC9"/>
  </w:style>
  <w:style w:type="paragraph" w:customStyle="1" w:styleId="Default">
    <w:name w:val="Default"/>
    <w:rsid w:val="00001ECA"/>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503681"/>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8665">
      <w:bodyDiv w:val="1"/>
      <w:marLeft w:val="0"/>
      <w:marRight w:val="0"/>
      <w:marTop w:val="0"/>
      <w:marBottom w:val="0"/>
      <w:divBdr>
        <w:top w:val="none" w:sz="0" w:space="0" w:color="auto"/>
        <w:left w:val="none" w:sz="0" w:space="0" w:color="auto"/>
        <w:bottom w:val="none" w:sz="0" w:space="0" w:color="auto"/>
        <w:right w:val="none" w:sz="0" w:space="0" w:color="auto"/>
      </w:divBdr>
    </w:div>
    <w:div w:id="336661022">
      <w:bodyDiv w:val="1"/>
      <w:marLeft w:val="0"/>
      <w:marRight w:val="0"/>
      <w:marTop w:val="0"/>
      <w:marBottom w:val="0"/>
      <w:divBdr>
        <w:top w:val="none" w:sz="0" w:space="0" w:color="auto"/>
        <w:left w:val="none" w:sz="0" w:space="0" w:color="auto"/>
        <w:bottom w:val="none" w:sz="0" w:space="0" w:color="auto"/>
        <w:right w:val="none" w:sz="0" w:space="0" w:color="auto"/>
      </w:divBdr>
    </w:div>
    <w:div w:id="368140949">
      <w:bodyDiv w:val="1"/>
      <w:marLeft w:val="0"/>
      <w:marRight w:val="0"/>
      <w:marTop w:val="0"/>
      <w:marBottom w:val="0"/>
      <w:divBdr>
        <w:top w:val="none" w:sz="0" w:space="0" w:color="auto"/>
        <w:left w:val="none" w:sz="0" w:space="0" w:color="auto"/>
        <w:bottom w:val="none" w:sz="0" w:space="0" w:color="auto"/>
        <w:right w:val="none" w:sz="0" w:space="0" w:color="auto"/>
      </w:divBdr>
    </w:div>
    <w:div w:id="409347924">
      <w:bodyDiv w:val="1"/>
      <w:marLeft w:val="0"/>
      <w:marRight w:val="0"/>
      <w:marTop w:val="0"/>
      <w:marBottom w:val="0"/>
      <w:divBdr>
        <w:top w:val="none" w:sz="0" w:space="0" w:color="auto"/>
        <w:left w:val="none" w:sz="0" w:space="0" w:color="auto"/>
        <w:bottom w:val="none" w:sz="0" w:space="0" w:color="auto"/>
        <w:right w:val="none" w:sz="0" w:space="0" w:color="auto"/>
      </w:divBdr>
    </w:div>
    <w:div w:id="643125063">
      <w:bodyDiv w:val="1"/>
      <w:marLeft w:val="0"/>
      <w:marRight w:val="0"/>
      <w:marTop w:val="0"/>
      <w:marBottom w:val="0"/>
      <w:divBdr>
        <w:top w:val="none" w:sz="0" w:space="0" w:color="auto"/>
        <w:left w:val="none" w:sz="0" w:space="0" w:color="auto"/>
        <w:bottom w:val="none" w:sz="0" w:space="0" w:color="auto"/>
        <w:right w:val="none" w:sz="0" w:space="0" w:color="auto"/>
      </w:divBdr>
    </w:div>
    <w:div w:id="645816815">
      <w:bodyDiv w:val="1"/>
      <w:marLeft w:val="0"/>
      <w:marRight w:val="0"/>
      <w:marTop w:val="0"/>
      <w:marBottom w:val="0"/>
      <w:divBdr>
        <w:top w:val="none" w:sz="0" w:space="0" w:color="auto"/>
        <w:left w:val="none" w:sz="0" w:space="0" w:color="auto"/>
        <w:bottom w:val="none" w:sz="0" w:space="0" w:color="auto"/>
        <w:right w:val="none" w:sz="0" w:space="0" w:color="auto"/>
      </w:divBdr>
    </w:div>
    <w:div w:id="658466723">
      <w:bodyDiv w:val="1"/>
      <w:marLeft w:val="0"/>
      <w:marRight w:val="0"/>
      <w:marTop w:val="0"/>
      <w:marBottom w:val="0"/>
      <w:divBdr>
        <w:top w:val="none" w:sz="0" w:space="0" w:color="auto"/>
        <w:left w:val="none" w:sz="0" w:space="0" w:color="auto"/>
        <w:bottom w:val="none" w:sz="0" w:space="0" w:color="auto"/>
        <w:right w:val="none" w:sz="0" w:space="0" w:color="auto"/>
      </w:divBdr>
    </w:div>
    <w:div w:id="974408999">
      <w:bodyDiv w:val="1"/>
      <w:marLeft w:val="0"/>
      <w:marRight w:val="0"/>
      <w:marTop w:val="0"/>
      <w:marBottom w:val="0"/>
      <w:divBdr>
        <w:top w:val="none" w:sz="0" w:space="0" w:color="auto"/>
        <w:left w:val="none" w:sz="0" w:space="0" w:color="auto"/>
        <w:bottom w:val="none" w:sz="0" w:space="0" w:color="auto"/>
        <w:right w:val="none" w:sz="0" w:space="0" w:color="auto"/>
      </w:divBdr>
    </w:div>
    <w:div w:id="993535095">
      <w:bodyDiv w:val="1"/>
      <w:marLeft w:val="0"/>
      <w:marRight w:val="0"/>
      <w:marTop w:val="0"/>
      <w:marBottom w:val="0"/>
      <w:divBdr>
        <w:top w:val="none" w:sz="0" w:space="0" w:color="auto"/>
        <w:left w:val="none" w:sz="0" w:space="0" w:color="auto"/>
        <w:bottom w:val="none" w:sz="0" w:space="0" w:color="auto"/>
        <w:right w:val="none" w:sz="0" w:space="0" w:color="auto"/>
      </w:divBdr>
    </w:div>
    <w:div w:id="996229518">
      <w:bodyDiv w:val="1"/>
      <w:marLeft w:val="0"/>
      <w:marRight w:val="0"/>
      <w:marTop w:val="0"/>
      <w:marBottom w:val="0"/>
      <w:divBdr>
        <w:top w:val="none" w:sz="0" w:space="0" w:color="auto"/>
        <w:left w:val="none" w:sz="0" w:space="0" w:color="auto"/>
        <w:bottom w:val="none" w:sz="0" w:space="0" w:color="auto"/>
        <w:right w:val="none" w:sz="0" w:space="0" w:color="auto"/>
      </w:divBdr>
    </w:div>
    <w:div w:id="1029457264">
      <w:bodyDiv w:val="1"/>
      <w:marLeft w:val="0"/>
      <w:marRight w:val="0"/>
      <w:marTop w:val="0"/>
      <w:marBottom w:val="0"/>
      <w:divBdr>
        <w:top w:val="none" w:sz="0" w:space="0" w:color="auto"/>
        <w:left w:val="none" w:sz="0" w:space="0" w:color="auto"/>
        <w:bottom w:val="none" w:sz="0" w:space="0" w:color="auto"/>
        <w:right w:val="none" w:sz="0" w:space="0" w:color="auto"/>
      </w:divBdr>
      <w:divsChild>
        <w:div w:id="889146555">
          <w:marLeft w:val="1166"/>
          <w:marRight w:val="0"/>
          <w:marTop w:val="86"/>
          <w:marBottom w:val="0"/>
          <w:divBdr>
            <w:top w:val="none" w:sz="0" w:space="0" w:color="auto"/>
            <w:left w:val="none" w:sz="0" w:space="0" w:color="auto"/>
            <w:bottom w:val="none" w:sz="0" w:space="0" w:color="auto"/>
            <w:right w:val="none" w:sz="0" w:space="0" w:color="auto"/>
          </w:divBdr>
        </w:div>
        <w:div w:id="411195001">
          <w:marLeft w:val="1800"/>
          <w:marRight w:val="0"/>
          <w:marTop w:val="77"/>
          <w:marBottom w:val="0"/>
          <w:divBdr>
            <w:top w:val="none" w:sz="0" w:space="0" w:color="auto"/>
            <w:left w:val="none" w:sz="0" w:space="0" w:color="auto"/>
            <w:bottom w:val="none" w:sz="0" w:space="0" w:color="auto"/>
            <w:right w:val="none" w:sz="0" w:space="0" w:color="auto"/>
          </w:divBdr>
        </w:div>
        <w:div w:id="1424837942">
          <w:marLeft w:val="1166"/>
          <w:marRight w:val="0"/>
          <w:marTop w:val="86"/>
          <w:marBottom w:val="0"/>
          <w:divBdr>
            <w:top w:val="none" w:sz="0" w:space="0" w:color="auto"/>
            <w:left w:val="none" w:sz="0" w:space="0" w:color="auto"/>
            <w:bottom w:val="none" w:sz="0" w:space="0" w:color="auto"/>
            <w:right w:val="none" w:sz="0" w:space="0" w:color="auto"/>
          </w:divBdr>
        </w:div>
        <w:div w:id="2001613048">
          <w:marLeft w:val="1800"/>
          <w:marRight w:val="0"/>
          <w:marTop w:val="77"/>
          <w:marBottom w:val="0"/>
          <w:divBdr>
            <w:top w:val="none" w:sz="0" w:space="0" w:color="auto"/>
            <w:left w:val="none" w:sz="0" w:space="0" w:color="auto"/>
            <w:bottom w:val="none" w:sz="0" w:space="0" w:color="auto"/>
            <w:right w:val="none" w:sz="0" w:space="0" w:color="auto"/>
          </w:divBdr>
        </w:div>
        <w:div w:id="112020579">
          <w:marLeft w:val="1166"/>
          <w:marRight w:val="0"/>
          <w:marTop w:val="86"/>
          <w:marBottom w:val="0"/>
          <w:divBdr>
            <w:top w:val="none" w:sz="0" w:space="0" w:color="auto"/>
            <w:left w:val="none" w:sz="0" w:space="0" w:color="auto"/>
            <w:bottom w:val="none" w:sz="0" w:space="0" w:color="auto"/>
            <w:right w:val="none" w:sz="0" w:space="0" w:color="auto"/>
          </w:divBdr>
        </w:div>
        <w:div w:id="1129739204">
          <w:marLeft w:val="1800"/>
          <w:marRight w:val="0"/>
          <w:marTop w:val="77"/>
          <w:marBottom w:val="0"/>
          <w:divBdr>
            <w:top w:val="none" w:sz="0" w:space="0" w:color="auto"/>
            <w:left w:val="none" w:sz="0" w:space="0" w:color="auto"/>
            <w:bottom w:val="none" w:sz="0" w:space="0" w:color="auto"/>
            <w:right w:val="none" w:sz="0" w:space="0" w:color="auto"/>
          </w:divBdr>
        </w:div>
        <w:div w:id="890842901">
          <w:marLeft w:val="1166"/>
          <w:marRight w:val="0"/>
          <w:marTop w:val="86"/>
          <w:marBottom w:val="0"/>
          <w:divBdr>
            <w:top w:val="none" w:sz="0" w:space="0" w:color="auto"/>
            <w:left w:val="none" w:sz="0" w:space="0" w:color="auto"/>
            <w:bottom w:val="none" w:sz="0" w:space="0" w:color="auto"/>
            <w:right w:val="none" w:sz="0" w:space="0" w:color="auto"/>
          </w:divBdr>
        </w:div>
      </w:divsChild>
    </w:div>
    <w:div w:id="1143228590">
      <w:bodyDiv w:val="1"/>
      <w:marLeft w:val="0"/>
      <w:marRight w:val="0"/>
      <w:marTop w:val="0"/>
      <w:marBottom w:val="0"/>
      <w:divBdr>
        <w:top w:val="none" w:sz="0" w:space="0" w:color="auto"/>
        <w:left w:val="none" w:sz="0" w:space="0" w:color="auto"/>
        <w:bottom w:val="none" w:sz="0" w:space="0" w:color="auto"/>
        <w:right w:val="none" w:sz="0" w:space="0" w:color="auto"/>
      </w:divBdr>
    </w:div>
    <w:div w:id="1251626068">
      <w:bodyDiv w:val="1"/>
      <w:marLeft w:val="0"/>
      <w:marRight w:val="0"/>
      <w:marTop w:val="0"/>
      <w:marBottom w:val="0"/>
      <w:divBdr>
        <w:top w:val="none" w:sz="0" w:space="0" w:color="auto"/>
        <w:left w:val="none" w:sz="0" w:space="0" w:color="auto"/>
        <w:bottom w:val="none" w:sz="0" w:space="0" w:color="auto"/>
        <w:right w:val="none" w:sz="0" w:space="0" w:color="auto"/>
      </w:divBdr>
    </w:div>
    <w:div w:id="1491024857">
      <w:bodyDiv w:val="1"/>
      <w:marLeft w:val="0"/>
      <w:marRight w:val="0"/>
      <w:marTop w:val="0"/>
      <w:marBottom w:val="0"/>
      <w:divBdr>
        <w:top w:val="none" w:sz="0" w:space="0" w:color="auto"/>
        <w:left w:val="none" w:sz="0" w:space="0" w:color="auto"/>
        <w:bottom w:val="none" w:sz="0" w:space="0" w:color="auto"/>
        <w:right w:val="none" w:sz="0" w:space="0" w:color="auto"/>
      </w:divBdr>
    </w:div>
    <w:div w:id="1532498714">
      <w:bodyDiv w:val="1"/>
      <w:marLeft w:val="0"/>
      <w:marRight w:val="0"/>
      <w:marTop w:val="0"/>
      <w:marBottom w:val="0"/>
      <w:divBdr>
        <w:top w:val="none" w:sz="0" w:space="0" w:color="auto"/>
        <w:left w:val="none" w:sz="0" w:space="0" w:color="auto"/>
        <w:bottom w:val="none" w:sz="0" w:space="0" w:color="auto"/>
        <w:right w:val="none" w:sz="0" w:space="0" w:color="auto"/>
      </w:divBdr>
    </w:div>
    <w:div w:id="1786075310">
      <w:bodyDiv w:val="1"/>
      <w:marLeft w:val="0"/>
      <w:marRight w:val="0"/>
      <w:marTop w:val="0"/>
      <w:marBottom w:val="0"/>
      <w:divBdr>
        <w:top w:val="none" w:sz="0" w:space="0" w:color="auto"/>
        <w:left w:val="none" w:sz="0" w:space="0" w:color="auto"/>
        <w:bottom w:val="none" w:sz="0" w:space="0" w:color="auto"/>
        <w:right w:val="none" w:sz="0" w:space="0" w:color="auto"/>
      </w:divBdr>
    </w:div>
    <w:div w:id="19079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A7A6-138D-463A-AA22-A00A5DD4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4354</Words>
  <Characters>24824</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29120</CharactersWithSpaces>
  <SharedDoc>false</SharedDoc>
  <HLinks>
    <vt:vector size="12" baseType="variant">
      <vt:variant>
        <vt:i4>458837</vt:i4>
      </vt:variant>
      <vt:variant>
        <vt:i4>39</vt:i4>
      </vt:variant>
      <vt:variant>
        <vt:i4>0</vt:i4>
      </vt:variant>
      <vt:variant>
        <vt:i4>5</vt:i4>
      </vt:variant>
      <vt:variant>
        <vt:lpwstr>http://www.smpg.info/</vt:lpwstr>
      </vt:variant>
      <vt:variant>
        <vt:lpwstr/>
      </vt:variant>
      <vt:variant>
        <vt:i4>458837</vt:i4>
      </vt:variant>
      <vt:variant>
        <vt:i4>36</vt:i4>
      </vt:variant>
      <vt:variant>
        <vt:i4>0</vt:i4>
      </vt:variant>
      <vt:variant>
        <vt:i4>5</vt:i4>
      </vt:variant>
      <vt:variant>
        <vt:lpwstr>http://www.smpg.info/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2017-08-22T08:03:00Z</dcterms:created>
  <dcterms:modified xsi:type="dcterms:W3CDTF">2017-08-22T08:03:00Z</dcterms:modified>
</cp:coreProperties>
</file>