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26" w:rsidRDefault="008816EB" w:rsidP="00837D95">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2880" w:right="57"/>
        <w:rPr>
          <w:rFonts w:cs="Arial"/>
          <w:b/>
          <w:bCs/>
          <w:sz w:val="52"/>
          <w:szCs w:val="52"/>
          <w:u w:val="none"/>
          <w:lang w:val="sv-SE"/>
        </w:rPr>
      </w:pPr>
      <w:r>
        <w:rPr>
          <w:rFonts w:cs="Arial"/>
          <w:b/>
          <w:bCs/>
          <w:noProof/>
          <w:sz w:val="52"/>
          <w:szCs w:val="52"/>
          <w:u w:val="none"/>
          <w:lang w:eastAsia="en-GB"/>
        </w:rPr>
        <w:drawing>
          <wp:anchor distT="0" distB="0" distL="114300" distR="114300" simplePos="0" relativeHeight="251704832" behindDoc="0" locked="0" layoutInCell="1" allowOverlap="1">
            <wp:simplePos x="0" y="0"/>
            <wp:positionH relativeFrom="column">
              <wp:posOffset>-506730</wp:posOffset>
            </wp:positionH>
            <wp:positionV relativeFrom="paragraph">
              <wp:posOffset>73660</wp:posOffset>
            </wp:positionV>
            <wp:extent cx="2093724" cy="980395"/>
            <wp:effectExtent l="0" t="0" r="1905" b="0"/>
            <wp:wrapNone/>
            <wp:docPr id="4" name="Picture 4" descr="\\BE-FILE01\jlittre$\MyData\01. STANDARDS\01. STD DEVELOPMENT DOMAINS\1. Securities\01. SMPG Global\LOGO\FINAL LOGO\SMPG_logo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LOGO\FINAL LOGO\SMPG_logo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724" cy="98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4EE" w:rsidRPr="000D0026">
        <w:rPr>
          <w:b/>
          <w:noProof/>
          <w:sz w:val="52"/>
          <w:szCs w:val="52"/>
          <w:u w:val="none"/>
          <w:lang w:eastAsia="en-GB"/>
        </w:rPr>
        <mc:AlternateContent>
          <mc:Choice Requires="wps">
            <w:drawing>
              <wp:anchor distT="0" distB="0" distL="114300" distR="114300" simplePos="0" relativeHeight="251654656" behindDoc="1" locked="0" layoutInCell="1" allowOverlap="1" wp14:anchorId="5C7D8847" wp14:editId="56E2009B">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006301BA" w:rsidRPr="000D0026">
        <w:rPr>
          <w:rFonts w:cs="Arial"/>
          <w:b/>
          <w:bCs/>
          <w:sz w:val="52"/>
          <w:szCs w:val="52"/>
          <w:u w:val="none"/>
          <w:lang w:val="sv-SE"/>
        </w:rPr>
        <w:t xml:space="preserve">SMPG </w:t>
      </w:r>
      <w:r>
        <w:rPr>
          <w:rFonts w:cs="Arial"/>
          <w:b/>
          <w:bCs/>
          <w:sz w:val="52"/>
          <w:szCs w:val="52"/>
          <w:u w:val="none"/>
          <w:lang w:val="sv-SE"/>
        </w:rPr>
        <w:t>Singapore</w:t>
      </w:r>
      <w:r w:rsidR="000D0026">
        <w:rPr>
          <w:rFonts w:cs="Arial"/>
          <w:b/>
          <w:bCs/>
          <w:sz w:val="52"/>
          <w:szCs w:val="52"/>
          <w:u w:val="none"/>
          <w:lang w:val="sv-SE"/>
        </w:rPr>
        <w:t xml:space="preserve"> meeting</w:t>
      </w:r>
    </w:p>
    <w:p w:rsidR="00A57F75" w:rsidRDefault="00A57F75" w:rsidP="00837D95">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2880" w:right="57"/>
        <w:rPr>
          <w:rFonts w:cs="Arial"/>
          <w:b/>
          <w:bCs/>
          <w:sz w:val="52"/>
          <w:szCs w:val="52"/>
          <w:u w:val="none"/>
          <w:lang w:val="sv-SE"/>
        </w:rPr>
      </w:pPr>
    </w:p>
    <w:p w:rsidR="006301BA" w:rsidRPr="000D0026" w:rsidRDefault="008816EB" w:rsidP="00837D95">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2880" w:right="57"/>
        <w:rPr>
          <w:rFonts w:cs="Arial"/>
          <w:b/>
          <w:bCs/>
          <w:sz w:val="52"/>
          <w:szCs w:val="52"/>
          <w:lang w:val="sv-SE"/>
        </w:rPr>
      </w:pPr>
      <w:r>
        <w:rPr>
          <w:rFonts w:cs="Arial"/>
          <w:b/>
          <w:bCs/>
          <w:sz w:val="52"/>
          <w:szCs w:val="52"/>
          <w:u w:val="none"/>
          <w:lang w:val="sv-SE"/>
        </w:rPr>
        <w:t>October 7</w:t>
      </w:r>
      <w:r w:rsidR="00693AB7">
        <w:rPr>
          <w:rFonts w:cs="Arial"/>
          <w:b/>
          <w:bCs/>
          <w:sz w:val="52"/>
          <w:szCs w:val="52"/>
          <w:u w:val="none"/>
          <w:lang w:val="sv-SE"/>
        </w:rPr>
        <w:t xml:space="preserve"> </w:t>
      </w:r>
      <w:r w:rsidR="00254228" w:rsidRPr="000D0026">
        <w:rPr>
          <w:rFonts w:cs="Arial"/>
          <w:b/>
          <w:bCs/>
          <w:sz w:val="52"/>
          <w:szCs w:val="52"/>
          <w:u w:val="none"/>
          <w:lang w:val="sv-SE"/>
        </w:rPr>
        <w:t xml:space="preserve">- </w:t>
      </w:r>
      <w:r>
        <w:rPr>
          <w:rFonts w:cs="Arial"/>
          <w:b/>
          <w:bCs/>
          <w:sz w:val="52"/>
          <w:szCs w:val="52"/>
          <w:u w:val="none"/>
          <w:lang w:val="sv-SE"/>
        </w:rPr>
        <w:t>9</w:t>
      </w:r>
      <w:r w:rsidR="006301BA" w:rsidRPr="000D0026">
        <w:rPr>
          <w:rFonts w:cs="Arial"/>
          <w:b/>
          <w:bCs/>
          <w:sz w:val="52"/>
          <w:szCs w:val="52"/>
          <w:u w:val="none"/>
          <w:lang w:val="sv-SE"/>
        </w:rPr>
        <w:t>, 201</w:t>
      </w:r>
      <w:r w:rsidR="00693AB7">
        <w:rPr>
          <w:rFonts w:cs="Arial"/>
          <w:b/>
          <w:bCs/>
          <w:sz w:val="52"/>
          <w:szCs w:val="52"/>
          <w:u w:val="none"/>
          <w:lang w:val="sv-SE"/>
        </w:rPr>
        <w:t>5</w:t>
      </w:r>
      <w:r w:rsidR="007F2FEA" w:rsidRPr="000D0026">
        <w:rPr>
          <w:rFonts w:cs="Arial"/>
          <w:b/>
          <w:bCs/>
          <w:sz w:val="52"/>
          <w:szCs w:val="52"/>
          <w:u w:val="none"/>
          <w:lang w:val="sv-SE"/>
        </w:rPr>
        <w:t xml:space="preserve">    </w:t>
      </w:r>
    </w:p>
    <w:p w:rsidR="00E422E3" w:rsidRPr="008816EB" w:rsidRDefault="00EC7A08" w:rsidP="004F306A">
      <w:pPr>
        <w:spacing w:before="120" w:after="120"/>
        <w:ind w:left="360" w:right="418"/>
        <w:jc w:val="center"/>
        <w:rPr>
          <w:b/>
          <w:bCs/>
          <w:color w:val="000000" w:themeColor="text1"/>
          <w:sz w:val="48"/>
          <w:szCs w:val="48"/>
          <w:lang w:val="sv-SE"/>
        </w:rPr>
      </w:pPr>
      <w:r>
        <w:rPr>
          <w:b/>
          <w:bCs/>
          <w:noProof/>
          <w:color w:val="000000" w:themeColor="text1"/>
          <w:sz w:val="48"/>
          <w:szCs w:val="48"/>
          <w:lang w:val="en-GB" w:eastAsia="en-GB"/>
        </w:rPr>
        <w:drawing>
          <wp:anchor distT="0" distB="0" distL="114300" distR="114300" simplePos="0" relativeHeight="251709952" behindDoc="0" locked="0" layoutInCell="1" allowOverlap="1" wp14:anchorId="188DED1E" wp14:editId="17CE6873">
            <wp:simplePos x="0" y="0"/>
            <wp:positionH relativeFrom="column">
              <wp:posOffset>3798570</wp:posOffset>
            </wp:positionH>
            <wp:positionV relativeFrom="paragraph">
              <wp:posOffset>314325</wp:posOffset>
            </wp:positionV>
            <wp:extent cx="3038463" cy="2025861"/>
            <wp:effectExtent l="0" t="0" r="0" b="0"/>
            <wp:wrapNone/>
            <wp:docPr id="2" name="Picture 2" descr="\\BE-FILE01\jlittre$\MyData\01. STANDARDS\01. STD DEVELOPMENT DOMAINS\1. Securities\01. SMPG Global\06. Global Meetings\2015 Singapore\SG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5 Singapore\SGX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082" cy="202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6EB">
        <w:rPr>
          <w:noProof/>
          <w:lang w:val="en-GB" w:eastAsia="en-GB"/>
        </w:rPr>
        <w:drawing>
          <wp:anchor distT="0" distB="0" distL="114300" distR="114300" simplePos="0" relativeHeight="251705856" behindDoc="0" locked="0" layoutInCell="1" allowOverlap="1" wp14:anchorId="5AB1C69F" wp14:editId="711D9FF2">
            <wp:simplePos x="0" y="0"/>
            <wp:positionH relativeFrom="column">
              <wp:posOffset>1541145</wp:posOffset>
            </wp:positionH>
            <wp:positionV relativeFrom="paragraph">
              <wp:posOffset>222251</wp:posOffset>
            </wp:positionV>
            <wp:extent cx="1965158" cy="666750"/>
            <wp:effectExtent l="0" t="0" r="0" b="0"/>
            <wp:wrapNone/>
            <wp:docPr id="5" name="Picture 5" descr="C:\Users\jlittre\AppData\Local\Microsoft\Windows\Temporary Internet Files\Content.Word\SG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ittre\AppData\Local\Microsoft\Windows\Temporary Internet Files\Content.Word\SGX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158"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852" w:rsidRPr="002D7A3E" w:rsidRDefault="00994938" w:rsidP="004F306A">
      <w:pPr>
        <w:spacing w:before="120" w:after="120"/>
        <w:ind w:left="360" w:right="418"/>
        <w:jc w:val="center"/>
        <w:rPr>
          <w:b/>
          <w:bCs/>
          <w:color w:val="000000" w:themeColor="text1"/>
          <w:sz w:val="48"/>
          <w:szCs w:val="48"/>
          <w:lang w:val="en-GB"/>
        </w:rPr>
      </w:pPr>
      <w:r w:rsidRPr="0017618A">
        <w:rPr>
          <w:b/>
          <w:bCs/>
          <w:noProof/>
          <w:color w:val="000000" w:themeColor="text1"/>
          <w:sz w:val="48"/>
          <w:szCs w:val="48"/>
          <w:lang w:val="en-GB" w:eastAsia="en-GB"/>
        </w:rPr>
        <mc:AlternateContent>
          <mc:Choice Requires="wps">
            <w:drawing>
              <wp:anchor distT="0" distB="0" distL="114300" distR="114300" simplePos="0" relativeHeight="251700736" behindDoc="0" locked="0" layoutInCell="1" allowOverlap="1" wp14:anchorId="13E2E586" wp14:editId="028C13E9">
                <wp:simplePos x="0" y="0"/>
                <wp:positionH relativeFrom="column">
                  <wp:posOffset>-316230</wp:posOffset>
                </wp:positionH>
                <wp:positionV relativeFrom="paragraph">
                  <wp:posOffset>52705</wp:posOffset>
                </wp:positionV>
                <wp:extent cx="1695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6051F9" w:rsidRPr="00994938" w:rsidRDefault="006051F9">
                            <w:pPr>
                              <w:rPr>
                                <w:b/>
                                <w:sz w:val="40"/>
                                <w:szCs w:val="40"/>
                              </w:rPr>
                            </w:pPr>
                            <w:r w:rsidRPr="00994938">
                              <w:rPr>
                                <w:b/>
                                <w:sz w:val="40"/>
                                <w:szCs w:val="40"/>
                              </w:rPr>
                              <w:t>Hosted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4.15pt;width:133.5pt;height:110.5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" filled="f" stroked="f">
                <v:textbox style="mso-fit-shape-to-text:t">
                  <w:txbxContent>
                    <w:p w:rsidR="006051F9" w:rsidRPr="00994938" w:rsidRDefault="006051F9">
                      <w:pPr>
                        <w:rPr>
                          <w:b/>
                          <w:sz w:val="40"/>
                          <w:szCs w:val="40"/>
                        </w:rPr>
                      </w:pPr>
                      <w:r w:rsidRPr="00994938">
                        <w:rPr>
                          <w:b/>
                          <w:sz w:val="40"/>
                          <w:szCs w:val="40"/>
                        </w:rPr>
                        <w:t>Hosted by:</w:t>
                      </w:r>
                    </w:p>
                  </w:txbxContent>
                </v:textbox>
              </v:shape>
            </w:pict>
          </mc:Fallback>
        </mc:AlternateContent>
      </w:r>
    </w:p>
    <w:tbl>
      <w:tblPr>
        <w:tblW w:w="10236" w:type="dxa"/>
        <w:tblInd w:w="18" w:type="dxa"/>
        <w:tblLook w:val="01E0" w:firstRow="1" w:lastRow="1" w:firstColumn="1" w:lastColumn="1" w:noHBand="0" w:noVBand="0"/>
      </w:tblPr>
      <w:tblGrid>
        <w:gridCol w:w="3600"/>
        <w:gridCol w:w="6636"/>
      </w:tblGrid>
      <w:tr w:rsidR="00591852" w:rsidRPr="00065DC9" w:rsidTr="008D0726">
        <w:trPr>
          <w:trHeight w:val="2732"/>
        </w:trPr>
        <w:tc>
          <w:tcPr>
            <w:tcW w:w="3600" w:type="dxa"/>
          </w:tcPr>
          <w:p w:rsidR="0017618A" w:rsidRDefault="00067CF7" w:rsidP="00B604EC">
            <w:pPr>
              <w:tabs>
                <w:tab w:val="center" w:pos="1692"/>
              </w:tabs>
              <w:rPr>
                <w:noProof/>
                <w:lang w:val="en-GB" w:eastAsia="en-GB"/>
              </w:rPr>
            </w:pPr>
            <w:r w:rsidRPr="004F306A">
              <w:rPr>
                <w:rFonts w:cs="Arial"/>
                <w:b/>
                <w:noProof/>
                <w:sz w:val="32"/>
                <w:szCs w:val="32"/>
                <w:u w:val="single"/>
                <w:lang w:val="en-GB" w:eastAsia="en-GB"/>
              </w:rPr>
              <mc:AlternateContent>
                <mc:Choice Requires="wps">
                  <w:drawing>
                    <wp:anchor distT="0" distB="0" distL="114300" distR="114300" simplePos="0" relativeHeight="251653631" behindDoc="0" locked="0" layoutInCell="1" allowOverlap="1" wp14:anchorId="52E47708" wp14:editId="21B76040">
                      <wp:simplePos x="0" y="0"/>
                      <wp:positionH relativeFrom="column">
                        <wp:posOffset>-327660</wp:posOffset>
                      </wp:positionH>
                      <wp:positionV relativeFrom="paragraph">
                        <wp:posOffset>149860</wp:posOffset>
                      </wp:positionV>
                      <wp:extent cx="3762375" cy="14039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solidFill>
                                <a:srgbClr val="FFFFFF"/>
                              </a:solidFill>
                              <a:ln w="9525">
                                <a:noFill/>
                                <a:miter lim="800000"/>
                                <a:headEnd/>
                                <a:tailEnd/>
                              </a:ln>
                            </wps:spPr>
                            <wps:txbx>
                              <w:txbxContent>
                                <w:p w:rsidR="006051F9" w:rsidRDefault="006051F9"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r w:rsidRPr="00F30DC9">
                                    <w:rPr>
                                      <w:rFonts w:asciiTheme="majorHAnsi" w:hAnsiTheme="majorHAnsi" w:cstheme="majorHAnsi"/>
                                      <w:b/>
                                      <w:sz w:val="28"/>
                                      <w:szCs w:val="28"/>
                                      <w:u w:val="single"/>
                                      <w:lang w:eastAsia="ja-JP"/>
                                    </w:rPr>
                                    <w:t>Meeting Venue:</w:t>
                                  </w:r>
                                </w:p>
                                <w:p w:rsidR="006051F9" w:rsidRPr="00553CE8" w:rsidRDefault="006051F9" w:rsidP="00553CE8">
                                  <w:pPr>
                                    <w:rPr>
                                      <w:rFonts w:asciiTheme="majorHAnsi" w:hAnsiTheme="majorHAnsi" w:cstheme="majorHAnsi"/>
                                      <w:sz w:val="28"/>
                                      <w:szCs w:val="28"/>
                                      <w:lang w:val="en-GB" w:eastAsia="ja-JP"/>
                                    </w:rPr>
                                  </w:pPr>
                                  <w:r>
                                    <w:rPr>
                                      <w:rFonts w:asciiTheme="majorHAnsi" w:hAnsiTheme="majorHAnsi" w:cstheme="majorHAnsi"/>
                                      <w:sz w:val="28"/>
                                      <w:szCs w:val="28"/>
                                      <w:lang w:val="en-GB" w:eastAsia="ja-JP"/>
                                    </w:rPr>
                                    <w:t>SGX (</w:t>
                                  </w:r>
                                  <w:r w:rsidRPr="00553CE8">
                                    <w:rPr>
                                      <w:rFonts w:asciiTheme="majorHAnsi" w:hAnsiTheme="majorHAnsi" w:cstheme="majorHAnsi"/>
                                      <w:sz w:val="28"/>
                                      <w:szCs w:val="28"/>
                                      <w:lang w:val="en-GB" w:eastAsia="ja-JP"/>
                                    </w:rPr>
                                    <w:t>Singapore Exchange)</w:t>
                                  </w:r>
                                </w:p>
                                <w:p w:rsidR="006051F9" w:rsidRPr="00553CE8" w:rsidRDefault="006051F9" w:rsidP="00553CE8">
                                  <w:pPr>
                                    <w:rPr>
                                      <w:rFonts w:asciiTheme="majorHAnsi" w:hAnsiTheme="majorHAnsi" w:cstheme="majorHAnsi"/>
                                      <w:sz w:val="28"/>
                                      <w:szCs w:val="28"/>
                                      <w:lang w:val="en-GB" w:eastAsia="ja-JP"/>
                                    </w:rPr>
                                  </w:pPr>
                                  <w:r w:rsidRPr="00553CE8">
                                    <w:rPr>
                                      <w:rFonts w:asciiTheme="majorHAnsi" w:hAnsiTheme="majorHAnsi" w:cstheme="majorHAnsi"/>
                                      <w:sz w:val="28"/>
                                      <w:szCs w:val="28"/>
                                      <w:lang w:val="en-GB" w:eastAsia="ja-JP"/>
                                    </w:rPr>
                                    <w:t xml:space="preserve">2 </w:t>
                                  </w:r>
                                  <w:proofErr w:type="spellStart"/>
                                  <w:r w:rsidRPr="00553CE8">
                                    <w:rPr>
                                      <w:rFonts w:asciiTheme="majorHAnsi" w:hAnsiTheme="majorHAnsi" w:cstheme="majorHAnsi"/>
                                      <w:sz w:val="28"/>
                                      <w:szCs w:val="28"/>
                                      <w:lang w:val="en-GB" w:eastAsia="ja-JP"/>
                                    </w:rPr>
                                    <w:t>Shenton</w:t>
                                  </w:r>
                                  <w:proofErr w:type="spellEnd"/>
                                  <w:r w:rsidRPr="00553CE8">
                                    <w:rPr>
                                      <w:rFonts w:asciiTheme="majorHAnsi" w:hAnsiTheme="majorHAnsi" w:cstheme="majorHAnsi"/>
                                      <w:sz w:val="28"/>
                                      <w:szCs w:val="28"/>
                                      <w:lang w:val="en-GB" w:eastAsia="ja-JP"/>
                                    </w:rPr>
                                    <w:t xml:space="preserve"> Way, #02-02 SGX Centre1, </w:t>
                                  </w:r>
                                </w:p>
                                <w:p w:rsidR="006051F9" w:rsidRPr="00553CE8" w:rsidRDefault="006051F9" w:rsidP="00553CE8">
                                  <w:pPr>
                                    <w:rPr>
                                      <w:rFonts w:asciiTheme="majorHAnsi" w:hAnsiTheme="majorHAnsi" w:cstheme="majorHAnsi"/>
                                      <w:sz w:val="28"/>
                                      <w:szCs w:val="28"/>
                                      <w:lang w:val="en-GB" w:eastAsia="ja-JP"/>
                                    </w:rPr>
                                  </w:pPr>
                                  <w:r w:rsidRPr="00553CE8">
                                    <w:rPr>
                                      <w:rFonts w:asciiTheme="majorHAnsi" w:hAnsiTheme="majorHAnsi" w:cstheme="majorHAnsi"/>
                                      <w:sz w:val="28"/>
                                      <w:szCs w:val="28"/>
                                      <w:lang w:val="en-GB" w:eastAsia="ja-JP"/>
                                    </w:rPr>
                                    <w:t>Singapore 068804</w:t>
                                  </w:r>
                                </w:p>
                                <w:p w:rsidR="006051F9" w:rsidRDefault="006051F9"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p>
                                <w:p w:rsidR="006051F9" w:rsidRPr="00F30DC9" w:rsidRDefault="006051F9" w:rsidP="00F30DC9">
                                  <w:pPr>
                                    <w:autoSpaceDE w:val="0"/>
                                    <w:autoSpaceDN w:val="0"/>
                                    <w:adjustRightInd w:val="0"/>
                                    <w:spacing w:before="40" w:after="40"/>
                                    <w:ind w:right="677"/>
                                    <w:jc w:val="left"/>
                                    <w:rPr>
                                      <w:rFonts w:ascii="Comic Sans MS" w:hAnsi="Comic Sans MS" w:cs="Arial"/>
                                      <w:color w:val="0000FF"/>
                                      <w:sz w:val="28"/>
                                      <w:szCs w:val="28"/>
                                      <w:lang w:eastAsia="ja-JP"/>
                                    </w:rPr>
                                  </w:pPr>
                                  <w:r w:rsidRPr="00F30DC9">
                                    <w:rPr>
                                      <w:rFonts w:asciiTheme="majorHAnsi" w:hAnsiTheme="majorHAnsi" w:cstheme="majorHAnsi"/>
                                      <w:b/>
                                      <w:sz w:val="28"/>
                                      <w:szCs w:val="28"/>
                                      <w:u w:val="single"/>
                                      <w:lang w:eastAsia="ja-JP"/>
                                    </w:rPr>
                                    <w:t>Dress Code</w:t>
                                  </w:r>
                                  <w:r w:rsidRPr="00F30DC9">
                                    <w:rPr>
                                      <w:rFonts w:asciiTheme="majorHAnsi" w:hAnsiTheme="majorHAnsi" w:cstheme="majorHAnsi"/>
                                      <w:sz w:val="28"/>
                                      <w:szCs w:val="28"/>
                                      <w:lang w:eastAsia="ja-JP"/>
                                    </w:rPr>
                                    <w:t xml:space="preserve">: </w:t>
                                  </w:r>
                                  <w:r>
                                    <w:rPr>
                                      <w:rFonts w:asciiTheme="majorHAnsi" w:hAnsiTheme="majorHAnsi" w:cstheme="majorHAnsi"/>
                                      <w:sz w:val="28"/>
                                      <w:szCs w:val="28"/>
                                      <w:lang w:eastAsia="ja-JP"/>
                                    </w:rPr>
                                    <w:t xml:space="preserve">Smart </w:t>
                                  </w:r>
                                  <w:r w:rsidRPr="00B41CB5">
                                    <w:rPr>
                                      <w:rFonts w:asciiTheme="majorHAnsi" w:hAnsiTheme="majorHAnsi" w:cstheme="majorHAnsi"/>
                                      <w:sz w:val="28"/>
                                      <w:szCs w:val="28"/>
                                      <w:lang w:eastAsia="ja-JP"/>
                                    </w:rPr>
                                    <w:t>Business Casual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8pt;margin-top:11.8pt;width:296.25pt;height:110.55pt;z-index:25165363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l2JAIAACQ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" stroked="f">
                      <v:textbox style="mso-fit-shape-to-text:t">
                        <w:txbxContent>
                          <w:p w:rsidR="006051F9" w:rsidRDefault="006051F9"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r w:rsidRPr="00F30DC9">
                              <w:rPr>
                                <w:rFonts w:asciiTheme="majorHAnsi" w:hAnsiTheme="majorHAnsi" w:cstheme="majorHAnsi"/>
                                <w:b/>
                                <w:sz w:val="28"/>
                                <w:szCs w:val="28"/>
                                <w:u w:val="single"/>
                                <w:lang w:eastAsia="ja-JP"/>
                              </w:rPr>
                              <w:t>Meeting Venue:</w:t>
                            </w:r>
                          </w:p>
                          <w:p w:rsidR="006051F9" w:rsidRPr="00553CE8" w:rsidRDefault="006051F9" w:rsidP="00553CE8">
                            <w:pPr>
                              <w:rPr>
                                <w:rFonts w:asciiTheme="majorHAnsi" w:hAnsiTheme="majorHAnsi" w:cstheme="majorHAnsi"/>
                                <w:sz w:val="28"/>
                                <w:szCs w:val="28"/>
                                <w:lang w:val="en-GB" w:eastAsia="ja-JP"/>
                              </w:rPr>
                            </w:pPr>
                            <w:r>
                              <w:rPr>
                                <w:rFonts w:asciiTheme="majorHAnsi" w:hAnsiTheme="majorHAnsi" w:cstheme="majorHAnsi"/>
                                <w:sz w:val="28"/>
                                <w:szCs w:val="28"/>
                                <w:lang w:val="en-GB" w:eastAsia="ja-JP"/>
                              </w:rPr>
                              <w:t>SGX (</w:t>
                            </w:r>
                            <w:r w:rsidRPr="00553CE8">
                              <w:rPr>
                                <w:rFonts w:asciiTheme="majorHAnsi" w:hAnsiTheme="majorHAnsi" w:cstheme="majorHAnsi"/>
                                <w:sz w:val="28"/>
                                <w:szCs w:val="28"/>
                                <w:lang w:val="en-GB" w:eastAsia="ja-JP"/>
                              </w:rPr>
                              <w:t>Singapore Exchange)</w:t>
                            </w:r>
                          </w:p>
                          <w:p w:rsidR="006051F9" w:rsidRPr="00553CE8" w:rsidRDefault="006051F9" w:rsidP="00553CE8">
                            <w:pPr>
                              <w:rPr>
                                <w:rFonts w:asciiTheme="majorHAnsi" w:hAnsiTheme="majorHAnsi" w:cstheme="majorHAnsi"/>
                                <w:sz w:val="28"/>
                                <w:szCs w:val="28"/>
                                <w:lang w:val="en-GB" w:eastAsia="ja-JP"/>
                              </w:rPr>
                            </w:pPr>
                            <w:r w:rsidRPr="00553CE8">
                              <w:rPr>
                                <w:rFonts w:asciiTheme="majorHAnsi" w:hAnsiTheme="majorHAnsi" w:cstheme="majorHAnsi"/>
                                <w:sz w:val="28"/>
                                <w:szCs w:val="28"/>
                                <w:lang w:val="en-GB" w:eastAsia="ja-JP"/>
                              </w:rPr>
                              <w:t xml:space="preserve">2 </w:t>
                            </w:r>
                            <w:proofErr w:type="spellStart"/>
                            <w:r w:rsidRPr="00553CE8">
                              <w:rPr>
                                <w:rFonts w:asciiTheme="majorHAnsi" w:hAnsiTheme="majorHAnsi" w:cstheme="majorHAnsi"/>
                                <w:sz w:val="28"/>
                                <w:szCs w:val="28"/>
                                <w:lang w:val="en-GB" w:eastAsia="ja-JP"/>
                              </w:rPr>
                              <w:t>Shenton</w:t>
                            </w:r>
                            <w:proofErr w:type="spellEnd"/>
                            <w:r w:rsidRPr="00553CE8">
                              <w:rPr>
                                <w:rFonts w:asciiTheme="majorHAnsi" w:hAnsiTheme="majorHAnsi" w:cstheme="majorHAnsi"/>
                                <w:sz w:val="28"/>
                                <w:szCs w:val="28"/>
                                <w:lang w:val="en-GB" w:eastAsia="ja-JP"/>
                              </w:rPr>
                              <w:t xml:space="preserve"> Way, #02-02 SGX Centre1, </w:t>
                            </w:r>
                          </w:p>
                          <w:p w:rsidR="006051F9" w:rsidRPr="00553CE8" w:rsidRDefault="006051F9" w:rsidP="00553CE8">
                            <w:pPr>
                              <w:rPr>
                                <w:rFonts w:asciiTheme="majorHAnsi" w:hAnsiTheme="majorHAnsi" w:cstheme="majorHAnsi"/>
                                <w:sz w:val="28"/>
                                <w:szCs w:val="28"/>
                                <w:lang w:val="en-GB" w:eastAsia="ja-JP"/>
                              </w:rPr>
                            </w:pPr>
                            <w:r w:rsidRPr="00553CE8">
                              <w:rPr>
                                <w:rFonts w:asciiTheme="majorHAnsi" w:hAnsiTheme="majorHAnsi" w:cstheme="majorHAnsi"/>
                                <w:sz w:val="28"/>
                                <w:szCs w:val="28"/>
                                <w:lang w:val="en-GB" w:eastAsia="ja-JP"/>
                              </w:rPr>
                              <w:t>Singapore 068804</w:t>
                            </w:r>
                          </w:p>
                          <w:p w:rsidR="006051F9" w:rsidRDefault="006051F9"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p>
                          <w:p w:rsidR="006051F9" w:rsidRPr="00F30DC9" w:rsidRDefault="006051F9" w:rsidP="00F30DC9">
                            <w:pPr>
                              <w:autoSpaceDE w:val="0"/>
                              <w:autoSpaceDN w:val="0"/>
                              <w:adjustRightInd w:val="0"/>
                              <w:spacing w:before="40" w:after="40"/>
                              <w:ind w:right="677"/>
                              <w:jc w:val="left"/>
                              <w:rPr>
                                <w:rFonts w:ascii="Comic Sans MS" w:hAnsi="Comic Sans MS" w:cs="Arial"/>
                                <w:color w:val="0000FF"/>
                                <w:sz w:val="28"/>
                                <w:szCs w:val="28"/>
                                <w:lang w:eastAsia="ja-JP"/>
                              </w:rPr>
                            </w:pPr>
                            <w:r w:rsidRPr="00F30DC9">
                              <w:rPr>
                                <w:rFonts w:asciiTheme="majorHAnsi" w:hAnsiTheme="majorHAnsi" w:cstheme="majorHAnsi"/>
                                <w:b/>
                                <w:sz w:val="28"/>
                                <w:szCs w:val="28"/>
                                <w:u w:val="single"/>
                                <w:lang w:eastAsia="ja-JP"/>
                              </w:rPr>
                              <w:t>Dress Code</w:t>
                            </w:r>
                            <w:r w:rsidRPr="00F30DC9">
                              <w:rPr>
                                <w:rFonts w:asciiTheme="majorHAnsi" w:hAnsiTheme="majorHAnsi" w:cstheme="majorHAnsi"/>
                                <w:sz w:val="28"/>
                                <w:szCs w:val="28"/>
                                <w:lang w:eastAsia="ja-JP"/>
                              </w:rPr>
                              <w:t xml:space="preserve">: </w:t>
                            </w:r>
                            <w:r>
                              <w:rPr>
                                <w:rFonts w:asciiTheme="majorHAnsi" w:hAnsiTheme="majorHAnsi" w:cstheme="majorHAnsi"/>
                                <w:sz w:val="28"/>
                                <w:szCs w:val="28"/>
                                <w:lang w:eastAsia="ja-JP"/>
                              </w:rPr>
                              <w:t xml:space="preserve">Smart </w:t>
                            </w:r>
                            <w:r w:rsidRPr="00B41CB5">
                              <w:rPr>
                                <w:rFonts w:asciiTheme="majorHAnsi" w:hAnsiTheme="majorHAnsi" w:cstheme="majorHAnsi"/>
                                <w:sz w:val="28"/>
                                <w:szCs w:val="28"/>
                                <w:lang w:eastAsia="ja-JP"/>
                              </w:rPr>
                              <w:t>Business Casual</w:t>
                            </w:r>
                          </w:p>
                        </w:txbxContent>
                      </v:textbox>
                    </v:shape>
                  </w:pict>
                </mc:Fallback>
              </mc:AlternateContent>
            </w:r>
          </w:p>
          <w:p w:rsidR="00067CF7" w:rsidRDefault="00067CF7" w:rsidP="00B604EC">
            <w:pPr>
              <w:tabs>
                <w:tab w:val="center" w:pos="1692"/>
              </w:tabs>
              <w:rPr>
                <w:noProof/>
                <w:lang w:val="en-GB" w:eastAsia="en-GB"/>
              </w:rPr>
            </w:pPr>
          </w:p>
        </w:tc>
        <w:tc>
          <w:tcPr>
            <w:tcW w:w="6636" w:type="dxa"/>
          </w:tcPr>
          <w:p w:rsidR="00591852" w:rsidRDefault="008D0726" w:rsidP="00A27259">
            <w:pPr>
              <w:autoSpaceDE w:val="0"/>
              <w:autoSpaceDN w:val="0"/>
              <w:adjustRightInd w:val="0"/>
              <w:ind w:right="678"/>
              <w:jc w:val="left"/>
              <w:rPr>
                <w:rFonts w:cs="Arial"/>
                <w:b/>
                <w:sz w:val="32"/>
                <w:szCs w:val="32"/>
                <w:u w:val="single"/>
                <w:lang w:eastAsia="ja-JP"/>
              </w:rPr>
            </w:pPr>
            <w:r>
              <w:rPr>
                <w:noProof/>
                <w:lang w:val="en-GB" w:eastAsia="en-GB"/>
              </w:rPr>
              <w:drawing>
                <wp:anchor distT="0" distB="0" distL="114300" distR="114300" simplePos="0" relativeHeight="251696640" behindDoc="0" locked="0" layoutInCell="1" allowOverlap="1" wp14:anchorId="37519C42" wp14:editId="50E467DE">
                  <wp:simplePos x="0" y="0"/>
                  <wp:positionH relativeFrom="column">
                    <wp:posOffset>3479800</wp:posOffset>
                  </wp:positionH>
                  <wp:positionV relativeFrom="paragraph">
                    <wp:posOffset>37465</wp:posOffset>
                  </wp:positionV>
                  <wp:extent cx="2355215" cy="0"/>
                  <wp:effectExtent l="0" t="0" r="0" b="0"/>
                  <wp:wrapNone/>
                  <wp:docPr id="1" name="Picture 1" descr="\\BE-FILE01\jlittre$\MyData\01. STANDARDS\01. STD DEVELOPMENT DOMAINS\1. Securities\01. SMPG Global\06. Global Meetings\2014 Boston\Logo\EventSuite_SSGX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4 Boston\Logo\EventSuite_SSGX_Web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215" cy="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677E" w:rsidRPr="002D59A9" w:rsidRDefault="00AC429A" w:rsidP="00B604EC">
            <w:pPr>
              <w:autoSpaceDE w:val="0"/>
              <w:autoSpaceDN w:val="0"/>
              <w:adjustRightInd w:val="0"/>
              <w:ind w:right="678"/>
              <w:jc w:val="left"/>
              <w:rPr>
                <w:rFonts w:ascii="Times New Roman" w:eastAsia="Times New Roman" w:hAnsi="Times New Roman"/>
                <w:snapToGrid w:val="0"/>
                <w:color w:val="000000"/>
                <w:w w:val="0"/>
                <w:sz w:val="0"/>
                <w:szCs w:val="0"/>
                <w:u w:color="000000"/>
                <w:bdr w:val="none" w:sz="0" w:space="0" w:color="000000"/>
                <w:shd w:val="clear" w:color="000000" w:fill="000000"/>
                <w:lang w:val="en-GB" w:eastAsia="x-none" w:bidi="x-none"/>
              </w:rPr>
            </w:pP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67CF7" w:rsidRPr="002D59A9" w:rsidRDefault="00067CF7" w:rsidP="00B604EC">
            <w:pPr>
              <w:autoSpaceDE w:val="0"/>
              <w:autoSpaceDN w:val="0"/>
              <w:adjustRightInd w:val="0"/>
              <w:ind w:right="678"/>
              <w:jc w:val="left"/>
              <w:rPr>
                <w:rFonts w:ascii="Times New Roman" w:eastAsia="Times New Roman" w:hAnsi="Times New Roman"/>
                <w:snapToGrid w:val="0"/>
                <w:color w:val="000000"/>
                <w:w w:val="0"/>
                <w:sz w:val="0"/>
                <w:szCs w:val="0"/>
                <w:u w:color="000000"/>
                <w:bdr w:val="none" w:sz="0" w:space="0" w:color="000000"/>
                <w:shd w:val="clear" w:color="000000" w:fill="000000"/>
                <w:lang w:val="en-GB" w:eastAsia="x-none" w:bidi="x-none"/>
              </w:rPr>
            </w:pPr>
          </w:p>
          <w:p w:rsidR="00067CF7" w:rsidRPr="002D59A9" w:rsidRDefault="00067CF7" w:rsidP="00B604EC">
            <w:pPr>
              <w:autoSpaceDE w:val="0"/>
              <w:autoSpaceDN w:val="0"/>
              <w:adjustRightInd w:val="0"/>
              <w:ind w:right="678"/>
              <w:jc w:val="left"/>
              <w:rPr>
                <w:rFonts w:ascii="Comic Sans MS" w:hAnsi="Comic Sans MS" w:cs="Arial"/>
                <w:b/>
                <w:sz w:val="32"/>
                <w:szCs w:val="32"/>
                <w:u w:val="single"/>
                <w:lang w:val="en-GB" w:eastAsia="ja-JP"/>
              </w:rPr>
            </w:pPr>
          </w:p>
          <w:p w:rsidR="00837D95" w:rsidRPr="002D59A9" w:rsidRDefault="00837D95" w:rsidP="00B604EC">
            <w:pPr>
              <w:autoSpaceDE w:val="0"/>
              <w:autoSpaceDN w:val="0"/>
              <w:adjustRightInd w:val="0"/>
              <w:ind w:right="678"/>
              <w:jc w:val="left"/>
              <w:rPr>
                <w:rFonts w:ascii="Comic Sans MS" w:hAnsi="Comic Sans MS" w:cs="Arial"/>
                <w:b/>
                <w:sz w:val="32"/>
                <w:szCs w:val="32"/>
                <w:u w:val="single"/>
                <w:lang w:val="en-GB" w:eastAsia="ja-JP"/>
              </w:rPr>
            </w:pPr>
          </w:p>
        </w:tc>
      </w:tr>
    </w:tbl>
    <w:p w:rsidR="008D0726" w:rsidRPr="00837D95" w:rsidRDefault="00067CF7" w:rsidP="00841B85">
      <w:pPr>
        <w:pStyle w:val="ListParagraph"/>
        <w:numPr>
          <w:ilvl w:val="0"/>
          <w:numId w:val="7"/>
        </w:numPr>
        <w:pBdr>
          <w:top w:val="single" w:sz="4" w:space="4" w:color="auto"/>
          <w:bottom w:val="single" w:sz="4" w:space="4" w:color="auto"/>
        </w:pBdr>
        <w:jc w:val="center"/>
        <w:rPr>
          <w:b/>
          <w:sz w:val="36"/>
          <w:szCs w:val="36"/>
        </w:rPr>
      </w:pPr>
      <w:r w:rsidRPr="00837D95">
        <w:rPr>
          <w:b/>
          <w:sz w:val="36"/>
          <w:szCs w:val="36"/>
        </w:rPr>
        <w:t>Meeting Global Agenda</w:t>
      </w:r>
    </w:p>
    <w:p w:rsidR="0017618A" w:rsidRDefault="0017618A" w:rsidP="00671E61">
      <w:pPr>
        <w:rPr>
          <w:b/>
          <w:bCs/>
          <w:color w:val="FF0000"/>
          <w:lang w:val="de-DE"/>
        </w:rPr>
      </w:pPr>
    </w:p>
    <w:tbl>
      <w:tblPr>
        <w:tblW w:w="10200" w:type="dxa"/>
        <w:tblInd w:w="-72" w:type="dxa"/>
        <w:tblLayout w:type="fixed"/>
        <w:tblCellMar>
          <w:left w:w="0" w:type="dxa"/>
          <w:right w:w="0" w:type="dxa"/>
        </w:tblCellMar>
        <w:tblLook w:val="00A0" w:firstRow="1" w:lastRow="0" w:firstColumn="1" w:lastColumn="0" w:noHBand="0" w:noVBand="0"/>
      </w:tblPr>
      <w:tblGrid>
        <w:gridCol w:w="282"/>
        <w:gridCol w:w="10"/>
        <w:gridCol w:w="1688"/>
        <w:gridCol w:w="90"/>
        <w:gridCol w:w="2610"/>
        <w:gridCol w:w="2430"/>
        <w:gridCol w:w="3060"/>
        <w:gridCol w:w="30"/>
      </w:tblGrid>
      <w:tr w:rsidR="00651B8B" w:rsidRPr="00B36457" w:rsidTr="00651B8B">
        <w:trPr>
          <w:cantSplit/>
        </w:trPr>
        <w:tc>
          <w:tcPr>
            <w:tcW w:w="10170" w:type="dxa"/>
            <w:gridSpan w:val="7"/>
            <w:tcBorders>
              <w:top w:val="single" w:sz="8" w:space="0" w:color="auto"/>
              <w:left w:val="single" w:sz="8" w:space="0" w:color="auto"/>
              <w:bottom w:val="double" w:sz="4" w:space="0" w:color="auto"/>
              <w:right w:val="single" w:sz="8" w:space="0" w:color="auto"/>
            </w:tcBorders>
            <w:shd w:val="clear" w:color="auto" w:fill="002060"/>
            <w:tcMar>
              <w:top w:w="0" w:type="dxa"/>
              <w:left w:w="108" w:type="dxa"/>
              <w:bottom w:w="0" w:type="dxa"/>
              <w:right w:w="108" w:type="dxa"/>
            </w:tcMar>
            <w:vAlign w:val="center"/>
          </w:tcPr>
          <w:p w:rsidR="00651B8B" w:rsidRPr="000D0026" w:rsidRDefault="00651B8B" w:rsidP="00562448">
            <w:pPr>
              <w:spacing w:before="120" w:after="120"/>
              <w:rPr>
                <w:rFonts w:eastAsia="Times New Roman" w:cs="Arial"/>
                <w:b/>
                <w:color w:val="FFFFFF" w:themeColor="background1"/>
                <w:sz w:val="32"/>
                <w:szCs w:val="32"/>
              </w:rPr>
            </w:pPr>
            <w:r>
              <w:rPr>
                <w:b/>
                <w:color w:val="FFFFFF" w:themeColor="background1"/>
                <w:sz w:val="32"/>
                <w:szCs w:val="32"/>
              </w:rPr>
              <w:t>Wednesday</w:t>
            </w:r>
            <w:r w:rsidRPr="000D0026">
              <w:rPr>
                <w:b/>
                <w:color w:val="FFFFFF" w:themeColor="background1"/>
                <w:sz w:val="32"/>
                <w:szCs w:val="32"/>
              </w:rPr>
              <w:t xml:space="preserve"> </w:t>
            </w:r>
            <w:r>
              <w:rPr>
                <w:b/>
                <w:color w:val="FFFFFF" w:themeColor="background1"/>
                <w:sz w:val="32"/>
                <w:szCs w:val="32"/>
              </w:rPr>
              <w:t>7</w:t>
            </w:r>
            <w:r w:rsidRPr="008816EB">
              <w:rPr>
                <w:b/>
                <w:color w:val="FFFFFF" w:themeColor="background1"/>
                <w:sz w:val="32"/>
                <w:szCs w:val="32"/>
                <w:vertAlign w:val="superscript"/>
              </w:rPr>
              <w:t>th</w:t>
            </w:r>
            <w:r w:rsidRPr="000D0026">
              <w:rPr>
                <w:b/>
                <w:color w:val="FFFFFF" w:themeColor="background1"/>
                <w:sz w:val="32"/>
                <w:szCs w:val="32"/>
              </w:rPr>
              <w:t xml:space="preserve"> of </w:t>
            </w:r>
            <w:r>
              <w:rPr>
                <w:b/>
                <w:color w:val="FFFFFF" w:themeColor="background1"/>
                <w:sz w:val="32"/>
                <w:szCs w:val="32"/>
              </w:rPr>
              <w:t>October</w:t>
            </w:r>
          </w:p>
        </w:tc>
        <w:tc>
          <w:tcPr>
            <w:tcW w:w="30" w:type="dxa"/>
            <w:vAlign w:val="center"/>
          </w:tcPr>
          <w:p w:rsidR="00651B8B" w:rsidRPr="00B36457" w:rsidRDefault="00651B8B" w:rsidP="00562448">
            <w:pPr>
              <w:spacing w:before="120" w:after="120"/>
              <w:rPr>
                <w:rFonts w:ascii="Calibri" w:hAnsi="Calibri"/>
                <w:b/>
                <w:sz w:val="32"/>
                <w:szCs w:val="32"/>
              </w:rPr>
            </w:pPr>
            <w:r w:rsidRPr="00B36457">
              <w:rPr>
                <w:b/>
                <w:sz w:val="32"/>
                <w:szCs w:val="32"/>
              </w:rPr>
              <w:t> </w:t>
            </w:r>
          </w:p>
        </w:tc>
      </w:tr>
      <w:tr w:rsidR="00651B8B" w:rsidRPr="000D0026" w:rsidTr="00651B8B">
        <w:trPr>
          <w:cantSplit/>
        </w:trPr>
        <w:tc>
          <w:tcPr>
            <w:tcW w:w="10170"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651B8B" w:rsidRPr="00067CF7" w:rsidRDefault="00651B8B" w:rsidP="00562448">
            <w:pPr>
              <w:spacing w:before="60" w:after="60"/>
              <w:rPr>
                <w:b/>
                <w:color w:val="FFFFFF" w:themeColor="background1"/>
                <w:sz w:val="28"/>
                <w:szCs w:val="28"/>
              </w:rPr>
            </w:pPr>
            <w:r w:rsidRPr="00067CF7">
              <w:rPr>
                <w:rFonts w:cs="Arial"/>
                <w:b/>
                <w:color w:val="FFFFFF" w:themeColor="background1"/>
                <w:sz w:val="28"/>
                <w:szCs w:val="28"/>
              </w:rPr>
              <w:t>Morning</w:t>
            </w:r>
            <w:r>
              <w:rPr>
                <w:rFonts w:cs="Arial"/>
                <w:b/>
                <w:color w:val="FFFFFF" w:themeColor="background1"/>
                <w:sz w:val="28"/>
                <w:szCs w:val="28"/>
              </w:rPr>
              <w:t xml:space="preserve"> Session</w:t>
            </w:r>
          </w:p>
        </w:tc>
        <w:tc>
          <w:tcPr>
            <w:tcW w:w="30" w:type="dxa"/>
            <w:vAlign w:val="center"/>
          </w:tcPr>
          <w:p w:rsidR="00651B8B" w:rsidRPr="000D0026" w:rsidRDefault="00651B8B" w:rsidP="00562448">
            <w:pPr>
              <w:spacing w:before="40" w:after="40"/>
              <w:rPr>
                <w:rFonts w:ascii="Calibri" w:hAnsi="Calibri"/>
                <w:color w:val="FFFFFF" w:themeColor="background1"/>
                <w:szCs w:val="22"/>
              </w:rPr>
            </w:pPr>
            <w:r w:rsidRPr="000D0026">
              <w:rPr>
                <w:color w:val="FFFFFF" w:themeColor="background1"/>
              </w:rPr>
              <w:t> </w:t>
            </w:r>
          </w:p>
        </w:tc>
      </w:tr>
      <w:tr w:rsidR="00651B8B" w:rsidRPr="00AD75B6" w:rsidTr="00651B8B">
        <w:trPr>
          <w:gridAfter w:val="1"/>
          <w:wAfter w:w="30" w:type="dxa"/>
          <w:cantSplit/>
        </w:trPr>
        <w:tc>
          <w:tcPr>
            <w:tcW w:w="282" w:type="dxa"/>
            <w:shd w:val="clear" w:color="auto" w:fill="FFFFFF" w:themeFill="background1"/>
            <w:vAlign w:val="center"/>
          </w:tcPr>
          <w:p w:rsidR="00651B8B" w:rsidRPr="00AD75B6" w:rsidRDefault="00651B8B" w:rsidP="00562448">
            <w:pPr>
              <w:spacing w:before="40" w:after="20"/>
            </w:pPr>
          </w:p>
        </w:tc>
        <w:tc>
          <w:tcPr>
            <w:tcW w:w="169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1B8B" w:rsidRPr="00234554" w:rsidRDefault="00651B8B" w:rsidP="00562448">
            <w:pPr>
              <w:spacing w:before="60" w:after="60"/>
              <w:rPr>
                <w:b/>
                <w:bCs/>
                <w:szCs w:val="22"/>
                <w:lang w:val="de-DE"/>
              </w:rPr>
            </w:pPr>
            <w:r>
              <w:rPr>
                <w:b/>
                <w:bCs/>
                <w:szCs w:val="22"/>
                <w:lang w:val="de-DE"/>
              </w:rPr>
              <w:t>9:00</w:t>
            </w:r>
            <w:r w:rsidRPr="00234554">
              <w:rPr>
                <w:b/>
                <w:bCs/>
                <w:szCs w:val="22"/>
                <w:lang w:val="de-DE"/>
              </w:rPr>
              <w:t xml:space="preserve"> – 9:</w:t>
            </w:r>
            <w:r>
              <w:rPr>
                <w:b/>
                <w:bCs/>
                <w:szCs w:val="22"/>
                <w:lang w:val="de-DE"/>
              </w:rPr>
              <w:t>30</w:t>
            </w:r>
          </w:p>
        </w:tc>
        <w:tc>
          <w:tcPr>
            <w:tcW w:w="819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1B8B" w:rsidRPr="00234554" w:rsidRDefault="00651B8B" w:rsidP="00562448">
            <w:pPr>
              <w:spacing w:before="60" w:after="60"/>
              <w:rPr>
                <w:i/>
                <w:szCs w:val="22"/>
              </w:rPr>
            </w:pPr>
            <w:r w:rsidRPr="0025483D">
              <w:rPr>
                <w:rFonts w:cs="Arial"/>
                <w:sz w:val="20"/>
                <w:lang w:val="en-GB" w:eastAsia="en-GB"/>
              </w:rPr>
              <w:t>Arrival &amp; Check-in at SGX premises and Welcome Coffee</w:t>
            </w:r>
          </w:p>
        </w:tc>
      </w:tr>
      <w:tr w:rsidR="00651B8B" w:rsidRPr="00AD75B6" w:rsidTr="00651B8B">
        <w:trPr>
          <w:gridAfter w:val="1"/>
          <w:wAfter w:w="30" w:type="dxa"/>
        </w:trPr>
        <w:tc>
          <w:tcPr>
            <w:tcW w:w="282" w:type="dxa"/>
            <w:shd w:val="clear" w:color="auto" w:fill="FFFFFF" w:themeFill="background1"/>
            <w:vAlign w:val="center"/>
          </w:tcPr>
          <w:p w:rsidR="00651B8B" w:rsidRDefault="00651B8B" w:rsidP="00562448">
            <w:pPr>
              <w:spacing w:before="40" w:after="20"/>
              <w:rPr>
                <w:rFonts w:ascii="Calibri" w:hAnsi="Calibri"/>
                <w:sz w:val="24"/>
                <w:szCs w:val="24"/>
              </w:rPr>
            </w:pPr>
            <w:r w:rsidRPr="00AD75B6">
              <w:t> </w:t>
            </w:r>
          </w:p>
        </w:tc>
        <w:tc>
          <w:tcPr>
            <w:tcW w:w="1698"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51B8B" w:rsidRPr="00234554" w:rsidRDefault="00651B8B" w:rsidP="00562448">
            <w:pPr>
              <w:spacing w:before="60" w:after="60"/>
              <w:rPr>
                <w:rFonts w:eastAsia="Times New Roman" w:cs="Arial"/>
                <w:b/>
                <w:szCs w:val="22"/>
              </w:rPr>
            </w:pPr>
            <w:r w:rsidRPr="00234554">
              <w:rPr>
                <w:b/>
                <w:bCs/>
                <w:szCs w:val="22"/>
                <w:lang w:val="de-DE"/>
              </w:rPr>
              <w:t>9:</w:t>
            </w:r>
            <w:r>
              <w:rPr>
                <w:b/>
                <w:bCs/>
                <w:szCs w:val="22"/>
                <w:lang w:val="de-DE"/>
              </w:rPr>
              <w:t>30</w:t>
            </w:r>
          </w:p>
        </w:tc>
        <w:tc>
          <w:tcPr>
            <w:tcW w:w="8190" w:type="dxa"/>
            <w:gridSpan w:val="4"/>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51B8B" w:rsidRPr="001F295E" w:rsidRDefault="00651B8B" w:rsidP="00562448">
            <w:pPr>
              <w:spacing w:before="60" w:after="60"/>
              <w:rPr>
                <w:b/>
                <w:sz w:val="28"/>
                <w:szCs w:val="28"/>
              </w:rPr>
            </w:pPr>
            <w:r w:rsidRPr="001F295E">
              <w:rPr>
                <w:b/>
                <w:sz w:val="28"/>
                <w:szCs w:val="28"/>
              </w:rPr>
              <w:t>Start of Plenary Session</w:t>
            </w:r>
          </w:p>
        </w:tc>
      </w:tr>
      <w:tr w:rsidR="00651B8B" w:rsidRPr="00E140C5" w:rsidTr="00651B8B">
        <w:trPr>
          <w:gridAfter w:val="1"/>
          <w:wAfter w:w="30" w:type="dxa"/>
        </w:trPr>
        <w:tc>
          <w:tcPr>
            <w:tcW w:w="282" w:type="dxa"/>
            <w:vAlign w:val="center"/>
          </w:tcPr>
          <w:p w:rsidR="00651B8B" w:rsidRDefault="00651B8B" w:rsidP="00562448">
            <w:pPr>
              <w:spacing w:before="40" w:after="20"/>
              <w:rPr>
                <w:rFonts w:ascii="Calibri" w:hAnsi="Calibri"/>
                <w:sz w:val="24"/>
                <w:szCs w:val="24"/>
              </w:rPr>
            </w:pPr>
            <w:r w:rsidRPr="00AD75B6">
              <w:t> </w:t>
            </w:r>
          </w:p>
        </w:tc>
        <w:tc>
          <w:tcPr>
            <w:tcW w:w="16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1B8B" w:rsidRPr="00234554" w:rsidRDefault="00651B8B" w:rsidP="00562448">
            <w:pPr>
              <w:spacing w:before="40" w:after="20"/>
              <w:rPr>
                <w:rFonts w:eastAsia="Times New Roman" w:cs="Arial"/>
                <w:b/>
                <w:szCs w:val="22"/>
              </w:rPr>
            </w:pPr>
            <w:r w:rsidRPr="00234554">
              <w:rPr>
                <w:rFonts w:cs="Arial"/>
                <w:b/>
                <w:szCs w:val="22"/>
              </w:rPr>
              <w:t>9:</w:t>
            </w:r>
            <w:r>
              <w:rPr>
                <w:rFonts w:cs="Arial"/>
                <w:b/>
                <w:szCs w:val="22"/>
              </w:rPr>
              <w:t>30</w:t>
            </w:r>
            <w:r w:rsidRPr="00234554">
              <w:rPr>
                <w:rFonts w:cs="Arial"/>
                <w:b/>
                <w:szCs w:val="22"/>
              </w:rPr>
              <w:t xml:space="preserve"> – 1</w:t>
            </w:r>
            <w:r>
              <w:rPr>
                <w:rFonts w:cs="Arial"/>
                <w:b/>
                <w:szCs w:val="22"/>
              </w:rPr>
              <w:t>1</w:t>
            </w:r>
            <w:r w:rsidRPr="00234554">
              <w:rPr>
                <w:rFonts w:cs="Arial"/>
                <w:b/>
                <w:szCs w:val="22"/>
              </w:rPr>
              <w:t>:</w:t>
            </w:r>
            <w:r>
              <w:rPr>
                <w:rFonts w:cs="Arial"/>
                <w:b/>
                <w:szCs w:val="22"/>
              </w:rPr>
              <w:t>0</w:t>
            </w:r>
            <w:r w:rsidRPr="00234554">
              <w:rPr>
                <w:rFonts w:cs="Arial"/>
                <w:b/>
                <w:szCs w:val="22"/>
              </w:rPr>
              <w:t>0</w:t>
            </w:r>
          </w:p>
        </w:tc>
        <w:tc>
          <w:tcPr>
            <w:tcW w:w="819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51B8B" w:rsidRPr="00234554" w:rsidRDefault="00651B8B" w:rsidP="00562448">
            <w:pPr>
              <w:spacing w:before="40" w:after="40"/>
              <w:jc w:val="left"/>
              <w:rPr>
                <w:rFonts w:cs="Arial"/>
                <w:b/>
                <w:szCs w:val="22"/>
                <w:u w:val="single"/>
              </w:rPr>
            </w:pPr>
            <w:r>
              <w:rPr>
                <w:rFonts w:cs="Arial"/>
                <w:b/>
                <w:szCs w:val="22"/>
                <w:u w:val="single"/>
              </w:rPr>
              <w:t>Plenary</w:t>
            </w:r>
            <w:r w:rsidRPr="00234554">
              <w:rPr>
                <w:rFonts w:cs="Arial"/>
                <w:b/>
                <w:szCs w:val="22"/>
                <w:u w:val="single"/>
              </w:rPr>
              <w:t xml:space="preserve"> Session Agenda</w:t>
            </w:r>
          </w:p>
          <w:p w:rsidR="00651B8B" w:rsidRPr="00EE5157" w:rsidRDefault="00651B8B" w:rsidP="00841B85">
            <w:pPr>
              <w:pStyle w:val="ListParagraph"/>
              <w:numPr>
                <w:ilvl w:val="0"/>
                <w:numId w:val="6"/>
              </w:numPr>
              <w:spacing w:before="60" w:after="60"/>
              <w:rPr>
                <w:rFonts w:ascii="Arial" w:hAnsi="Arial" w:cs="Arial"/>
                <w:sz w:val="18"/>
                <w:szCs w:val="18"/>
              </w:rPr>
            </w:pPr>
            <w:r w:rsidRPr="00EE5157">
              <w:rPr>
                <w:rFonts w:ascii="Arial" w:hAnsi="Arial" w:cs="Arial"/>
                <w:sz w:val="18"/>
                <w:szCs w:val="18"/>
              </w:rPr>
              <w:t>SMPG Welcome Address (Karla Mc Kenna – SMPG Chair, ISITC) – 5’</w:t>
            </w:r>
          </w:p>
          <w:p w:rsidR="00651B8B" w:rsidRPr="00EE5157" w:rsidRDefault="00651B8B" w:rsidP="00841B85">
            <w:pPr>
              <w:pStyle w:val="ListParagraph"/>
              <w:numPr>
                <w:ilvl w:val="0"/>
                <w:numId w:val="6"/>
              </w:numPr>
              <w:spacing w:before="60" w:after="60"/>
              <w:rPr>
                <w:rFonts w:ascii="Arial" w:hAnsi="Arial" w:cs="Arial"/>
                <w:sz w:val="18"/>
                <w:szCs w:val="18"/>
              </w:rPr>
            </w:pPr>
            <w:r w:rsidRPr="00EE5157">
              <w:rPr>
                <w:rFonts w:ascii="Arial" w:hAnsi="Arial" w:cs="Arial"/>
                <w:sz w:val="18"/>
                <w:szCs w:val="18"/>
              </w:rPr>
              <w:t xml:space="preserve">Welcome Address by Host (Tony Lewis, </w:t>
            </w:r>
            <w:r w:rsidRPr="00551D3C">
              <w:rPr>
                <w:rFonts w:ascii="Arial" w:hAnsi="Arial" w:cs="Arial"/>
                <w:sz w:val="18"/>
                <w:szCs w:val="18"/>
              </w:rPr>
              <w:t>Title</w:t>
            </w:r>
            <w:r w:rsidRPr="00EE5157">
              <w:rPr>
                <w:rFonts w:ascii="Arial" w:hAnsi="Arial" w:cs="Arial"/>
                <w:sz w:val="18"/>
                <w:szCs w:val="18"/>
              </w:rPr>
              <w:t xml:space="preserve">, HSBC) – 5’ </w:t>
            </w:r>
          </w:p>
          <w:p w:rsidR="00651B8B" w:rsidRPr="00EE5157" w:rsidRDefault="00651B8B" w:rsidP="00841B85">
            <w:pPr>
              <w:pStyle w:val="ListParagraph"/>
              <w:numPr>
                <w:ilvl w:val="0"/>
                <w:numId w:val="6"/>
              </w:numPr>
              <w:spacing w:before="60" w:after="60"/>
              <w:rPr>
                <w:rFonts w:ascii="Arial" w:hAnsi="Arial" w:cs="Arial"/>
                <w:sz w:val="18"/>
                <w:szCs w:val="18"/>
              </w:rPr>
            </w:pPr>
            <w:r w:rsidRPr="00EE5157">
              <w:rPr>
                <w:rFonts w:ascii="Arial" w:hAnsi="Arial" w:cs="Arial"/>
                <w:sz w:val="18"/>
                <w:szCs w:val="18"/>
              </w:rPr>
              <w:t xml:space="preserve">Meeting Schedule Overview  (Evelyne Piron / Jacques </w:t>
            </w:r>
            <w:proofErr w:type="spellStart"/>
            <w:r w:rsidRPr="00EE5157">
              <w:rPr>
                <w:rFonts w:ascii="Arial" w:hAnsi="Arial" w:cs="Arial"/>
                <w:sz w:val="18"/>
                <w:szCs w:val="18"/>
              </w:rPr>
              <w:t>Littré</w:t>
            </w:r>
            <w:proofErr w:type="spellEnd"/>
            <w:r w:rsidRPr="00EE5157">
              <w:rPr>
                <w:rFonts w:ascii="Arial" w:hAnsi="Arial" w:cs="Arial"/>
                <w:sz w:val="18"/>
                <w:szCs w:val="18"/>
              </w:rPr>
              <w:t xml:space="preserve"> </w:t>
            </w:r>
            <w:r>
              <w:rPr>
                <w:rFonts w:ascii="Arial" w:hAnsi="Arial" w:cs="Arial"/>
                <w:sz w:val="18"/>
                <w:szCs w:val="18"/>
              </w:rPr>
              <w:t>–</w:t>
            </w:r>
            <w:r w:rsidRPr="00EE5157">
              <w:rPr>
                <w:rFonts w:ascii="Arial" w:hAnsi="Arial" w:cs="Arial"/>
                <w:sz w:val="18"/>
                <w:szCs w:val="18"/>
              </w:rPr>
              <w:t xml:space="preserve"> </w:t>
            </w:r>
            <w:r>
              <w:rPr>
                <w:rFonts w:ascii="Arial" w:hAnsi="Arial" w:cs="Arial"/>
                <w:sz w:val="18"/>
                <w:szCs w:val="18"/>
              </w:rPr>
              <w:t>SMPG Program Director / General Secretary</w:t>
            </w:r>
            <w:r w:rsidRPr="00EE5157">
              <w:rPr>
                <w:rFonts w:ascii="Arial" w:hAnsi="Arial" w:cs="Arial"/>
                <w:sz w:val="18"/>
                <w:szCs w:val="18"/>
              </w:rPr>
              <w:t>) – 5’</w:t>
            </w:r>
          </w:p>
          <w:p w:rsidR="00651B8B" w:rsidRPr="00EE5157" w:rsidRDefault="00651B8B" w:rsidP="00841B85">
            <w:pPr>
              <w:pStyle w:val="ListParagraph"/>
              <w:numPr>
                <w:ilvl w:val="0"/>
                <w:numId w:val="6"/>
              </w:numPr>
              <w:spacing w:before="60" w:after="60"/>
              <w:rPr>
                <w:rFonts w:ascii="Arial" w:hAnsi="Arial" w:cs="Arial"/>
                <w:sz w:val="18"/>
                <w:szCs w:val="18"/>
              </w:rPr>
            </w:pPr>
            <w:r w:rsidRPr="00EE5157">
              <w:rPr>
                <w:rFonts w:ascii="Arial" w:hAnsi="Arial" w:cs="Arial"/>
                <w:sz w:val="18"/>
                <w:szCs w:val="18"/>
              </w:rPr>
              <w:t>Issuer to Investor  (Peter Shen, AVP Market Data &amp; Access – SGX) – 30’</w:t>
            </w:r>
          </w:p>
          <w:p w:rsidR="00651B8B" w:rsidRPr="000F770B" w:rsidRDefault="00651B8B" w:rsidP="00841B85">
            <w:pPr>
              <w:pStyle w:val="ListParagraph"/>
              <w:numPr>
                <w:ilvl w:val="0"/>
                <w:numId w:val="6"/>
              </w:numPr>
              <w:spacing w:before="40" w:after="40"/>
              <w:rPr>
                <w:rFonts w:ascii="Arial" w:hAnsi="Arial" w:cs="Arial"/>
                <w:i/>
                <w:sz w:val="20"/>
                <w:szCs w:val="20"/>
              </w:rPr>
            </w:pPr>
            <w:r w:rsidRPr="00EE5157">
              <w:rPr>
                <w:rFonts w:ascii="Arial" w:hAnsi="Arial" w:cs="Arial"/>
                <w:sz w:val="18"/>
                <w:szCs w:val="18"/>
              </w:rPr>
              <w:t xml:space="preserve">An introduction to the Hong Kong – Shanghai </w:t>
            </w:r>
            <w:proofErr w:type="spellStart"/>
            <w:r w:rsidRPr="00EE5157">
              <w:rPr>
                <w:rFonts w:ascii="Arial" w:hAnsi="Arial" w:cs="Arial"/>
                <w:sz w:val="18"/>
                <w:szCs w:val="18"/>
              </w:rPr>
              <w:t>StockConnect</w:t>
            </w:r>
            <w:proofErr w:type="spellEnd"/>
            <w:r w:rsidRPr="00EE5157">
              <w:rPr>
                <w:rFonts w:ascii="Arial" w:hAnsi="Arial" w:cs="Arial"/>
                <w:sz w:val="18"/>
                <w:szCs w:val="18"/>
              </w:rPr>
              <w:t xml:space="preserve"> </w:t>
            </w:r>
            <w:r>
              <w:rPr>
                <w:rFonts w:ascii="Arial" w:hAnsi="Arial" w:cs="Arial"/>
                <w:sz w:val="18"/>
                <w:szCs w:val="18"/>
              </w:rPr>
              <w:t xml:space="preserve"> </w:t>
            </w:r>
            <w:r w:rsidRPr="00EE5157">
              <w:rPr>
                <w:rFonts w:ascii="Arial" w:hAnsi="Arial" w:cs="Arial"/>
                <w:sz w:val="18"/>
                <w:szCs w:val="18"/>
              </w:rPr>
              <w:t>(Ms. FUAN Hai Jade, Director, Head of Clearing and Collateral Management, Standard Chartered Bank) -</w:t>
            </w:r>
            <w:r>
              <w:rPr>
                <w:rFonts w:ascii="Arial" w:hAnsi="Arial" w:cs="Arial"/>
                <w:sz w:val="18"/>
                <w:szCs w:val="18"/>
              </w:rPr>
              <w:t xml:space="preserve"> </w:t>
            </w:r>
            <w:r w:rsidRPr="00EE5157">
              <w:rPr>
                <w:rFonts w:ascii="Arial" w:hAnsi="Arial" w:cs="Arial"/>
                <w:sz w:val="18"/>
                <w:szCs w:val="18"/>
              </w:rPr>
              <w:t>30’</w:t>
            </w:r>
          </w:p>
        </w:tc>
      </w:tr>
      <w:tr w:rsidR="00651B8B" w:rsidRPr="00AD75B6" w:rsidTr="00651B8B">
        <w:trPr>
          <w:gridAfter w:val="1"/>
          <w:wAfter w:w="30" w:type="dxa"/>
        </w:trPr>
        <w:tc>
          <w:tcPr>
            <w:tcW w:w="282" w:type="dxa"/>
            <w:shd w:val="clear" w:color="auto" w:fill="FFFFFF" w:themeFill="background1"/>
            <w:vAlign w:val="center"/>
          </w:tcPr>
          <w:p w:rsidR="00651B8B" w:rsidRPr="00E140C5" w:rsidRDefault="00651B8B" w:rsidP="00562448">
            <w:pPr>
              <w:spacing w:before="40" w:after="20"/>
              <w:rPr>
                <w:rFonts w:ascii="Calibri" w:hAnsi="Calibri"/>
                <w:sz w:val="24"/>
                <w:szCs w:val="24"/>
                <w:lang w:val="en-GB"/>
              </w:rPr>
            </w:pPr>
            <w:r w:rsidRPr="00E140C5">
              <w:rPr>
                <w:lang w:val="en-GB"/>
              </w:rPr>
              <w:t> </w:t>
            </w:r>
          </w:p>
        </w:tc>
        <w:tc>
          <w:tcPr>
            <w:tcW w:w="1698"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51B8B" w:rsidRPr="00234554" w:rsidRDefault="00651B8B" w:rsidP="00562448">
            <w:pPr>
              <w:spacing w:before="60" w:after="60"/>
              <w:rPr>
                <w:rFonts w:eastAsia="Times New Roman" w:cs="Arial"/>
                <w:b/>
                <w:szCs w:val="22"/>
              </w:rPr>
            </w:pPr>
            <w:r>
              <w:rPr>
                <w:b/>
                <w:bCs/>
                <w:szCs w:val="22"/>
                <w:lang w:val="de-DE"/>
              </w:rPr>
              <w:t>11:00 – 11:15</w:t>
            </w:r>
          </w:p>
        </w:tc>
        <w:tc>
          <w:tcPr>
            <w:tcW w:w="8190" w:type="dxa"/>
            <w:gridSpan w:val="4"/>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51B8B" w:rsidRPr="00234554" w:rsidRDefault="00651B8B" w:rsidP="00562448">
            <w:pPr>
              <w:spacing w:before="60" w:after="60"/>
              <w:rPr>
                <w:b/>
                <w:szCs w:val="22"/>
              </w:rPr>
            </w:pPr>
            <w:r>
              <w:rPr>
                <w:b/>
                <w:szCs w:val="22"/>
              </w:rPr>
              <w:t>Morning Tea Break</w:t>
            </w:r>
          </w:p>
        </w:tc>
      </w:tr>
      <w:tr w:rsidR="00651B8B" w:rsidRPr="00977078" w:rsidTr="00651B8B">
        <w:trPr>
          <w:gridAfter w:val="1"/>
          <w:wAfter w:w="30" w:type="dxa"/>
        </w:trPr>
        <w:tc>
          <w:tcPr>
            <w:tcW w:w="282" w:type="dxa"/>
            <w:vAlign w:val="center"/>
          </w:tcPr>
          <w:p w:rsidR="00651B8B" w:rsidRPr="00AD75B6" w:rsidRDefault="00651B8B" w:rsidP="00562448">
            <w:pPr>
              <w:spacing w:before="40" w:after="20"/>
            </w:pPr>
          </w:p>
        </w:tc>
        <w:tc>
          <w:tcPr>
            <w:tcW w:w="16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1B8B" w:rsidRPr="00234554" w:rsidRDefault="00651B8B" w:rsidP="00562448">
            <w:pPr>
              <w:spacing w:before="40" w:after="20"/>
              <w:rPr>
                <w:rFonts w:cs="Arial"/>
                <w:b/>
                <w:szCs w:val="22"/>
              </w:rPr>
            </w:pPr>
            <w:r>
              <w:rPr>
                <w:rFonts w:cs="Arial"/>
                <w:b/>
                <w:szCs w:val="22"/>
              </w:rPr>
              <w:t>11:15 – 12:30</w:t>
            </w:r>
          </w:p>
        </w:tc>
        <w:tc>
          <w:tcPr>
            <w:tcW w:w="819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51B8B" w:rsidRPr="0025483D" w:rsidRDefault="00651B8B" w:rsidP="00841B85">
            <w:pPr>
              <w:pStyle w:val="ListParagraph"/>
              <w:numPr>
                <w:ilvl w:val="0"/>
                <w:numId w:val="6"/>
              </w:numPr>
              <w:rPr>
                <w:rFonts w:ascii="Arial" w:hAnsi="Arial" w:cs="Arial"/>
                <w:sz w:val="20"/>
                <w:szCs w:val="20"/>
              </w:rPr>
            </w:pPr>
            <w:r w:rsidRPr="0025483D">
              <w:rPr>
                <w:rFonts w:ascii="Arial" w:hAnsi="Arial" w:cs="Arial"/>
                <w:sz w:val="20"/>
                <w:szCs w:val="20"/>
              </w:rPr>
              <w:t xml:space="preserve">Asian Market Infrastructure &amp; Initiatives updates (Alex </w:t>
            </w:r>
            <w:proofErr w:type="spellStart"/>
            <w:r w:rsidRPr="0025483D">
              <w:rPr>
                <w:rFonts w:ascii="Arial" w:hAnsi="Arial" w:cs="Arial"/>
                <w:sz w:val="20"/>
                <w:szCs w:val="20"/>
              </w:rPr>
              <w:t>Kech</w:t>
            </w:r>
            <w:proofErr w:type="spellEnd"/>
            <w:r w:rsidRPr="0025483D">
              <w:rPr>
                <w:rFonts w:ascii="Arial" w:hAnsi="Arial" w:cs="Arial"/>
                <w:sz w:val="20"/>
                <w:szCs w:val="20"/>
              </w:rPr>
              <w:t xml:space="preserve">, </w:t>
            </w:r>
            <w:r>
              <w:rPr>
                <w:rFonts w:ascii="Arial" w:hAnsi="Arial" w:cs="Arial"/>
                <w:sz w:val="20"/>
                <w:szCs w:val="20"/>
              </w:rPr>
              <w:t xml:space="preserve">Director, Head of SMI APAC, </w:t>
            </w:r>
            <w:r w:rsidRPr="0025483D">
              <w:rPr>
                <w:rFonts w:ascii="Arial" w:hAnsi="Arial" w:cs="Arial"/>
                <w:sz w:val="20"/>
                <w:szCs w:val="20"/>
              </w:rPr>
              <w:t>SWIFT) – 25’</w:t>
            </w:r>
          </w:p>
          <w:p w:rsidR="00651B8B" w:rsidRDefault="00651B8B" w:rsidP="00841B85">
            <w:pPr>
              <w:pStyle w:val="ListParagraph"/>
              <w:numPr>
                <w:ilvl w:val="0"/>
                <w:numId w:val="6"/>
              </w:numPr>
              <w:spacing w:before="40" w:after="40"/>
              <w:rPr>
                <w:rFonts w:ascii="Arial" w:hAnsi="Arial" w:cs="Arial"/>
                <w:sz w:val="20"/>
                <w:szCs w:val="20"/>
              </w:rPr>
            </w:pPr>
            <w:r w:rsidRPr="00093966">
              <w:rPr>
                <w:rFonts w:ascii="Arial" w:hAnsi="Arial" w:cs="Arial"/>
                <w:sz w:val="20"/>
                <w:szCs w:val="20"/>
              </w:rPr>
              <w:t xml:space="preserve">Asian Fund </w:t>
            </w:r>
            <w:proofErr w:type="spellStart"/>
            <w:r w:rsidRPr="00093966">
              <w:rPr>
                <w:rFonts w:ascii="Arial" w:hAnsi="Arial" w:cs="Arial"/>
                <w:sz w:val="20"/>
                <w:szCs w:val="20"/>
              </w:rPr>
              <w:t>Passporting</w:t>
            </w:r>
            <w:proofErr w:type="spellEnd"/>
            <w:r w:rsidRPr="00093966">
              <w:rPr>
                <w:rFonts w:ascii="Arial" w:hAnsi="Arial" w:cs="Arial"/>
                <w:sz w:val="20"/>
                <w:szCs w:val="20"/>
              </w:rPr>
              <w:t xml:space="preserve"> </w:t>
            </w:r>
            <w:r>
              <w:rPr>
                <w:rFonts w:ascii="Arial" w:hAnsi="Arial" w:cs="Arial"/>
                <w:sz w:val="20"/>
                <w:szCs w:val="20"/>
              </w:rPr>
              <w:t xml:space="preserve"> (</w:t>
            </w:r>
            <w:r w:rsidRPr="00977078">
              <w:rPr>
                <w:rFonts w:ascii="Arial" w:hAnsi="Arial" w:cs="Arial"/>
                <w:sz w:val="20"/>
                <w:szCs w:val="20"/>
              </w:rPr>
              <w:t xml:space="preserve">Armin </w:t>
            </w:r>
            <w:proofErr w:type="spellStart"/>
            <w:r w:rsidRPr="00977078">
              <w:rPr>
                <w:rFonts w:ascii="Arial" w:hAnsi="Arial" w:cs="Arial"/>
                <w:sz w:val="20"/>
                <w:szCs w:val="20"/>
              </w:rPr>
              <w:t>Choksey</w:t>
            </w:r>
            <w:proofErr w:type="spellEnd"/>
            <w:r>
              <w:rPr>
                <w:rFonts w:ascii="Arial" w:hAnsi="Arial" w:cs="Arial"/>
                <w:sz w:val="20"/>
                <w:szCs w:val="20"/>
              </w:rPr>
              <w:t xml:space="preserve">, </w:t>
            </w:r>
            <w:r w:rsidRPr="00551D3C">
              <w:rPr>
                <w:rFonts w:ascii="Arial" w:hAnsi="Arial" w:cs="Arial"/>
                <w:sz w:val="20"/>
                <w:szCs w:val="20"/>
              </w:rPr>
              <w:t>Title</w:t>
            </w:r>
            <w:r>
              <w:rPr>
                <w:rFonts w:ascii="Arial" w:hAnsi="Arial" w:cs="Arial"/>
                <w:sz w:val="20"/>
                <w:szCs w:val="20"/>
              </w:rPr>
              <w:t xml:space="preserve">, </w:t>
            </w:r>
            <w:r w:rsidRPr="00093966">
              <w:rPr>
                <w:rFonts w:ascii="Arial" w:hAnsi="Arial" w:cs="Arial"/>
                <w:sz w:val="20"/>
                <w:szCs w:val="20"/>
              </w:rPr>
              <w:t>PWC</w:t>
            </w:r>
            <w:r>
              <w:rPr>
                <w:rFonts w:ascii="Arial" w:hAnsi="Arial" w:cs="Arial"/>
                <w:sz w:val="20"/>
                <w:szCs w:val="20"/>
              </w:rPr>
              <w:t>) – 25’</w:t>
            </w:r>
            <w:r w:rsidRPr="00093966">
              <w:rPr>
                <w:rFonts w:ascii="Arial" w:hAnsi="Arial" w:cs="Arial"/>
                <w:sz w:val="20"/>
                <w:szCs w:val="20"/>
              </w:rPr>
              <w:t xml:space="preserve"> </w:t>
            </w:r>
          </w:p>
          <w:p w:rsidR="00651B8B" w:rsidRPr="00093966" w:rsidRDefault="00651B8B" w:rsidP="00841B85">
            <w:pPr>
              <w:pStyle w:val="ListParagraph"/>
              <w:numPr>
                <w:ilvl w:val="0"/>
                <w:numId w:val="6"/>
              </w:numPr>
              <w:spacing w:before="40" w:after="40"/>
              <w:rPr>
                <w:rFonts w:ascii="Arial" w:hAnsi="Arial" w:cs="Arial"/>
                <w:sz w:val="20"/>
                <w:szCs w:val="20"/>
              </w:rPr>
            </w:pPr>
            <w:r w:rsidRPr="00093966">
              <w:rPr>
                <w:rFonts w:ascii="Arial" w:hAnsi="Arial" w:cs="Arial"/>
                <w:sz w:val="20"/>
                <w:szCs w:val="20"/>
              </w:rPr>
              <w:t>Distributed Ledger, potential for the Securities Industry</w:t>
            </w:r>
            <w:r>
              <w:rPr>
                <w:rFonts w:ascii="Arial" w:hAnsi="Arial" w:cs="Arial"/>
                <w:sz w:val="20"/>
                <w:szCs w:val="20"/>
              </w:rPr>
              <w:t xml:space="preserve"> (Name</w:t>
            </w:r>
            <w:r w:rsidRPr="00551D3C">
              <w:rPr>
                <w:rFonts w:ascii="Arial" w:hAnsi="Arial" w:cs="Arial"/>
                <w:sz w:val="20"/>
                <w:szCs w:val="20"/>
              </w:rPr>
              <w:t xml:space="preserve"> Title, Company</w:t>
            </w:r>
            <w:r>
              <w:rPr>
                <w:rFonts w:ascii="Arial" w:hAnsi="Arial" w:cs="Arial"/>
                <w:sz w:val="20"/>
                <w:szCs w:val="20"/>
              </w:rPr>
              <w:t>) – 25’</w:t>
            </w:r>
          </w:p>
          <w:p w:rsidR="00651B8B" w:rsidRPr="00977078" w:rsidRDefault="00651B8B" w:rsidP="00841B85">
            <w:pPr>
              <w:pStyle w:val="ListParagraph"/>
              <w:numPr>
                <w:ilvl w:val="0"/>
                <w:numId w:val="6"/>
              </w:numPr>
              <w:spacing w:before="40" w:after="40"/>
              <w:rPr>
                <w:rFonts w:cs="Arial"/>
                <w:u w:val="single"/>
              </w:rPr>
            </w:pPr>
            <w:r w:rsidRPr="00977078">
              <w:rPr>
                <w:rFonts w:ascii="Arial" w:hAnsi="Arial" w:cs="Arial"/>
                <w:sz w:val="20"/>
                <w:szCs w:val="20"/>
              </w:rPr>
              <w:t xml:space="preserve">SMPG Teaser (Jacques </w:t>
            </w:r>
            <w:proofErr w:type="spellStart"/>
            <w:r w:rsidRPr="00977078">
              <w:rPr>
                <w:rFonts w:ascii="Arial" w:hAnsi="Arial" w:cs="Arial"/>
                <w:sz w:val="20"/>
                <w:szCs w:val="20"/>
              </w:rPr>
              <w:t>Littré</w:t>
            </w:r>
            <w:proofErr w:type="spellEnd"/>
            <w:r w:rsidRPr="00977078">
              <w:rPr>
                <w:rFonts w:ascii="Arial" w:hAnsi="Arial" w:cs="Arial"/>
                <w:sz w:val="20"/>
                <w:szCs w:val="20"/>
              </w:rPr>
              <w:t>, SMPG General Secre</w:t>
            </w:r>
            <w:r>
              <w:rPr>
                <w:rFonts w:ascii="Arial" w:hAnsi="Arial" w:cs="Arial"/>
                <w:sz w:val="20"/>
                <w:szCs w:val="20"/>
              </w:rPr>
              <w:t>tary</w:t>
            </w:r>
            <w:r w:rsidRPr="00977078">
              <w:rPr>
                <w:rFonts w:ascii="Arial" w:hAnsi="Arial" w:cs="Arial"/>
                <w:sz w:val="20"/>
                <w:szCs w:val="20"/>
              </w:rPr>
              <w:t>) – 5’</w:t>
            </w:r>
          </w:p>
        </w:tc>
      </w:tr>
      <w:tr w:rsidR="00590F93" w:rsidRPr="000D0026" w:rsidTr="00651B8B">
        <w:trPr>
          <w:cantSplit/>
        </w:trPr>
        <w:tc>
          <w:tcPr>
            <w:tcW w:w="10170"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90F93" w:rsidRPr="00025F04" w:rsidRDefault="00590F93" w:rsidP="00562448">
            <w:pPr>
              <w:spacing w:before="40" w:after="20"/>
              <w:rPr>
                <w:b/>
                <w:color w:val="FFFFFF" w:themeColor="background1"/>
                <w:sz w:val="28"/>
                <w:szCs w:val="28"/>
              </w:rPr>
            </w:pPr>
            <w:r w:rsidRPr="00025F04">
              <w:rPr>
                <w:rFonts w:cs="Arial"/>
                <w:b/>
                <w:color w:val="FFFFFF" w:themeColor="background1"/>
                <w:sz w:val="28"/>
                <w:szCs w:val="28"/>
              </w:rPr>
              <w:lastRenderedPageBreak/>
              <w:t>Afternoon</w:t>
            </w:r>
            <w:r w:rsidR="00025F04">
              <w:rPr>
                <w:rFonts w:cs="Arial"/>
                <w:b/>
                <w:color w:val="FFFFFF" w:themeColor="background1"/>
                <w:sz w:val="28"/>
                <w:szCs w:val="28"/>
              </w:rPr>
              <w:t xml:space="preserve"> Session</w:t>
            </w:r>
          </w:p>
        </w:tc>
        <w:tc>
          <w:tcPr>
            <w:tcW w:w="30" w:type="dxa"/>
            <w:vAlign w:val="center"/>
          </w:tcPr>
          <w:p w:rsidR="00590F93" w:rsidRPr="000D0026" w:rsidRDefault="00590F93" w:rsidP="00562448">
            <w:pPr>
              <w:spacing w:before="40" w:after="40"/>
              <w:rPr>
                <w:rFonts w:ascii="Calibri" w:hAnsi="Calibri"/>
                <w:color w:val="FFFFFF" w:themeColor="background1"/>
                <w:szCs w:val="22"/>
              </w:rPr>
            </w:pPr>
            <w:r w:rsidRPr="000D0026">
              <w:rPr>
                <w:color w:val="FFFFFF" w:themeColor="background1"/>
              </w:rPr>
              <w:t> </w:t>
            </w:r>
          </w:p>
        </w:tc>
      </w:tr>
      <w:tr w:rsidR="00590F93" w:rsidRPr="00AD75B6" w:rsidTr="00651B8B">
        <w:trPr>
          <w:gridAfter w:val="1"/>
          <w:wAfter w:w="30" w:type="dxa"/>
          <w:cantSplit/>
        </w:trPr>
        <w:tc>
          <w:tcPr>
            <w:tcW w:w="292" w:type="dxa"/>
            <w:gridSpan w:val="2"/>
            <w:vAlign w:val="center"/>
          </w:tcPr>
          <w:p w:rsidR="00590F93" w:rsidRPr="00234554" w:rsidRDefault="00590F93" w:rsidP="00590F93">
            <w:pPr>
              <w:spacing w:before="120" w:after="120"/>
              <w:rPr>
                <w:rFonts w:ascii="Calibri" w:hAnsi="Calibri"/>
                <w:szCs w:val="22"/>
              </w:rPr>
            </w:pPr>
            <w:r w:rsidRPr="00234554">
              <w:rPr>
                <w:szCs w:val="22"/>
              </w:rPr>
              <w:t> </w:t>
            </w:r>
          </w:p>
        </w:tc>
        <w:tc>
          <w:tcPr>
            <w:tcW w:w="17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90F93" w:rsidRPr="00234554" w:rsidRDefault="00590F93" w:rsidP="00590F93">
            <w:pPr>
              <w:spacing w:before="120" w:after="120"/>
              <w:rPr>
                <w:rFonts w:eastAsia="Times New Roman" w:cs="Arial"/>
                <w:b/>
                <w:szCs w:val="22"/>
              </w:rPr>
            </w:pPr>
            <w:r w:rsidRPr="00234554">
              <w:rPr>
                <w:rFonts w:cs="Arial"/>
                <w:b/>
                <w:szCs w:val="22"/>
              </w:rPr>
              <w:t>13:30 – 1</w:t>
            </w:r>
            <w:r w:rsidR="0074084C" w:rsidRPr="00234554">
              <w:rPr>
                <w:rFonts w:cs="Arial"/>
                <w:b/>
                <w:szCs w:val="22"/>
              </w:rPr>
              <w:t>5:</w:t>
            </w:r>
            <w:r w:rsidR="00E83537">
              <w:rPr>
                <w:rFonts w:cs="Arial"/>
                <w:b/>
                <w:szCs w:val="22"/>
              </w:rPr>
              <w:t>30</w:t>
            </w:r>
          </w:p>
        </w:tc>
        <w:tc>
          <w:tcPr>
            <w:tcW w:w="261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rFonts w:eastAsia="Times New Roman" w:cs="Arial"/>
                <w:szCs w:val="22"/>
              </w:rPr>
            </w:pPr>
            <w:r w:rsidRPr="00234554">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rFonts w:eastAsia="Times New Roman" w:cs="Arial"/>
                <w:szCs w:val="22"/>
              </w:rPr>
            </w:pPr>
            <w:r w:rsidRPr="00234554">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szCs w:val="22"/>
              </w:rPr>
            </w:pPr>
            <w:r w:rsidRPr="00234554">
              <w:rPr>
                <w:szCs w:val="22"/>
              </w:rPr>
              <w:t>Settlement and Reconciliation WG</w:t>
            </w:r>
          </w:p>
        </w:tc>
      </w:tr>
      <w:tr w:rsidR="0017618A" w:rsidRPr="00AD75B6" w:rsidTr="00651B8B">
        <w:trPr>
          <w:gridAfter w:val="1"/>
          <w:wAfter w:w="30" w:type="dxa"/>
          <w:cantSplit/>
        </w:trPr>
        <w:tc>
          <w:tcPr>
            <w:tcW w:w="282" w:type="dxa"/>
            <w:tcBorders>
              <w:bottom w:val="single" w:sz="4" w:space="0" w:color="auto"/>
            </w:tcBorders>
            <w:shd w:val="clear" w:color="auto" w:fill="FFFFFF" w:themeFill="background1"/>
            <w:vAlign w:val="center"/>
          </w:tcPr>
          <w:p w:rsidR="0017618A" w:rsidRDefault="0017618A" w:rsidP="00025F04">
            <w:pPr>
              <w:spacing w:before="60" w:after="60"/>
              <w:rPr>
                <w:rFonts w:ascii="Calibri" w:hAnsi="Calibri"/>
                <w:sz w:val="24"/>
                <w:szCs w:val="24"/>
              </w:rPr>
            </w:pPr>
            <w:r w:rsidRPr="00AD75B6">
              <w:t> </w:t>
            </w:r>
          </w:p>
        </w:tc>
        <w:tc>
          <w:tcPr>
            <w:tcW w:w="1788" w:type="dxa"/>
            <w:gridSpan w:val="3"/>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7C4538" w:rsidP="00025F04">
            <w:pPr>
              <w:spacing w:before="60" w:after="60"/>
              <w:rPr>
                <w:rFonts w:eastAsia="Times New Roman" w:cs="Arial"/>
                <w:b/>
                <w:szCs w:val="22"/>
              </w:rPr>
            </w:pPr>
            <w:r>
              <w:rPr>
                <w:b/>
                <w:bCs/>
                <w:szCs w:val="22"/>
                <w:lang w:val="de-DE"/>
              </w:rPr>
              <w:t>15:30</w:t>
            </w:r>
            <w:r w:rsidR="00590F93" w:rsidRPr="00234554">
              <w:rPr>
                <w:b/>
                <w:bCs/>
                <w:szCs w:val="22"/>
                <w:lang w:val="de-DE"/>
              </w:rPr>
              <w:t xml:space="preserve"> -  1</w:t>
            </w:r>
            <w:r w:rsidR="0074084C" w:rsidRPr="00234554">
              <w:rPr>
                <w:b/>
                <w:bCs/>
                <w:szCs w:val="22"/>
                <w:lang w:val="de-DE"/>
              </w:rPr>
              <w:t>5:</w:t>
            </w:r>
            <w:r>
              <w:rPr>
                <w:b/>
                <w:bCs/>
                <w:szCs w:val="22"/>
                <w:lang w:val="de-DE"/>
              </w:rPr>
              <w:t>45</w:t>
            </w:r>
          </w:p>
        </w:tc>
        <w:tc>
          <w:tcPr>
            <w:tcW w:w="8100" w:type="dxa"/>
            <w:gridSpan w:val="3"/>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74084C" w:rsidP="00025F04">
            <w:pPr>
              <w:spacing w:before="60" w:after="60"/>
              <w:rPr>
                <w:b/>
                <w:szCs w:val="22"/>
              </w:rPr>
            </w:pPr>
            <w:r w:rsidRPr="00234554">
              <w:rPr>
                <w:b/>
                <w:szCs w:val="22"/>
              </w:rPr>
              <w:t>Coffee Break</w:t>
            </w:r>
          </w:p>
        </w:tc>
      </w:tr>
      <w:tr w:rsidR="0074084C" w:rsidRPr="00AD75B6" w:rsidTr="00651B8B">
        <w:trPr>
          <w:gridAfter w:val="1"/>
          <w:wAfter w:w="30" w:type="dxa"/>
          <w:cantSplit/>
        </w:trPr>
        <w:tc>
          <w:tcPr>
            <w:tcW w:w="292" w:type="dxa"/>
            <w:gridSpan w:val="2"/>
            <w:tcBorders>
              <w:top w:val="single" w:sz="4" w:space="0" w:color="auto"/>
              <w:bottom w:val="single" w:sz="4" w:space="0" w:color="auto"/>
            </w:tcBorders>
            <w:vAlign w:val="center"/>
          </w:tcPr>
          <w:p w:rsidR="0074084C" w:rsidRPr="00234554" w:rsidRDefault="0074084C" w:rsidP="00562448">
            <w:pPr>
              <w:spacing w:before="120" w:after="120"/>
              <w:rPr>
                <w:rFonts w:ascii="Calibri" w:hAnsi="Calibri"/>
                <w:szCs w:val="22"/>
              </w:rPr>
            </w:pPr>
            <w:r w:rsidRPr="00234554">
              <w:rPr>
                <w:szCs w:val="22"/>
              </w:rPr>
              <w:t> </w:t>
            </w:r>
          </w:p>
        </w:tc>
        <w:tc>
          <w:tcPr>
            <w:tcW w:w="1778"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4084C" w:rsidRPr="00234554" w:rsidRDefault="007C4538" w:rsidP="00562448">
            <w:pPr>
              <w:spacing w:before="120" w:after="120"/>
              <w:rPr>
                <w:rFonts w:eastAsia="Times New Roman" w:cs="Arial"/>
                <w:b/>
                <w:szCs w:val="22"/>
              </w:rPr>
            </w:pPr>
            <w:r>
              <w:rPr>
                <w:rFonts w:cs="Arial"/>
                <w:b/>
                <w:szCs w:val="22"/>
              </w:rPr>
              <w:t>15:45 – 17</w:t>
            </w:r>
            <w:r w:rsidR="0074084C" w:rsidRPr="00234554">
              <w:rPr>
                <w:rFonts w:cs="Arial"/>
                <w:b/>
                <w:szCs w:val="22"/>
              </w:rPr>
              <w:t>:</w:t>
            </w:r>
            <w:r>
              <w:rPr>
                <w:rFonts w:cs="Arial"/>
                <w:b/>
                <w:szCs w:val="22"/>
              </w:rPr>
              <w:t>30</w:t>
            </w:r>
          </w:p>
        </w:tc>
        <w:tc>
          <w:tcPr>
            <w:tcW w:w="2610" w:type="dxa"/>
            <w:tcBorders>
              <w:top w:val="single" w:sz="4" w:space="0" w:color="auto"/>
              <w:left w:val="nil"/>
              <w:bottom w:val="single" w:sz="4" w:space="0" w:color="auto"/>
              <w:right w:val="single" w:sz="8" w:space="0" w:color="auto"/>
            </w:tcBorders>
            <w:shd w:val="clear" w:color="auto" w:fill="FFFFFF"/>
            <w:vAlign w:val="center"/>
          </w:tcPr>
          <w:p w:rsidR="0074084C" w:rsidRPr="00234554" w:rsidRDefault="0074084C" w:rsidP="00562448">
            <w:pPr>
              <w:pStyle w:val="BlockText"/>
              <w:shd w:val="clear" w:color="auto" w:fill="FFFFFF"/>
              <w:spacing w:before="120" w:after="120"/>
              <w:jc w:val="center"/>
              <w:rPr>
                <w:rFonts w:eastAsia="Times New Roman" w:cs="Arial"/>
                <w:szCs w:val="22"/>
              </w:rPr>
            </w:pPr>
            <w:r w:rsidRPr="00234554">
              <w:rPr>
                <w:rFonts w:cs="Arial"/>
                <w:szCs w:val="22"/>
              </w:rPr>
              <w:t>Corporate Action WG</w:t>
            </w:r>
          </w:p>
        </w:tc>
        <w:tc>
          <w:tcPr>
            <w:tcW w:w="2430" w:type="dxa"/>
            <w:tcBorders>
              <w:top w:val="single" w:sz="4" w:space="0" w:color="auto"/>
              <w:left w:val="nil"/>
              <w:bottom w:val="single" w:sz="4" w:space="0" w:color="auto"/>
              <w:right w:val="single" w:sz="8" w:space="0" w:color="auto"/>
            </w:tcBorders>
            <w:shd w:val="clear" w:color="auto" w:fill="FFFFFF"/>
            <w:vAlign w:val="center"/>
          </w:tcPr>
          <w:p w:rsidR="0074084C" w:rsidRPr="00234554" w:rsidRDefault="0074084C" w:rsidP="00562448">
            <w:pPr>
              <w:pStyle w:val="BlockText"/>
              <w:shd w:val="clear" w:color="auto" w:fill="FFFFFF"/>
              <w:spacing w:before="120" w:after="120"/>
              <w:jc w:val="center"/>
              <w:rPr>
                <w:rFonts w:eastAsia="Times New Roman" w:cs="Arial"/>
                <w:szCs w:val="22"/>
              </w:rPr>
            </w:pPr>
            <w:r w:rsidRPr="00234554">
              <w:rPr>
                <w:rFonts w:eastAsia="Times New Roman" w:cs="Arial"/>
                <w:szCs w:val="22"/>
              </w:rPr>
              <w:t>Investment Funds WG</w:t>
            </w:r>
          </w:p>
        </w:tc>
        <w:tc>
          <w:tcPr>
            <w:tcW w:w="3060" w:type="dxa"/>
            <w:tcBorders>
              <w:top w:val="single" w:sz="4" w:space="0" w:color="auto"/>
              <w:left w:val="nil"/>
              <w:bottom w:val="single" w:sz="4" w:space="0" w:color="auto"/>
              <w:right w:val="single" w:sz="8" w:space="0" w:color="auto"/>
            </w:tcBorders>
            <w:shd w:val="clear" w:color="auto" w:fill="FFFFFF"/>
            <w:vAlign w:val="center"/>
          </w:tcPr>
          <w:p w:rsidR="0074084C" w:rsidRPr="00234554" w:rsidRDefault="0074084C" w:rsidP="00562448">
            <w:pPr>
              <w:pStyle w:val="BlockText"/>
              <w:shd w:val="clear" w:color="auto" w:fill="FFFFFF"/>
              <w:spacing w:before="120" w:after="120"/>
              <w:jc w:val="center"/>
              <w:rPr>
                <w:szCs w:val="22"/>
              </w:rPr>
            </w:pPr>
            <w:r w:rsidRPr="00234554">
              <w:rPr>
                <w:szCs w:val="22"/>
              </w:rPr>
              <w:t>Settlement and Reconciliation WG</w:t>
            </w:r>
          </w:p>
        </w:tc>
      </w:tr>
      <w:tr w:rsidR="00AF1672" w:rsidRPr="00AD75B6" w:rsidTr="00651B8B">
        <w:trPr>
          <w:gridAfter w:val="1"/>
          <w:wAfter w:w="30" w:type="dxa"/>
          <w:cantSplit/>
        </w:trPr>
        <w:tc>
          <w:tcPr>
            <w:tcW w:w="282" w:type="dxa"/>
            <w:tcBorders>
              <w:bottom w:val="single" w:sz="4" w:space="0" w:color="auto"/>
            </w:tcBorders>
            <w:shd w:val="clear" w:color="auto" w:fill="FFFFFF" w:themeFill="background1"/>
            <w:vAlign w:val="center"/>
          </w:tcPr>
          <w:p w:rsidR="00AF1672" w:rsidRDefault="00AF1672" w:rsidP="00562448">
            <w:pPr>
              <w:spacing w:before="60" w:after="60"/>
              <w:rPr>
                <w:rFonts w:ascii="Calibri" w:hAnsi="Calibri"/>
                <w:sz w:val="24"/>
                <w:szCs w:val="24"/>
              </w:rPr>
            </w:pPr>
            <w:r w:rsidRPr="00AD75B6">
              <w:t> </w:t>
            </w:r>
          </w:p>
        </w:tc>
        <w:tc>
          <w:tcPr>
            <w:tcW w:w="1788" w:type="dxa"/>
            <w:gridSpan w:val="3"/>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F1672" w:rsidRPr="00234554" w:rsidRDefault="00AF1672" w:rsidP="00562448">
            <w:pPr>
              <w:spacing w:before="60" w:after="60"/>
              <w:rPr>
                <w:rFonts w:eastAsia="Times New Roman" w:cs="Arial"/>
                <w:b/>
                <w:szCs w:val="22"/>
              </w:rPr>
            </w:pPr>
          </w:p>
        </w:tc>
        <w:tc>
          <w:tcPr>
            <w:tcW w:w="8100" w:type="dxa"/>
            <w:gridSpan w:val="3"/>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AF1672" w:rsidRPr="00234554" w:rsidRDefault="00AF1672" w:rsidP="00AF1672">
            <w:pPr>
              <w:spacing w:before="60" w:after="60"/>
              <w:jc w:val="center"/>
              <w:rPr>
                <w:b/>
                <w:szCs w:val="22"/>
              </w:rPr>
            </w:pPr>
            <w:r>
              <w:rPr>
                <w:b/>
                <w:szCs w:val="22"/>
              </w:rPr>
              <w:t>Free evening</w:t>
            </w:r>
          </w:p>
        </w:tc>
      </w:tr>
      <w:tr w:rsidR="00AF1672" w:rsidRPr="00AD75B6" w:rsidTr="00651B8B">
        <w:trPr>
          <w:gridAfter w:val="6"/>
          <w:wAfter w:w="9908" w:type="dxa"/>
          <w:cantSplit/>
        </w:trPr>
        <w:tc>
          <w:tcPr>
            <w:tcW w:w="292" w:type="dxa"/>
            <w:gridSpan w:val="2"/>
            <w:tcBorders>
              <w:top w:val="single" w:sz="4" w:space="0" w:color="auto"/>
            </w:tcBorders>
            <w:vAlign w:val="center"/>
          </w:tcPr>
          <w:p w:rsidR="00AF1672" w:rsidRPr="00234554" w:rsidRDefault="00AF1672" w:rsidP="00562448">
            <w:pPr>
              <w:spacing w:before="120" w:after="120"/>
              <w:rPr>
                <w:szCs w:val="22"/>
              </w:rPr>
            </w:pPr>
          </w:p>
        </w:tc>
      </w:tr>
    </w:tbl>
    <w:p w:rsidR="006B6E8D" w:rsidRDefault="006B6E8D" w:rsidP="003F1382">
      <w:pPr>
        <w:pStyle w:val="BlockText"/>
        <w:shd w:val="clear" w:color="auto" w:fill="FFFFFF"/>
        <w:spacing w:before="0"/>
        <w:rPr>
          <w:rFonts w:eastAsia="Times New Roman"/>
          <w:b/>
          <w:bCs/>
          <w:sz w:val="20"/>
        </w:rPr>
      </w:pPr>
      <w:r>
        <w:rPr>
          <w:rFonts w:eastAsia="Times New Roman"/>
          <w:b/>
          <w:bCs/>
          <w:noProof/>
          <w:sz w:val="20"/>
          <w:lang w:val="en-GB" w:eastAsia="en-GB"/>
        </w:rPr>
        <w:drawing>
          <wp:anchor distT="0" distB="0" distL="114300" distR="114300" simplePos="0" relativeHeight="251708928" behindDoc="0" locked="0" layoutInCell="1" allowOverlap="1" wp14:anchorId="27A9C591" wp14:editId="370D03DF">
            <wp:simplePos x="0" y="0"/>
            <wp:positionH relativeFrom="column">
              <wp:posOffset>693420</wp:posOffset>
            </wp:positionH>
            <wp:positionV relativeFrom="paragraph">
              <wp:posOffset>116840</wp:posOffset>
            </wp:positionV>
            <wp:extent cx="4867275" cy="2057400"/>
            <wp:effectExtent l="0" t="0" r="9525" b="0"/>
            <wp:wrapNone/>
            <wp:docPr id="16" name="Picture 16" descr="\\BE-FILE01\jlittre$\MyData\01. STANDARDS\01. STD DEVELOPMENT DOMAINS\1. Securities\01. SMPG Global\06. Global Meetings\2015 Singapore\SG_Sky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FILE01\jlittre$\MyData\01. STANDARDS\01. STD DEVELOPMENT DOMAINS\1. Securities\01. SMPG Global\06. Global Meetings\2015 Singapore\SG_Skylin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6B6E8D" w:rsidRDefault="006B6E8D" w:rsidP="003F1382">
      <w:pPr>
        <w:pStyle w:val="BlockText"/>
        <w:shd w:val="clear" w:color="auto" w:fill="FFFFFF"/>
        <w:spacing w:before="0"/>
        <w:rPr>
          <w:rFonts w:eastAsia="Times New Roman"/>
          <w:b/>
          <w:bCs/>
          <w:sz w:val="20"/>
        </w:rPr>
      </w:pPr>
    </w:p>
    <w:p w:rsidR="00D86372" w:rsidRDefault="00D86372" w:rsidP="003F1382">
      <w:pPr>
        <w:pStyle w:val="BlockText"/>
        <w:shd w:val="clear" w:color="auto" w:fill="FFFFFF"/>
        <w:spacing w:before="0"/>
        <w:rPr>
          <w:rFonts w:eastAsia="Times New Roman"/>
          <w:b/>
          <w:bCs/>
          <w:sz w:val="20"/>
        </w:rPr>
      </w:pPr>
    </w:p>
    <w:p w:rsidR="00553CE8" w:rsidRDefault="00553CE8" w:rsidP="003F1382">
      <w:pPr>
        <w:pStyle w:val="BlockText"/>
        <w:shd w:val="clear" w:color="auto" w:fill="FFFFFF"/>
        <w:spacing w:before="0"/>
        <w:rPr>
          <w:rFonts w:eastAsia="Times New Roman"/>
          <w:b/>
          <w:bCs/>
          <w:sz w:val="20"/>
        </w:rPr>
      </w:pPr>
    </w:p>
    <w:p w:rsidR="00553CE8" w:rsidRDefault="00553CE8" w:rsidP="003F1382">
      <w:pPr>
        <w:pStyle w:val="BlockText"/>
        <w:shd w:val="clear" w:color="auto" w:fill="FFFFFF"/>
        <w:spacing w:before="0"/>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98"/>
        <w:gridCol w:w="12"/>
        <w:gridCol w:w="1788"/>
        <w:gridCol w:w="2610"/>
        <w:gridCol w:w="2430"/>
        <w:gridCol w:w="3060"/>
      </w:tblGrid>
      <w:tr w:rsidR="006301BA" w:rsidRPr="00B36457" w:rsidTr="00430004">
        <w:trPr>
          <w:cantSplit/>
          <w:trHeight w:val="391"/>
        </w:trPr>
        <w:tc>
          <w:tcPr>
            <w:tcW w:w="10098" w:type="dxa"/>
            <w:gridSpan w:val="6"/>
            <w:tcBorders>
              <w:top w:val="single" w:sz="8" w:space="0" w:color="auto"/>
              <w:left w:val="single" w:sz="8" w:space="0" w:color="auto"/>
              <w:bottom w:val="double" w:sz="4" w:space="0" w:color="auto"/>
              <w:right w:val="single" w:sz="8" w:space="0" w:color="auto"/>
            </w:tcBorders>
            <w:shd w:val="clear" w:color="auto" w:fill="002060"/>
            <w:tcMar>
              <w:top w:w="0" w:type="dxa"/>
              <w:left w:w="108" w:type="dxa"/>
              <w:bottom w:w="0" w:type="dxa"/>
              <w:right w:w="108" w:type="dxa"/>
            </w:tcMar>
            <w:vAlign w:val="center"/>
          </w:tcPr>
          <w:p w:rsidR="006301BA" w:rsidRPr="00B36457" w:rsidRDefault="00DF6C83" w:rsidP="008816EB">
            <w:pPr>
              <w:spacing w:before="120" w:after="120"/>
              <w:rPr>
                <w:rFonts w:eastAsia="Times New Roman" w:cs="Arial"/>
                <w:b/>
                <w:sz w:val="32"/>
                <w:szCs w:val="32"/>
              </w:rPr>
            </w:pPr>
            <w:r>
              <w:rPr>
                <w:rFonts w:eastAsia="Times New Roman"/>
                <w:b/>
                <w:bCs/>
                <w:sz w:val="20"/>
              </w:rPr>
              <w:t xml:space="preserve"> </w:t>
            </w:r>
            <w:r w:rsidR="00B527EB">
              <w:rPr>
                <w:rFonts w:eastAsia="Times New Roman"/>
                <w:b/>
                <w:bCs/>
                <w:sz w:val="20"/>
              </w:rPr>
              <w:br w:type="page"/>
            </w:r>
            <w:r w:rsidR="002E3CDC">
              <w:rPr>
                <w:b/>
                <w:color w:val="FFFFFF" w:themeColor="background1"/>
                <w:sz w:val="32"/>
                <w:szCs w:val="32"/>
              </w:rPr>
              <w:t>Thursday</w:t>
            </w:r>
            <w:r w:rsidR="006301BA" w:rsidRPr="000D0026">
              <w:rPr>
                <w:b/>
                <w:color w:val="FFFFFF" w:themeColor="background1"/>
                <w:sz w:val="32"/>
                <w:szCs w:val="32"/>
              </w:rPr>
              <w:t xml:space="preserve"> </w:t>
            </w:r>
            <w:r w:rsidR="008816EB">
              <w:rPr>
                <w:b/>
                <w:color w:val="FFFFFF" w:themeColor="background1"/>
                <w:sz w:val="32"/>
                <w:szCs w:val="32"/>
              </w:rPr>
              <w:t>8</w:t>
            </w:r>
            <w:r w:rsidR="006301BA" w:rsidRPr="008816EB">
              <w:rPr>
                <w:b/>
                <w:color w:val="FFFFFF" w:themeColor="background1"/>
                <w:sz w:val="32"/>
                <w:szCs w:val="32"/>
                <w:vertAlign w:val="superscript"/>
              </w:rPr>
              <w:t>th</w:t>
            </w:r>
            <w:r w:rsidR="006301BA" w:rsidRPr="000D0026">
              <w:rPr>
                <w:b/>
                <w:color w:val="FFFFFF" w:themeColor="background1"/>
                <w:sz w:val="32"/>
                <w:szCs w:val="32"/>
              </w:rPr>
              <w:t xml:space="preserve"> of </w:t>
            </w:r>
            <w:r w:rsidR="008816EB">
              <w:rPr>
                <w:b/>
                <w:color w:val="FFFFFF" w:themeColor="background1"/>
                <w:sz w:val="32"/>
                <w:szCs w:val="32"/>
              </w:rPr>
              <w:t>October</w:t>
            </w:r>
          </w:p>
        </w:tc>
      </w:tr>
      <w:tr w:rsidR="00364F14" w:rsidRPr="00905E9E" w:rsidTr="00562448">
        <w:trPr>
          <w:cantSplit/>
        </w:trPr>
        <w:tc>
          <w:tcPr>
            <w:tcW w:w="210" w:type="dxa"/>
            <w:gridSpan w:val="2"/>
            <w:shd w:val="clear" w:color="auto" w:fill="FFFFFF" w:themeFill="background1"/>
            <w:vAlign w:val="center"/>
          </w:tcPr>
          <w:p w:rsidR="00364F14" w:rsidRPr="00905E9E" w:rsidRDefault="00364F14" w:rsidP="00364F14">
            <w:pPr>
              <w:spacing w:beforeLines="60" w:before="144" w:afterLines="60" w:after="144"/>
              <w:rPr>
                <w:i/>
              </w:rPr>
            </w:pPr>
          </w:p>
        </w:tc>
        <w:tc>
          <w:tcPr>
            <w:tcW w:w="1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B41CB5" w:rsidRDefault="007C4538" w:rsidP="00364F14">
            <w:pPr>
              <w:spacing w:beforeLines="60" w:before="144" w:afterLines="60" w:after="144"/>
              <w:jc w:val="left"/>
              <w:rPr>
                <w:b/>
                <w:bCs/>
                <w:szCs w:val="22"/>
                <w:lang w:val="de-DE"/>
              </w:rPr>
            </w:pPr>
            <w:r w:rsidRPr="00B41CB5">
              <w:rPr>
                <w:b/>
                <w:bCs/>
                <w:szCs w:val="22"/>
                <w:lang w:val="de-DE"/>
              </w:rPr>
              <w:t>8:30</w:t>
            </w:r>
            <w:r w:rsidR="00364F14" w:rsidRPr="00B41CB5">
              <w:rPr>
                <w:b/>
                <w:bCs/>
                <w:szCs w:val="22"/>
                <w:lang w:val="de-DE"/>
              </w:rPr>
              <w:t xml:space="preserve"> </w:t>
            </w:r>
            <w:r w:rsidRPr="00B41CB5">
              <w:rPr>
                <w:b/>
                <w:bCs/>
                <w:szCs w:val="22"/>
                <w:lang w:val="de-DE"/>
              </w:rPr>
              <w:t>– 9:00</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7C4538" w:rsidP="00364F14">
            <w:pPr>
              <w:spacing w:beforeLines="60" w:before="144" w:afterLines="60" w:after="144"/>
              <w:jc w:val="left"/>
              <w:rPr>
                <w:b/>
                <w:i/>
                <w:szCs w:val="22"/>
              </w:rPr>
            </w:pPr>
            <w:r>
              <w:rPr>
                <w:szCs w:val="22"/>
              </w:rPr>
              <w:t>Arrival &amp; Check-in at SGX premises</w:t>
            </w:r>
          </w:p>
        </w:tc>
      </w:tr>
      <w:tr w:rsidR="00D46F82" w:rsidRPr="00AD75B6" w:rsidTr="00430004">
        <w:trPr>
          <w:cantSplit/>
        </w:trPr>
        <w:tc>
          <w:tcPr>
            <w:tcW w:w="10098" w:type="dxa"/>
            <w:gridSpan w:val="6"/>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46F82" w:rsidRPr="001B1986" w:rsidRDefault="00D46F82" w:rsidP="00B90F6D">
            <w:pPr>
              <w:spacing w:before="60" w:after="60"/>
              <w:rPr>
                <w:b/>
                <w:color w:val="FFFFFF" w:themeColor="background1"/>
                <w:sz w:val="28"/>
                <w:szCs w:val="28"/>
              </w:rPr>
            </w:pPr>
            <w:r w:rsidRPr="001B1986">
              <w:rPr>
                <w:rFonts w:cs="Arial"/>
                <w:b/>
                <w:color w:val="FFFFFF" w:themeColor="background1"/>
                <w:sz w:val="28"/>
                <w:szCs w:val="28"/>
              </w:rPr>
              <w:t xml:space="preserve">Morning </w:t>
            </w:r>
            <w:r w:rsidR="001B1986">
              <w:rPr>
                <w:rFonts w:cs="Arial"/>
                <w:b/>
                <w:color w:val="FFFFFF" w:themeColor="background1"/>
                <w:sz w:val="28"/>
                <w:szCs w:val="28"/>
              </w:rPr>
              <w:t>Session</w:t>
            </w:r>
          </w:p>
        </w:tc>
      </w:tr>
      <w:tr w:rsidR="001B1986" w:rsidRPr="00B90F6D" w:rsidTr="001B1986">
        <w:trPr>
          <w:cantSplit/>
        </w:trPr>
        <w:tc>
          <w:tcPr>
            <w:tcW w:w="198" w:type="dxa"/>
            <w:vAlign w:val="center"/>
          </w:tcPr>
          <w:p w:rsidR="001B1986" w:rsidRPr="00B90F6D" w:rsidRDefault="001B1986"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09:00 – 10:45</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562448">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562448">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562448">
            <w:pPr>
              <w:pStyle w:val="BlockText"/>
              <w:shd w:val="clear" w:color="auto" w:fill="FFFFFF"/>
              <w:spacing w:before="120" w:after="120"/>
              <w:jc w:val="center"/>
              <w:rPr>
                <w:szCs w:val="22"/>
              </w:rPr>
            </w:pPr>
            <w:r w:rsidRPr="00B90F6D">
              <w:rPr>
                <w:szCs w:val="22"/>
              </w:rPr>
              <w:t>Settlement and Reconciliation WG</w:t>
            </w:r>
          </w:p>
        </w:tc>
      </w:tr>
      <w:tr w:rsidR="00D46F82" w:rsidRPr="00B90F6D" w:rsidTr="001B1986">
        <w:trPr>
          <w:cantSplit/>
        </w:trPr>
        <w:tc>
          <w:tcPr>
            <w:tcW w:w="198" w:type="dxa"/>
            <w:shd w:val="clear" w:color="auto" w:fill="FFFFFF" w:themeFill="background1"/>
            <w:vAlign w:val="center"/>
          </w:tcPr>
          <w:p w:rsidR="00D46F82" w:rsidRPr="00461BDF" w:rsidRDefault="00D46F82" w:rsidP="00461BDF">
            <w:pPr>
              <w:spacing w:beforeLines="40" w:before="96" w:afterLines="60" w:after="144"/>
              <w:rPr>
                <w:b/>
                <w:szCs w:val="22"/>
              </w:rPr>
            </w:pPr>
            <w:r w:rsidRPr="00461BDF">
              <w:rPr>
                <w:b/>
                <w:szCs w:val="22"/>
              </w:rPr>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461BDF" w:rsidRDefault="00D46F82" w:rsidP="00461BDF">
            <w:pPr>
              <w:spacing w:beforeLines="40" w:before="96" w:afterLines="60" w:after="144"/>
              <w:rPr>
                <w:b/>
                <w:szCs w:val="22"/>
              </w:rPr>
            </w:pPr>
            <w:r w:rsidRPr="00461BDF">
              <w:rPr>
                <w:b/>
                <w:szCs w:val="22"/>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461BDF" w:rsidRDefault="00D46F82" w:rsidP="00461BDF">
            <w:pPr>
              <w:spacing w:beforeLines="40" w:before="96" w:afterLines="60" w:after="144"/>
              <w:rPr>
                <w:b/>
                <w:szCs w:val="22"/>
              </w:rPr>
            </w:pPr>
            <w:r w:rsidRPr="00461BDF">
              <w:rPr>
                <w:b/>
                <w:szCs w:val="22"/>
              </w:rPr>
              <w:t>Coffee Break</w:t>
            </w:r>
          </w:p>
        </w:tc>
      </w:tr>
      <w:tr w:rsidR="001B1986" w:rsidRPr="00B90F6D" w:rsidTr="007C4538">
        <w:trPr>
          <w:cantSplit/>
          <w:trHeight w:val="597"/>
        </w:trPr>
        <w:tc>
          <w:tcPr>
            <w:tcW w:w="198" w:type="dxa"/>
            <w:vAlign w:val="center"/>
          </w:tcPr>
          <w:p w:rsidR="001B1986" w:rsidRPr="00B90F6D" w:rsidRDefault="001B1986"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11:00 – 12:30</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562448">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562448">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562448">
            <w:pPr>
              <w:pStyle w:val="BlockText"/>
              <w:shd w:val="clear" w:color="auto" w:fill="FFFFFF"/>
              <w:spacing w:before="120" w:after="120"/>
              <w:jc w:val="center"/>
              <w:rPr>
                <w:szCs w:val="22"/>
              </w:rPr>
            </w:pPr>
            <w:r w:rsidRPr="00B90F6D">
              <w:rPr>
                <w:szCs w:val="22"/>
              </w:rPr>
              <w:t>Settlement and Reconciliation WG</w:t>
            </w:r>
          </w:p>
        </w:tc>
      </w:tr>
      <w:tr w:rsidR="00D46F82" w:rsidRPr="00B90F6D" w:rsidTr="001B1986">
        <w:trPr>
          <w:cantSplit/>
        </w:trPr>
        <w:tc>
          <w:tcPr>
            <w:tcW w:w="198" w:type="dxa"/>
            <w:tcBorders>
              <w:top w:val="nil"/>
              <w:left w:val="nil"/>
              <w:bottom w:val="double" w:sz="4" w:space="0" w:color="auto"/>
              <w:right w:val="nil"/>
            </w:tcBorders>
            <w:shd w:val="clear" w:color="auto" w:fill="FFFFFF" w:themeFill="background1"/>
            <w:vAlign w:val="center"/>
          </w:tcPr>
          <w:p w:rsidR="00D46F82" w:rsidRPr="00B90F6D" w:rsidRDefault="00D46F82"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12:30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szCs w:val="22"/>
              </w:rPr>
            </w:pPr>
            <w:r w:rsidRPr="00B90F6D">
              <w:rPr>
                <w:rFonts w:cs="Arial"/>
                <w:b/>
                <w:szCs w:val="22"/>
              </w:rPr>
              <w:t>Lunch</w:t>
            </w:r>
          </w:p>
        </w:tc>
      </w:tr>
      <w:tr w:rsidR="001B1986" w:rsidRPr="00B90F6D" w:rsidTr="00430004">
        <w:trPr>
          <w:cantSplit/>
        </w:trPr>
        <w:tc>
          <w:tcPr>
            <w:tcW w:w="10098" w:type="dxa"/>
            <w:gridSpan w:val="6"/>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46F82" w:rsidRPr="00B90F6D" w:rsidRDefault="00D46F82" w:rsidP="00B90F6D">
            <w:pPr>
              <w:spacing w:before="60" w:after="60"/>
              <w:rPr>
                <w:b/>
                <w:color w:val="FFFFFF" w:themeColor="background1"/>
                <w:sz w:val="28"/>
                <w:szCs w:val="28"/>
              </w:rPr>
            </w:pPr>
            <w:r w:rsidRPr="00B90F6D">
              <w:rPr>
                <w:rFonts w:cs="Arial"/>
                <w:b/>
                <w:color w:val="FFFFFF" w:themeColor="background1"/>
                <w:sz w:val="28"/>
                <w:szCs w:val="28"/>
              </w:rPr>
              <w:t xml:space="preserve">Afternoon </w:t>
            </w:r>
            <w:r w:rsidR="001B1986" w:rsidRPr="00B90F6D">
              <w:rPr>
                <w:rFonts w:cs="Arial"/>
                <w:b/>
                <w:color w:val="FFFFFF" w:themeColor="background1"/>
                <w:sz w:val="28"/>
                <w:szCs w:val="28"/>
              </w:rPr>
              <w:t>Session</w:t>
            </w:r>
          </w:p>
        </w:tc>
      </w:tr>
      <w:tr w:rsidR="0055180F" w:rsidRPr="00AD75B6" w:rsidTr="0055180F">
        <w:trPr>
          <w:cantSplit/>
          <w:trHeight w:val="840"/>
        </w:trPr>
        <w:tc>
          <w:tcPr>
            <w:tcW w:w="198" w:type="dxa"/>
            <w:vAlign w:val="center"/>
          </w:tcPr>
          <w:p w:rsidR="0055180F" w:rsidRDefault="0055180F"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5180F" w:rsidRPr="00B90F6D" w:rsidRDefault="0055180F" w:rsidP="001B1986">
            <w:pPr>
              <w:spacing w:beforeLines="40" w:before="96" w:afterLines="60" w:after="144"/>
              <w:rPr>
                <w:rFonts w:eastAsia="Times New Roman" w:cs="Arial"/>
                <w:b/>
                <w:szCs w:val="22"/>
              </w:rPr>
            </w:pPr>
            <w:r w:rsidRPr="00B90F6D">
              <w:rPr>
                <w:rFonts w:cs="Arial"/>
                <w:b/>
                <w:szCs w:val="22"/>
              </w:rPr>
              <w:t>13:30 – 15:</w:t>
            </w:r>
            <w:r w:rsidR="00E83537">
              <w:rPr>
                <w:rFonts w:cs="Arial"/>
                <w:b/>
                <w:szCs w:val="22"/>
              </w:rPr>
              <w:t>30</w:t>
            </w:r>
          </w:p>
        </w:tc>
        <w:tc>
          <w:tcPr>
            <w:tcW w:w="2610" w:type="dxa"/>
            <w:tcBorders>
              <w:top w:val="nil"/>
              <w:left w:val="nil"/>
              <w:bottom w:val="single" w:sz="8" w:space="0" w:color="auto"/>
              <w:right w:val="single" w:sz="8" w:space="0" w:color="auto"/>
            </w:tcBorders>
            <w:shd w:val="clear" w:color="auto" w:fill="FFFFFF"/>
            <w:vAlign w:val="center"/>
          </w:tcPr>
          <w:p w:rsidR="0055180F" w:rsidRPr="00B90F6D" w:rsidRDefault="0055180F" w:rsidP="00562448">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55180F" w:rsidRPr="00B90F6D" w:rsidRDefault="0055180F" w:rsidP="00562448">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55180F" w:rsidRPr="00B90F6D" w:rsidRDefault="0055180F" w:rsidP="00562448">
            <w:pPr>
              <w:pStyle w:val="BlockText"/>
              <w:shd w:val="clear" w:color="auto" w:fill="FFFFFF"/>
              <w:spacing w:before="120" w:after="120"/>
              <w:jc w:val="center"/>
              <w:rPr>
                <w:szCs w:val="22"/>
              </w:rPr>
            </w:pPr>
            <w:r w:rsidRPr="00B90F6D">
              <w:rPr>
                <w:szCs w:val="22"/>
              </w:rPr>
              <w:t>Settlement and Reconciliation WG</w:t>
            </w:r>
          </w:p>
        </w:tc>
      </w:tr>
      <w:tr w:rsidR="00D46F82" w:rsidRPr="00AD75B6" w:rsidTr="001B1986">
        <w:trPr>
          <w:cantSplit/>
          <w:trHeight w:val="132"/>
        </w:trPr>
        <w:tc>
          <w:tcPr>
            <w:tcW w:w="198" w:type="dxa"/>
            <w:shd w:val="clear" w:color="auto" w:fill="FFFFFF" w:themeFill="background1"/>
            <w:vAlign w:val="center"/>
          </w:tcPr>
          <w:p w:rsidR="00D46F82" w:rsidRDefault="00D46F82"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E83537" w:rsidP="001B1986">
            <w:pPr>
              <w:spacing w:beforeLines="40" w:before="96" w:afterLines="60" w:after="144"/>
              <w:rPr>
                <w:rFonts w:cs="Arial"/>
                <w:b/>
                <w:szCs w:val="22"/>
              </w:rPr>
            </w:pPr>
            <w:r>
              <w:rPr>
                <w:rFonts w:cs="Arial"/>
                <w:b/>
                <w:szCs w:val="22"/>
              </w:rPr>
              <w:t>15:30</w:t>
            </w:r>
            <w:r w:rsidR="00D46F82" w:rsidRPr="00B90F6D">
              <w:rPr>
                <w:rFonts w:cs="Arial"/>
                <w:b/>
                <w:szCs w:val="22"/>
              </w:rPr>
              <w:t xml:space="preserve"> – 15:</w:t>
            </w:r>
            <w:r>
              <w:rPr>
                <w:rFonts w:cs="Arial"/>
                <w:b/>
                <w:szCs w:val="22"/>
              </w:rPr>
              <w:t>45</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Coffee Break</w:t>
            </w:r>
          </w:p>
        </w:tc>
      </w:tr>
      <w:tr w:rsidR="001B1986" w:rsidRPr="00AD75B6" w:rsidTr="001B1986">
        <w:trPr>
          <w:cantSplit/>
          <w:trHeight w:val="132"/>
        </w:trPr>
        <w:tc>
          <w:tcPr>
            <w:tcW w:w="198" w:type="dxa"/>
            <w:tcBorders>
              <w:top w:val="nil"/>
              <w:left w:val="nil"/>
              <w:bottom w:val="nil"/>
              <w:right w:val="nil"/>
            </w:tcBorders>
            <w:vAlign w:val="center"/>
          </w:tcPr>
          <w:p w:rsidR="001B1986" w:rsidRDefault="001B1986" w:rsidP="001B1986">
            <w:pPr>
              <w:spacing w:beforeLines="40" w:before="96" w:afterLines="60" w:after="144"/>
              <w:rPr>
                <w:rFonts w:ascii="Calibri" w:hAnsi="Calibri"/>
                <w:sz w:val="24"/>
                <w:szCs w:val="24"/>
              </w:rPr>
            </w:pPr>
            <w:r w:rsidRPr="00AD75B6">
              <w:lastRenderedPageBreak/>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E83537" w:rsidP="001B1986">
            <w:pPr>
              <w:spacing w:beforeLines="40" w:before="96" w:afterLines="60" w:after="144"/>
              <w:rPr>
                <w:rFonts w:eastAsia="Times New Roman" w:cs="Arial"/>
                <w:b/>
                <w:szCs w:val="22"/>
              </w:rPr>
            </w:pPr>
            <w:r>
              <w:rPr>
                <w:rFonts w:cs="Arial"/>
                <w:b/>
                <w:szCs w:val="22"/>
              </w:rPr>
              <w:t>15:45</w:t>
            </w:r>
            <w:r w:rsidR="001B1986" w:rsidRPr="00B90F6D">
              <w:rPr>
                <w:rFonts w:cs="Arial"/>
                <w:b/>
                <w:szCs w:val="22"/>
              </w:rPr>
              <w:t xml:space="preserve"> – 17:</w:t>
            </w:r>
            <w:r w:rsidR="00B90F6D" w:rsidRPr="00B90F6D">
              <w:rPr>
                <w:rFonts w:cs="Arial"/>
                <w:b/>
                <w:szCs w:val="22"/>
              </w:rPr>
              <w:t>30</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562448">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562448">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562448">
            <w:pPr>
              <w:pStyle w:val="BlockText"/>
              <w:shd w:val="clear" w:color="auto" w:fill="FFFFFF"/>
              <w:spacing w:before="120" w:after="120"/>
              <w:jc w:val="center"/>
              <w:rPr>
                <w:szCs w:val="22"/>
              </w:rPr>
            </w:pPr>
            <w:r w:rsidRPr="00B90F6D">
              <w:rPr>
                <w:szCs w:val="22"/>
              </w:rPr>
              <w:t>Settlement and Reconciliation WG</w:t>
            </w:r>
          </w:p>
        </w:tc>
      </w:tr>
      <w:tr w:rsidR="005264C0" w:rsidRPr="001B1986" w:rsidTr="00430004">
        <w:trPr>
          <w:cantSplit/>
        </w:trPr>
        <w:tc>
          <w:tcPr>
            <w:tcW w:w="10098" w:type="dxa"/>
            <w:gridSpan w:val="6"/>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264C0" w:rsidRPr="001B1986" w:rsidRDefault="005264C0" w:rsidP="00B90F6D">
            <w:pPr>
              <w:spacing w:before="60" w:after="60"/>
              <w:rPr>
                <w:b/>
                <w:color w:val="FFFFFF" w:themeColor="background1"/>
                <w:sz w:val="28"/>
                <w:szCs w:val="28"/>
              </w:rPr>
            </w:pPr>
            <w:r w:rsidRPr="001B1986">
              <w:rPr>
                <w:rFonts w:cs="Arial"/>
                <w:b/>
                <w:color w:val="FFFFFF" w:themeColor="background1"/>
                <w:sz w:val="28"/>
                <w:szCs w:val="28"/>
              </w:rPr>
              <w:t>Evening</w:t>
            </w:r>
          </w:p>
        </w:tc>
      </w:tr>
      <w:tr w:rsidR="00F33D33" w:rsidRPr="00AD75B6" w:rsidTr="00B90F6D">
        <w:trPr>
          <w:cantSplit/>
        </w:trPr>
        <w:tc>
          <w:tcPr>
            <w:tcW w:w="198" w:type="dxa"/>
            <w:shd w:val="clear" w:color="auto" w:fill="FFFFFF" w:themeFill="background1"/>
            <w:vAlign w:val="center"/>
          </w:tcPr>
          <w:p w:rsidR="00F33D33" w:rsidRPr="00AD75B6" w:rsidRDefault="00F33D33" w:rsidP="001B1986">
            <w:pPr>
              <w:spacing w:before="60" w:afterLines="60" w:after="144"/>
            </w:pPr>
          </w:p>
        </w:tc>
        <w:tc>
          <w:tcPr>
            <w:tcW w:w="180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33D33" w:rsidRPr="00B90F6D" w:rsidRDefault="00F33D33" w:rsidP="00B90F6D">
            <w:pPr>
              <w:spacing w:before="60" w:after="60"/>
              <w:jc w:val="left"/>
              <w:rPr>
                <w:rFonts w:cs="Arial"/>
                <w:b/>
                <w:szCs w:val="22"/>
              </w:rPr>
            </w:pPr>
            <w:r w:rsidRPr="00B90F6D">
              <w:rPr>
                <w:rFonts w:cs="Arial"/>
                <w:b/>
                <w:szCs w:val="22"/>
              </w:rPr>
              <w:t>1</w:t>
            </w:r>
            <w:r w:rsidR="00E83537">
              <w:rPr>
                <w:rFonts w:cs="Arial"/>
                <w:b/>
                <w:szCs w:val="22"/>
              </w:rPr>
              <w:t>8:00</w:t>
            </w: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33D33" w:rsidRPr="00B90F6D" w:rsidRDefault="00F33D33" w:rsidP="00B90F6D">
            <w:pPr>
              <w:spacing w:before="60" w:after="60"/>
              <w:jc w:val="left"/>
              <w:rPr>
                <w:rFonts w:cs="Arial"/>
                <w:b/>
                <w:szCs w:val="22"/>
              </w:rPr>
            </w:pPr>
          </w:p>
        </w:tc>
      </w:tr>
      <w:tr w:rsidR="005264C0" w:rsidRPr="00AD75B6" w:rsidTr="00B90F6D">
        <w:trPr>
          <w:cantSplit/>
        </w:trPr>
        <w:tc>
          <w:tcPr>
            <w:tcW w:w="198" w:type="dxa"/>
            <w:shd w:val="clear" w:color="auto" w:fill="FFFFFF" w:themeFill="background1"/>
            <w:vAlign w:val="center"/>
          </w:tcPr>
          <w:p w:rsidR="005264C0" w:rsidRDefault="005264C0" w:rsidP="00B90F6D">
            <w:pPr>
              <w:spacing w:before="120" w:after="120"/>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5264C0" w:rsidRPr="00B90F6D" w:rsidRDefault="005264C0" w:rsidP="00B90F6D">
            <w:pPr>
              <w:spacing w:before="120" w:after="120"/>
              <w:rPr>
                <w:rFonts w:cs="Arial"/>
                <w:b/>
                <w:szCs w:val="22"/>
              </w:rPr>
            </w:pPr>
          </w:p>
        </w:tc>
        <w:tc>
          <w:tcPr>
            <w:tcW w:w="8100"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33FEA" w:rsidRDefault="005264C0" w:rsidP="00B33FEA">
            <w:pPr>
              <w:spacing w:before="120" w:after="120"/>
              <w:jc w:val="center"/>
              <w:rPr>
                <w:rFonts w:cs="Arial"/>
                <w:b/>
                <w:i/>
                <w:sz w:val="28"/>
                <w:szCs w:val="28"/>
              </w:rPr>
            </w:pPr>
            <w:r w:rsidRPr="00B33FEA">
              <w:rPr>
                <w:rFonts w:cs="Arial"/>
                <w:b/>
                <w:i/>
                <w:sz w:val="28"/>
                <w:szCs w:val="28"/>
              </w:rPr>
              <w:t>Evening</w:t>
            </w:r>
            <w:r w:rsidR="00B41CB5" w:rsidRPr="00B33FEA">
              <w:rPr>
                <w:rFonts w:cs="Arial"/>
                <w:b/>
                <w:i/>
                <w:sz w:val="28"/>
                <w:szCs w:val="28"/>
              </w:rPr>
              <w:t xml:space="preserve"> Event</w:t>
            </w:r>
          </w:p>
          <w:p w:rsidR="005264C0" w:rsidRPr="00B33FEA" w:rsidRDefault="00B33FEA" w:rsidP="00B33FEA">
            <w:pPr>
              <w:spacing w:before="120" w:after="120"/>
              <w:jc w:val="center"/>
              <w:rPr>
                <w:rFonts w:cs="Arial"/>
                <w:b/>
                <w:i/>
                <w:sz w:val="28"/>
                <w:szCs w:val="28"/>
                <w:highlight w:val="yellow"/>
              </w:rPr>
            </w:pPr>
            <w:r>
              <w:rPr>
                <w:rFonts w:cs="Arial"/>
                <w:b/>
                <w:i/>
                <w:sz w:val="28"/>
                <w:szCs w:val="28"/>
              </w:rPr>
              <w:t>(More information will follow)</w:t>
            </w:r>
          </w:p>
        </w:tc>
      </w:tr>
      <w:tr w:rsidR="00B90F6D" w:rsidRPr="00AD75B6" w:rsidTr="00B90F6D">
        <w:trPr>
          <w:cantSplit/>
        </w:trPr>
        <w:tc>
          <w:tcPr>
            <w:tcW w:w="198" w:type="dxa"/>
            <w:shd w:val="clear" w:color="auto" w:fill="FFFFFF" w:themeFill="background1"/>
            <w:vAlign w:val="center"/>
          </w:tcPr>
          <w:p w:rsidR="00B90F6D" w:rsidRPr="00B90F6D" w:rsidRDefault="00B90F6D" w:rsidP="00B90F6D">
            <w:pPr>
              <w:spacing w:before="60" w:afterLines="60" w:after="144"/>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90F6D" w:rsidRPr="00B90F6D" w:rsidRDefault="00B90F6D" w:rsidP="00B90F6D">
            <w:pPr>
              <w:spacing w:before="60" w:after="60"/>
              <w:rPr>
                <w:rFonts w:cs="Arial"/>
                <w:b/>
                <w:szCs w:val="22"/>
              </w:rPr>
            </w:pPr>
            <w:r>
              <w:rPr>
                <w:rFonts w:cs="Arial"/>
                <w:b/>
                <w:szCs w:val="22"/>
              </w:rPr>
              <w:t>+/- 22:00</w:t>
            </w:r>
            <w:r w:rsidR="00461BDF">
              <w:rPr>
                <w:rFonts w:cs="Arial"/>
                <w:b/>
                <w:szCs w:val="22"/>
              </w:rPr>
              <w:t xml:space="preserve"> - TBC</w:t>
            </w: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90F6D" w:rsidRPr="00B90F6D" w:rsidRDefault="00B90F6D" w:rsidP="00B90F6D">
            <w:pPr>
              <w:spacing w:before="60" w:after="60"/>
              <w:jc w:val="left"/>
              <w:rPr>
                <w:rFonts w:cs="Arial"/>
                <w:b/>
                <w:szCs w:val="22"/>
              </w:rPr>
            </w:pPr>
          </w:p>
        </w:tc>
      </w:tr>
    </w:tbl>
    <w:p w:rsidR="002E3CDC" w:rsidRDefault="001D65B6" w:rsidP="001D65B6">
      <w:pPr>
        <w:pStyle w:val="BlockText"/>
        <w:shd w:val="clear" w:color="auto" w:fill="FFFFFF"/>
        <w:tabs>
          <w:tab w:val="left" w:pos="1395"/>
        </w:tabs>
        <w:spacing w:beforeLines="40" w:before="96" w:afterLines="20" w:after="48"/>
        <w:rPr>
          <w:b/>
          <w:sz w:val="24"/>
          <w:szCs w:val="24"/>
        </w:rPr>
      </w:pPr>
      <w:r>
        <w:rPr>
          <w:b/>
          <w:sz w:val="24"/>
          <w:szCs w:val="24"/>
        </w:rPr>
        <w:tab/>
      </w:r>
    </w:p>
    <w:tbl>
      <w:tblPr>
        <w:tblW w:w="0" w:type="auto"/>
        <w:tblCellMar>
          <w:left w:w="0" w:type="dxa"/>
          <w:right w:w="0" w:type="dxa"/>
        </w:tblCellMar>
        <w:tblLook w:val="00A0" w:firstRow="1" w:lastRow="0" w:firstColumn="1" w:lastColumn="0" w:noHBand="0" w:noVBand="0"/>
      </w:tblPr>
      <w:tblGrid>
        <w:gridCol w:w="198"/>
        <w:gridCol w:w="12"/>
        <w:gridCol w:w="1741"/>
        <w:gridCol w:w="47"/>
        <w:gridCol w:w="2700"/>
        <w:gridCol w:w="2700"/>
        <w:gridCol w:w="2700"/>
      </w:tblGrid>
      <w:tr w:rsidR="00364F14" w:rsidRPr="00364F14" w:rsidTr="00430004">
        <w:trPr>
          <w:cantSplit/>
          <w:trHeight w:val="391"/>
        </w:trPr>
        <w:tc>
          <w:tcPr>
            <w:tcW w:w="10098" w:type="dxa"/>
            <w:gridSpan w:val="7"/>
            <w:tcBorders>
              <w:left w:val="single" w:sz="8" w:space="0" w:color="auto"/>
              <w:bottom w:val="double" w:sz="4" w:space="0" w:color="auto"/>
              <w:right w:val="single" w:sz="8" w:space="0" w:color="auto"/>
            </w:tcBorders>
            <w:shd w:val="clear" w:color="auto" w:fill="002060"/>
            <w:tcMar>
              <w:top w:w="0" w:type="dxa"/>
              <w:left w:w="108" w:type="dxa"/>
              <w:bottom w:w="0" w:type="dxa"/>
              <w:right w:w="108" w:type="dxa"/>
            </w:tcMar>
            <w:vAlign w:val="center"/>
          </w:tcPr>
          <w:p w:rsidR="008070B1" w:rsidRPr="00364F14" w:rsidRDefault="008070B1" w:rsidP="008816EB">
            <w:pPr>
              <w:spacing w:before="120" w:after="120"/>
              <w:rPr>
                <w:rFonts w:eastAsia="Times New Roman" w:cs="Arial"/>
                <w:b/>
                <w:color w:val="FFFFFF" w:themeColor="background1"/>
                <w:sz w:val="28"/>
                <w:szCs w:val="28"/>
              </w:rPr>
            </w:pPr>
            <w:r w:rsidRPr="00364F14">
              <w:rPr>
                <w:b/>
                <w:color w:val="FFFFFF" w:themeColor="background1"/>
                <w:sz w:val="28"/>
                <w:szCs w:val="28"/>
              </w:rPr>
              <w:t xml:space="preserve">Friday </w:t>
            </w:r>
            <w:r w:rsidR="008816EB">
              <w:rPr>
                <w:b/>
                <w:color w:val="FFFFFF" w:themeColor="background1"/>
                <w:sz w:val="28"/>
                <w:szCs w:val="28"/>
              </w:rPr>
              <w:t>9</w:t>
            </w:r>
            <w:r w:rsidRPr="008816EB">
              <w:rPr>
                <w:b/>
                <w:color w:val="FFFFFF" w:themeColor="background1"/>
                <w:sz w:val="28"/>
                <w:szCs w:val="28"/>
                <w:vertAlign w:val="superscript"/>
              </w:rPr>
              <w:t>th</w:t>
            </w:r>
            <w:r w:rsidRPr="00364F14">
              <w:rPr>
                <w:b/>
                <w:color w:val="FFFFFF" w:themeColor="background1"/>
                <w:sz w:val="28"/>
                <w:szCs w:val="28"/>
              </w:rPr>
              <w:t xml:space="preserve"> of </w:t>
            </w:r>
            <w:r w:rsidR="008816EB">
              <w:rPr>
                <w:b/>
                <w:color w:val="FFFFFF" w:themeColor="background1"/>
                <w:sz w:val="28"/>
                <w:szCs w:val="28"/>
              </w:rPr>
              <w:t>October</w:t>
            </w:r>
          </w:p>
        </w:tc>
      </w:tr>
      <w:tr w:rsidR="007C4538" w:rsidRPr="00905E9E" w:rsidTr="00562448">
        <w:trPr>
          <w:cantSplit/>
        </w:trPr>
        <w:tc>
          <w:tcPr>
            <w:tcW w:w="210" w:type="dxa"/>
            <w:gridSpan w:val="2"/>
            <w:shd w:val="clear" w:color="auto" w:fill="FFFFFF" w:themeFill="background1"/>
            <w:vAlign w:val="center"/>
          </w:tcPr>
          <w:p w:rsidR="007C4538" w:rsidRPr="00905E9E" w:rsidRDefault="007C4538" w:rsidP="00364F14">
            <w:pPr>
              <w:spacing w:beforeLines="60" w:before="144" w:afterLines="60" w:after="144"/>
              <w:rPr>
                <w:i/>
              </w:rPr>
            </w:pPr>
          </w:p>
        </w:tc>
        <w:tc>
          <w:tcPr>
            <w:tcW w:w="17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C4538" w:rsidRPr="00B41CB5" w:rsidRDefault="007C4538" w:rsidP="00562448">
            <w:pPr>
              <w:spacing w:beforeLines="60" w:before="144" w:afterLines="60" w:after="144"/>
              <w:jc w:val="left"/>
              <w:rPr>
                <w:b/>
                <w:bCs/>
                <w:szCs w:val="22"/>
                <w:lang w:val="de-DE"/>
              </w:rPr>
            </w:pPr>
            <w:r w:rsidRPr="00B41CB5">
              <w:rPr>
                <w:b/>
                <w:bCs/>
                <w:szCs w:val="22"/>
                <w:lang w:val="de-DE"/>
              </w:rPr>
              <w:t>8:30 – 9:00</w:t>
            </w:r>
          </w:p>
        </w:tc>
        <w:tc>
          <w:tcPr>
            <w:tcW w:w="814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C4538" w:rsidRPr="00234554" w:rsidRDefault="007C4538" w:rsidP="00562448">
            <w:pPr>
              <w:spacing w:beforeLines="60" w:before="144" w:afterLines="60" w:after="144"/>
              <w:jc w:val="left"/>
              <w:rPr>
                <w:b/>
                <w:i/>
                <w:szCs w:val="22"/>
              </w:rPr>
            </w:pPr>
            <w:r>
              <w:rPr>
                <w:szCs w:val="22"/>
              </w:rPr>
              <w:t>Arrival &amp; Check-in at SGX premises</w:t>
            </w:r>
          </w:p>
        </w:tc>
      </w:tr>
      <w:tr w:rsidR="00364F14" w:rsidRPr="00364F14" w:rsidTr="00430004">
        <w:trPr>
          <w:cantSplit/>
        </w:trPr>
        <w:tc>
          <w:tcPr>
            <w:tcW w:w="10098"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8070B1" w:rsidRPr="00364F14" w:rsidRDefault="008070B1" w:rsidP="00364F14">
            <w:pPr>
              <w:spacing w:before="60" w:after="60"/>
              <w:rPr>
                <w:b/>
                <w:color w:val="FFFFFF" w:themeColor="background1"/>
                <w:sz w:val="28"/>
                <w:szCs w:val="28"/>
              </w:rPr>
            </w:pPr>
            <w:r w:rsidRPr="00364F14">
              <w:rPr>
                <w:rFonts w:cs="Arial"/>
                <w:b/>
                <w:color w:val="FFFFFF" w:themeColor="background1"/>
                <w:sz w:val="28"/>
                <w:szCs w:val="28"/>
              </w:rPr>
              <w:t xml:space="preserve">Morning </w:t>
            </w:r>
            <w:r w:rsidR="00B90F6D" w:rsidRPr="00364F14">
              <w:rPr>
                <w:rFonts w:cs="Arial"/>
                <w:b/>
                <w:color w:val="FFFFFF" w:themeColor="background1"/>
                <w:sz w:val="28"/>
                <w:szCs w:val="28"/>
              </w:rPr>
              <w:t>Session</w:t>
            </w:r>
          </w:p>
        </w:tc>
      </w:tr>
      <w:tr w:rsidR="00364F14" w:rsidRPr="00AD75B6" w:rsidTr="00562448">
        <w:trPr>
          <w:cantSplit/>
        </w:trPr>
        <w:tc>
          <w:tcPr>
            <w:tcW w:w="210" w:type="dxa"/>
            <w:gridSpan w:val="2"/>
            <w:vAlign w:val="center"/>
          </w:tcPr>
          <w:p w:rsidR="00364F14" w:rsidRPr="00364F14" w:rsidRDefault="00364F14" w:rsidP="00562448">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364F14" w:rsidRDefault="00364F14" w:rsidP="00562448">
            <w:pPr>
              <w:spacing w:beforeLines="40" w:before="96" w:afterLines="20" w:after="48"/>
              <w:rPr>
                <w:rFonts w:eastAsia="Times New Roman" w:cs="Arial"/>
                <w:b/>
                <w:szCs w:val="22"/>
              </w:rPr>
            </w:pPr>
            <w:r>
              <w:rPr>
                <w:rFonts w:cs="Arial"/>
                <w:b/>
                <w:szCs w:val="22"/>
              </w:rPr>
              <w:t>9</w:t>
            </w:r>
            <w:r w:rsidRPr="00364F14">
              <w:rPr>
                <w:rFonts w:cs="Arial"/>
                <w:b/>
                <w:szCs w:val="22"/>
              </w:rPr>
              <w:t>:00 – 10:</w:t>
            </w:r>
            <w:r>
              <w:rPr>
                <w:rFonts w:cs="Arial"/>
                <w:b/>
                <w:szCs w:val="22"/>
              </w:rPr>
              <w:t>45</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562448">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562448">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562448">
            <w:pPr>
              <w:pStyle w:val="BlockText"/>
              <w:shd w:val="clear" w:color="auto" w:fill="FFFFFF"/>
              <w:spacing w:before="120" w:after="120"/>
              <w:jc w:val="center"/>
              <w:rPr>
                <w:szCs w:val="22"/>
              </w:rPr>
            </w:pPr>
            <w:r w:rsidRPr="00B90F6D">
              <w:rPr>
                <w:szCs w:val="22"/>
              </w:rPr>
              <w:t>Settlement and Reconciliation WG</w:t>
            </w:r>
          </w:p>
        </w:tc>
      </w:tr>
      <w:tr w:rsidR="008070B1" w:rsidRPr="00AD75B6" w:rsidTr="00364F14">
        <w:trPr>
          <w:cantSplit/>
        </w:trPr>
        <w:tc>
          <w:tcPr>
            <w:tcW w:w="210" w:type="dxa"/>
            <w:gridSpan w:val="2"/>
            <w:shd w:val="clear" w:color="auto" w:fill="FFFFFF" w:themeFill="background1"/>
            <w:vAlign w:val="center"/>
          </w:tcPr>
          <w:p w:rsidR="008070B1" w:rsidRPr="00364F14" w:rsidRDefault="008070B1" w:rsidP="00562448">
            <w:pPr>
              <w:spacing w:before="40" w:after="20"/>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364F14" w:rsidRDefault="008070B1" w:rsidP="00562448">
            <w:pPr>
              <w:spacing w:before="40" w:after="20"/>
              <w:rPr>
                <w:rFonts w:eastAsia="Times New Roman" w:cs="Arial"/>
                <w:b/>
                <w:szCs w:val="22"/>
              </w:rPr>
            </w:pPr>
            <w:r w:rsidRPr="00364F14">
              <w:rPr>
                <w:rFonts w:cs="Arial"/>
                <w:b/>
                <w:szCs w:val="22"/>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364F14" w:rsidRDefault="008070B1" w:rsidP="00562448">
            <w:pPr>
              <w:spacing w:before="40" w:after="20"/>
              <w:rPr>
                <w:b/>
                <w:szCs w:val="22"/>
              </w:rPr>
            </w:pPr>
            <w:r w:rsidRPr="00364F14">
              <w:rPr>
                <w:b/>
                <w:szCs w:val="22"/>
              </w:rPr>
              <w:t>Coffee Break</w:t>
            </w:r>
          </w:p>
        </w:tc>
      </w:tr>
      <w:tr w:rsidR="00364F14" w:rsidRPr="00AD75B6" w:rsidTr="00364F14">
        <w:trPr>
          <w:cantSplit/>
        </w:trPr>
        <w:tc>
          <w:tcPr>
            <w:tcW w:w="210" w:type="dxa"/>
            <w:gridSpan w:val="2"/>
            <w:vAlign w:val="center"/>
          </w:tcPr>
          <w:p w:rsidR="00364F14" w:rsidRPr="00364F14" w:rsidRDefault="00364F14" w:rsidP="00562448">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364F14" w:rsidRDefault="00364F14" w:rsidP="00562448">
            <w:pPr>
              <w:spacing w:beforeLines="40" w:before="96" w:afterLines="20" w:after="48"/>
              <w:rPr>
                <w:rFonts w:eastAsia="Times New Roman" w:cs="Arial"/>
                <w:b/>
                <w:szCs w:val="22"/>
              </w:rPr>
            </w:pPr>
            <w:r w:rsidRPr="00364F14">
              <w:rPr>
                <w:rFonts w:cs="Arial"/>
                <w:b/>
                <w:szCs w:val="22"/>
              </w:rPr>
              <w:t>11:00</w:t>
            </w:r>
            <w:r w:rsidR="007C4538">
              <w:rPr>
                <w:rFonts w:cs="Arial"/>
                <w:b/>
                <w:szCs w:val="22"/>
              </w:rPr>
              <w:t xml:space="preserve"> – 12:3</w:t>
            </w:r>
            <w:r w:rsidRPr="00364F14">
              <w:rPr>
                <w:rFonts w:cs="Arial"/>
                <w:b/>
                <w:szCs w:val="22"/>
              </w:rPr>
              <w:t>0</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562448">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562448">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B90F6D" w:rsidRDefault="00364F14" w:rsidP="00562448">
            <w:pPr>
              <w:pStyle w:val="BlockText"/>
              <w:shd w:val="clear" w:color="auto" w:fill="FFFFFF"/>
              <w:spacing w:before="120" w:after="120"/>
              <w:jc w:val="center"/>
              <w:rPr>
                <w:szCs w:val="22"/>
              </w:rPr>
            </w:pPr>
            <w:r w:rsidRPr="00B90F6D">
              <w:rPr>
                <w:szCs w:val="22"/>
              </w:rPr>
              <w:t>Settlement and Reconciliation WG</w:t>
            </w:r>
          </w:p>
        </w:tc>
      </w:tr>
      <w:tr w:rsidR="007C4538" w:rsidRPr="00AD75B6" w:rsidTr="007C4538">
        <w:trPr>
          <w:cantSplit/>
        </w:trPr>
        <w:tc>
          <w:tcPr>
            <w:tcW w:w="210" w:type="dxa"/>
            <w:gridSpan w:val="2"/>
            <w:tcBorders>
              <w:top w:val="nil"/>
              <w:left w:val="nil"/>
              <w:bottom w:val="double" w:sz="4" w:space="0" w:color="auto"/>
              <w:right w:val="nil"/>
            </w:tcBorders>
            <w:shd w:val="clear" w:color="auto" w:fill="FFFFFF" w:themeFill="background1"/>
            <w:vAlign w:val="center"/>
          </w:tcPr>
          <w:p w:rsidR="007C4538" w:rsidRPr="00364F14" w:rsidRDefault="007C4538" w:rsidP="00562448">
            <w:pPr>
              <w:spacing w:beforeLines="40" w:before="96" w:afterLines="20" w:after="48"/>
              <w:rPr>
                <w:szCs w:val="22"/>
              </w:rPr>
            </w:pP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C4538" w:rsidRPr="00B90F6D" w:rsidRDefault="007C4538" w:rsidP="00562448">
            <w:pPr>
              <w:spacing w:beforeLines="40" w:before="96" w:afterLines="60" w:after="144"/>
              <w:rPr>
                <w:rFonts w:cs="Arial"/>
                <w:b/>
                <w:szCs w:val="22"/>
              </w:rPr>
            </w:pPr>
            <w:r>
              <w:rPr>
                <w:rFonts w:cs="Arial"/>
                <w:b/>
                <w:szCs w:val="22"/>
              </w:rPr>
              <w:t>12</w:t>
            </w:r>
            <w:r w:rsidRPr="00B90F6D">
              <w:rPr>
                <w:rFonts w:cs="Arial"/>
                <w:b/>
                <w:szCs w:val="22"/>
              </w:rPr>
              <w:t>:30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C4538" w:rsidRPr="00B90F6D" w:rsidRDefault="007C4538" w:rsidP="00562448">
            <w:pPr>
              <w:spacing w:beforeLines="40" w:before="96" w:afterLines="60" w:after="144"/>
              <w:rPr>
                <w:rFonts w:cs="Arial"/>
                <w:szCs w:val="22"/>
              </w:rPr>
            </w:pPr>
            <w:r w:rsidRPr="00B90F6D">
              <w:rPr>
                <w:rFonts w:cs="Arial"/>
                <w:b/>
                <w:szCs w:val="22"/>
              </w:rPr>
              <w:t>Lunch</w:t>
            </w:r>
          </w:p>
        </w:tc>
      </w:tr>
      <w:tr w:rsidR="007C4538" w:rsidRPr="00B90F6D" w:rsidTr="00562448">
        <w:trPr>
          <w:cantSplit/>
        </w:trPr>
        <w:tc>
          <w:tcPr>
            <w:tcW w:w="10098"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7C4538" w:rsidRPr="00B90F6D" w:rsidRDefault="007C4538" w:rsidP="00562448">
            <w:pPr>
              <w:spacing w:before="60" w:after="60"/>
              <w:rPr>
                <w:b/>
                <w:color w:val="FFFFFF" w:themeColor="background1"/>
                <w:sz w:val="28"/>
                <w:szCs w:val="28"/>
              </w:rPr>
            </w:pPr>
            <w:r w:rsidRPr="00B90F6D">
              <w:rPr>
                <w:rFonts w:cs="Arial"/>
                <w:b/>
                <w:color w:val="FFFFFF" w:themeColor="background1"/>
                <w:sz w:val="28"/>
                <w:szCs w:val="28"/>
              </w:rPr>
              <w:t>Afternoon Session</w:t>
            </w:r>
          </w:p>
        </w:tc>
      </w:tr>
      <w:tr w:rsidR="00461BDF" w:rsidRPr="00AD75B6" w:rsidTr="00562448">
        <w:trPr>
          <w:cantSplit/>
          <w:trHeight w:val="840"/>
        </w:trPr>
        <w:tc>
          <w:tcPr>
            <w:tcW w:w="198" w:type="dxa"/>
            <w:vAlign w:val="center"/>
          </w:tcPr>
          <w:p w:rsidR="00461BDF" w:rsidRDefault="00461BDF" w:rsidP="00562448">
            <w:pPr>
              <w:spacing w:beforeLines="40" w:before="96" w:afterLines="60" w:after="144"/>
              <w:rPr>
                <w:rFonts w:ascii="Calibri" w:hAnsi="Calibri"/>
                <w:sz w:val="24"/>
                <w:szCs w:val="24"/>
              </w:rPr>
            </w:pPr>
            <w:r w:rsidRPr="00AD75B6">
              <w:t> </w:t>
            </w:r>
          </w:p>
        </w:tc>
        <w:tc>
          <w:tcPr>
            <w:tcW w:w="180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1BDF" w:rsidRPr="00B90F6D" w:rsidRDefault="00461BDF" w:rsidP="00562448">
            <w:pPr>
              <w:spacing w:beforeLines="40" w:before="96" w:afterLines="60" w:after="144"/>
              <w:rPr>
                <w:rFonts w:eastAsia="Times New Roman" w:cs="Arial"/>
                <w:b/>
                <w:szCs w:val="22"/>
              </w:rPr>
            </w:pPr>
            <w:r w:rsidRPr="00B90F6D">
              <w:rPr>
                <w:rFonts w:cs="Arial"/>
                <w:b/>
                <w:szCs w:val="22"/>
              </w:rPr>
              <w:t>13:30 – 15:</w:t>
            </w:r>
            <w:r>
              <w:rPr>
                <w:rFonts w:cs="Arial"/>
                <w:b/>
                <w:szCs w:val="22"/>
              </w:rPr>
              <w:t>30</w:t>
            </w:r>
          </w:p>
        </w:tc>
        <w:tc>
          <w:tcPr>
            <w:tcW w:w="8100" w:type="dxa"/>
            <w:gridSpan w:val="3"/>
            <w:tcBorders>
              <w:top w:val="nil"/>
              <w:left w:val="nil"/>
              <w:bottom w:val="single" w:sz="8" w:space="0" w:color="auto"/>
              <w:right w:val="single" w:sz="8" w:space="0" w:color="auto"/>
            </w:tcBorders>
            <w:shd w:val="clear" w:color="auto" w:fill="FFFFFF"/>
            <w:vAlign w:val="center"/>
          </w:tcPr>
          <w:p w:rsidR="00461BDF" w:rsidRPr="00D010A4" w:rsidRDefault="00461BDF" w:rsidP="00562448">
            <w:pPr>
              <w:pStyle w:val="BlockText"/>
              <w:shd w:val="clear" w:color="auto" w:fill="FFFFFF"/>
              <w:spacing w:before="120" w:after="120"/>
              <w:jc w:val="center"/>
              <w:rPr>
                <w:i/>
                <w:szCs w:val="22"/>
              </w:rPr>
            </w:pPr>
            <w:r w:rsidRPr="00D010A4">
              <w:rPr>
                <w:i/>
                <w:szCs w:val="22"/>
              </w:rPr>
              <w:t xml:space="preserve">Each Working Group to decide if they continue their meeting </w:t>
            </w:r>
            <w:r w:rsidR="00D010A4">
              <w:rPr>
                <w:i/>
                <w:szCs w:val="22"/>
              </w:rPr>
              <w:t xml:space="preserve">during </w:t>
            </w:r>
            <w:r w:rsidRPr="00D010A4">
              <w:rPr>
                <w:i/>
                <w:szCs w:val="22"/>
              </w:rPr>
              <w:t>part of the afternoon</w:t>
            </w:r>
          </w:p>
        </w:tc>
      </w:tr>
      <w:tr w:rsidR="007C4538" w:rsidRPr="00AD75B6" w:rsidTr="00562448">
        <w:trPr>
          <w:cantSplit/>
          <w:trHeight w:val="132"/>
        </w:trPr>
        <w:tc>
          <w:tcPr>
            <w:tcW w:w="198" w:type="dxa"/>
            <w:shd w:val="clear" w:color="auto" w:fill="FFFFFF" w:themeFill="background1"/>
            <w:vAlign w:val="center"/>
          </w:tcPr>
          <w:p w:rsidR="007C4538" w:rsidRDefault="007C4538" w:rsidP="00562448">
            <w:pPr>
              <w:spacing w:beforeLines="40" w:before="96" w:afterLines="60" w:after="144"/>
              <w:rPr>
                <w:rFonts w:ascii="Calibri" w:hAnsi="Calibri"/>
                <w:sz w:val="24"/>
                <w:szCs w:val="24"/>
              </w:rPr>
            </w:pPr>
          </w:p>
        </w:tc>
        <w:tc>
          <w:tcPr>
            <w:tcW w:w="1800"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C4538" w:rsidRPr="00B90F6D" w:rsidRDefault="00461BDF" w:rsidP="00562448">
            <w:pPr>
              <w:spacing w:beforeLines="40" w:before="96" w:afterLines="60" w:after="144"/>
              <w:rPr>
                <w:rFonts w:cs="Arial"/>
                <w:b/>
                <w:szCs w:val="22"/>
              </w:rPr>
            </w:pPr>
            <w:r>
              <w:rPr>
                <w:rFonts w:cs="Arial"/>
                <w:b/>
                <w:szCs w:val="22"/>
              </w:rPr>
              <w:t>15:30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C4538" w:rsidRPr="00B90F6D" w:rsidRDefault="00461BDF" w:rsidP="00461BDF">
            <w:pPr>
              <w:spacing w:beforeLines="40" w:before="96" w:afterLines="60" w:after="144"/>
              <w:jc w:val="center"/>
              <w:rPr>
                <w:rFonts w:cs="Arial"/>
                <w:b/>
                <w:szCs w:val="22"/>
              </w:rPr>
            </w:pPr>
            <w:r>
              <w:rPr>
                <w:rFonts w:cs="Arial"/>
                <w:b/>
                <w:szCs w:val="22"/>
              </w:rPr>
              <w:t>End of meeting</w:t>
            </w:r>
          </w:p>
        </w:tc>
      </w:tr>
    </w:tbl>
    <w:p w:rsidR="00F4317C" w:rsidRDefault="00F4317C">
      <w:pPr>
        <w:jc w:val="left"/>
        <w:rPr>
          <w:rFonts w:cs="Arial"/>
          <w:sz w:val="44"/>
          <w:szCs w:val="44"/>
          <w:u w:val="single"/>
        </w:rPr>
      </w:pPr>
    </w:p>
    <w:p w:rsidR="00AA03ED" w:rsidRPr="00841973" w:rsidRDefault="00F4317C" w:rsidP="00AA03ED">
      <w:pPr>
        <w:spacing w:before="240"/>
        <w:rPr>
          <w:b/>
          <w:sz w:val="36"/>
          <w:szCs w:val="36"/>
        </w:rPr>
      </w:pPr>
      <w:r>
        <w:br w:type="page"/>
      </w:r>
      <w:r w:rsidR="00AA03ED" w:rsidRPr="00841973">
        <w:rPr>
          <w:b/>
          <w:sz w:val="36"/>
          <w:szCs w:val="36"/>
        </w:rPr>
        <w:lastRenderedPageBreak/>
        <w:t xml:space="preserve">Meeting </w:t>
      </w:r>
      <w:r w:rsidR="00381C5B">
        <w:rPr>
          <w:b/>
          <w:sz w:val="36"/>
          <w:szCs w:val="36"/>
        </w:rPr>
        <w:t>Minutes</w:t>
      </w:r>
    </w:p>
    <w:p w:rsidR="00841973" w:rsidRDefault="00841973" w:rsidP="00AA03ED">
      <w:pPr>
        <w:spacing w:before="240"/>
        <w:rPr>
          <w:b/>
          <w:sz w:val="32"/>
          <w:szCs w:val="32"/>
        </w:rPr>
      </w:pPr>
      <w:r>
        <w:rPr>
          <w:b/>
          <w:sz w:val="32"/>
          <w:szCs w:val="32"/>
        </w:rPr>
        <w:tab/>
        <w:t>Wednesday – 7</w:t>
      </w:r>
      <w:r w:rsidRPr="00841973">
        <w:rPr>
          <w:b/>
          <w:sz w:val="32"/>
          <w:szCs w:val="32"/>
          <w:vertAlign w:val="superscript"/>
        </w:rPr>
        <w:t>th</w:t>
      </w:r>
      <w:r>
        <w:rPr>
          <w:b/>
          <w:sz w:val="32"/>
          <w:szCs w:val="32"/>
        </w:rPr>
        <w:t xml:space="preserve"> October</w:t>
      </w:r>
      <w:r w:rsidR="00B001B1">
        <w:rPr>
          <w:b/>
          <w:sz w:val="32"/>
          <w:szCs w:val="32"/>
        </w:rPr>
        <w:t xml:space="preserve"> </w:t>
      </w:r>
    </w:p>
    <w:p w:rsidR="00F4317C" w:rsidRDefault="00F4317C" w:rsidP="00F4317C"/>
    <w:p w:rsidR="00381C5B" w:rsidRDefault="00381C5B" w:rsidP="00F4317C">
      <w:r>
        <w:t xml:space="preserve">For all topics presented during the plenary session, </w:t>
      </w:r>
      <w:proofErr w:type="spellStart"/>
      <w:r>
        <w:t>pls</w:t>
      </w:r>
      <w:proofErr w:type="spellEnd"/>
      <w:r>
        <w:t xml:space="preserve"> refer to slides posted on </w:t>
      </w:r>
      <w:proofErr w:type="spellStart"/>
      <w:r>
        <w:t>smpg</w:t>
      </w:r>
      <w:proofErr w:type="spellEnd"/>
      <w:r>
        <w:t xml:space="preserve"> website (</w:t>
      </w:r>
      <w:hyperlink r:id="rId14" w:history="1">
        <w:r w:rsidRPr="00381C5B">
          <w:rPr>
            <w:rStyle w:val="Hyperlink"/>
          </w:rPr>
          <w:t>here</w:t>
        </w:r>
      </w:hyperlink>
      <w:r>
        <w:t>)</w:t>
      </w:r>
    </w:p>
    <w:p w:rsidR="00381C5B" w:rsidRDefault="00381C5B" w:rsidP="00F4317C"/>
    <w:p w:rsidR="00381C5B" w:rsidRDefault="00381C5B" w:rsidP="00F4317C">
      <w:r w:rsidRPr="00381C5B">
        <w:t>SMPG welcomed newly elected Hiroaki Okumura as SMPG Japan Regional Director to the Steering Committee. The SMPG would like to thank outgoing Regional Director Taketoshi Mori for his long standing, active contribution to securities market practice.</w:t>
      </w:r>
    </w:p>
    <w:p w:rsidR="00AA03ED" w:rsidRPr="001F4245" w:rsidRDefault="00AA03ED" w:rsidP="00841B85">
      <w:pPr>
        <w:numPr>
          <w:ilvl w:val="0"/>
          <w:numId w:val="8"/>
        </w:numPr>
        <w:spacing w:before="240"/>
        <w:rPr>
          <w:u w:val="single"/>
        </w:rPr>
      </w:pPr>
      <w:r w:rsidRPr="001F4245">
        <w:rPr>
          <w:sz w:val="24"/>
          <w:szCs w:val="24"/>
          <w:u w:val="single"/>
          <w:lang w:val="en-GB"/>
        </w:rPr>
        <w:t>Welcome note</w:t>
      </w:r>
    </w:p>
    <w:p w:rsidR="00D55216" w:rsidRPr="0093139A" w:rsidRDefault="00AE497A" w:rsidP="00D55216">
      <w:pPr>
        <w:spacing w:before="240"/>
        <w:ind w:left="1080"/>
        <w:rPr>
          <w:rFonts w:ascii="Calibri" w:hAnsi="Calibri" w:cs="Calibri"/>
          <w:color w:val="7030A0"/>
          <w:sz w:val="20"/>
        </w:rPr>
      </w:pPr>
      <w:r w:rsidRPr="0093139A">
        <w:rPr>
          <w:sz w:val="20"/>
        </w:rPr>
        <w:t>Round table and introduction of participants</w:t>
      </w:r>
      <w:r w:rsidRPr="0093139A">
        <w:rPr>
          <w:rFonts w:ascii="Calibri" w:hAnsi="Calibri" w:cs="Calibri"/>
          <w:color w:val="7030A0"/>
          <w:sz w:val="20"/>
        </w:rPr>
        <w:t xml:space="preserve"> </w:t>
      </w:r>
      <w:r w:rsidRPr="0093139A">
        <w:rPr>
          <w:sz w:val="20"/>
        </w:rPr>
        <w:t>(see attendees list attached to those minutes)</w:t>
      </w:r>
    </w:p>
    <w:p w:rsidR="00AA03ED" w:rsidRPr="001F4245" w:rsidRDefault="00AA03ED" w:rsidP="00841B85">
      <w:pPr>
        <w:numPr>
          <w:ilvl w:val="0"/>
          <w:numId w:val="8"/>
        </w:numPr>
        <w:spacing w:before="240"/>
        <w:rPr>
          <w:sz w:val="24"/>
          <w:szCs w:val="24"/>
          <w:u w:val="single"/>
          <w:lang w:val="en-GB"/>
        </w:rPr>
      </w:pPr>
      <w:r w:rsidRPr="001F4245">
        <w:rPr>
          <w:sz w:val="24"/>
          <w:szCs w:val="24"/>
          <w:u w:val="single"/>
          <w:lang w:val="en-GB"/>
        </w:rPr>
        <w:t>ISO20022 journey –</w:t>
      </w:r>
      <w:r w:rsidR="00596C42" w:rsidRPr="001F4245">
        <w:rPr>
          <w:sz w:val="24"/>
          <w:szCs w:val="24"/>
          <w:u w:val="single"/>
          <w:lang w:val="en-GB"/>
        </w:rPr>
        <w:t xml:space="preserve"> CSDs</w:t>
      </w:r>
      <w:r w:rsidRPr="001F4245">
        <w:rPr>
          <w:sz w:val="24"/>
          <w:szCs w:val="24"/>
          <w:u w:val="single"/>
          <w:lang w:val="en-GB"/>
        </w:rPr>
        <w:t xml:space="preserve"> in APAC </w:t>
      </w:r>
      <w:r w:rsidR="001F4245">
        <w:rPr>
          <w:sz w:val="24"/>
          <w:szCs w:val="24"/>
          <w:u w:val="single"/>
          <w:lang w:val="en-GB"/>
        </w:rPr>
        <w:t>adopting</w:t>
      </w:r>
      <w:r w:rsidRPr="001F4245">
        <w:rPr>
          <w:sz w:val="24"/>
          <w:szCs w:val="24"/>
          <w:u w:val="single"/>
          <w:lang w:val="en-GB"/>
        </w:rPr>
        <w:t>(</w:t>
      </w:r>
      <w:r w:rsidR="00596C42" w:rsidRPr="001F4245">
        <w:rPr>
          <w:sz w:val="24"/>
          <w:szCs w:val="24"/>
          <w:u w:val="single"/>
          <w:lang w:val="en-GB"/>
        </w:rPr>
        <w:t xml:space="preserve">moderated by </w:t>
      </w:r>
      <w:r w:rsidRPr="001F4245">
        <w:rPr>
          <w:sz w:val="24"/>
          <w:szCs w:val="24"/>
          <w:u w:val="single"/>
          <w:lang w:val="en-GB"/>
        </w:rPr>
        <w:t xml:space="preserve">Alex </w:t>
      </w:r>
      <w:proofErr w:type="spellStart"/>
      <w:r w:rsidRPr="001F4245">
        <w:rPr>
          <w:sz w:val="24"/>
          <w:szCs w:val="24"/>
          <w:u w:val="single"/>
          <w:lang w:val="en-GB"/>
        </w:rPr>
        <w:t>Kech</w:t>
      </w:r>
      <w:proofErr w:type="spellEnd"/>
      <w:r w:rsidRPr="001F4245">
        <w:rPr>
          <w:sz w:val="24"/>
          <w:szCs w:val="24"/>
          <w:u w:val="single"/>
          <w:lang w:val="en-GB"/>
        </w:rPr>
        <w:t>)</w:t>
      </w:r>
    </w:p>
    <w:p w:rsidR="0093139A" w:rsidRDefault="0093139A" w:rsidP="0093139A">
      <w:pPr>
        <w:ind w:left="1080"/>
        <w:rPr>
          <w:rFonts w:asciiTheme="majorHAnsi" w:hAnsiTheme="majorHAnsi" w:cstheme="majorHAnsi"/>
          <w:sz w:val="20"/>
        </w:rPr>
      </w:pPr>
    </w:p>
    <w:p w:rsidR="0093139A" w:rsidRDefault="0093139A" w:rsidP="0093139A">
      <w:pPr>
        <w:ind w:left="1080"/>
        <w:rPr>
          <w:rFonts w:asciiTheme="majorHAnsi" w:hAnsiTheme="majorHAnsi" w:cstheme="majorHAnsi"/>
          <w:sz w:val="20"/>
        </w:rPr>
      </w:pPr>
      <w:r w:rsidRPr="0093139A">
        <w:rPr>
          <w:rFonts w:asciiTheme="majorHAnsi" w:hAnsiTheme="majorHAnsi" w:cstheme="majorHAnsi"/>
          <w:sz w:val="20"/>
        </w:rPr>
        <w:t>China</w:t>
      </w:r>
      <w:r>
        <w:rPr>
          <w:rFonts w:asciiTheme="majorHAnsi" w:hAnsiTheme="majorHAnsi" w:cstheme="majorHAnsi"/>
          <w:sz w:val="20"/>
        </w:rPr>
        <w:t>:</w:t>
      </w:r>
    </w:p>
    <w:p w:rsidR="0093139A" w:rsidRPr="0093139A" w:rsidRDefault="0093139A" w:rsidP="007E5C2C">
      <w:pPr>
        <w:pStyle w:val="ListParagraph"/>
        <w:numPr>
          <w:ilvl w:val="0"/>
          <w:numId w:val="12"/>
        </w:numPr>
        <w:rPr>
          <w:rFonts w:asciiTheme="majorHAnsi" w:hAnsiTheme="majorHAnsi" w:cstheme="majorHAnsi"/>
          <w:bCs/>
          <w:iCs/>
          <w:sz w:val="20"/>
        </w:rPr>
      </w:pPr>
      <w:r w:rsidRPr="0093139A">
        <w:rPr>
          <w:rFonts w:asciiTheme="majorHAnsi" w:hAnsiTheme="majorHAnsi" w:cstheme="majorHAnsi"/>
          <w:bCs/>
          <w:iCs/>
          <w:sz w:val="20"/>
        </w:rPr>
        <w:t>ISO20022 adoption at the market infrastructure level –</w:t>
      </w:r>
    </w:p>
    <w:p w:rsidR="0093139A" w:rsidRPr="0093139A" w:rsidRDefault="0093139A" w:rsidP="007E5C2C">
      <w:pPr>
        <w:pStyle w:val="ListParagraph"/>
        <w:numPr>
          <w:ilvl w:val="0"/>
          <w:numId w:val="12"/>
        </w:numPr>
        <w:rPr>
          <w:rFonts w:asciiTheme="majorHAnsi" w:hAnsiTheme="majorHAnsi" w:cstheme="majorHAnsi"/>
          <w:bCs/>
          <w:iCs/>
          <w:sz w:val="20"/>
          <w:szCs w:val="20"/>
        </w:rPr>
      </w:pPr>
      <w:r>
        <w:rPr>
          <w:rFonts w:asciiTheme="majorHAnsi" w:hAnsiTheme="majorHAnsi" w:cstheme="majorHAnsi"/>
          <w:bCs/>
          <w:iCs/>
          <w:sz w:val="20"/>
        </w:rPr>
        <w:t>E</w:t>
      </w:r>
      <w:r w:rsidRPr="0093139A">
        <w:rPr>
          <w:rFonts w:asciiTheme="majorHAnsi" w:hAnsiTheme="majorHAnsi" w:cstheme="majorHAnsi"/>
          <w:bCs/>
          <w:iCs/>
          <w:sz w:val="20"/>
        </w:rPr>
        <w:t>ducation</w:t>
      </w:r>
      <w:r w:rsidRPr="0093139A">
        <w:rPr>
          <w:rFonts w:asciiTheme="majorHAnsi" w:hAnsiTheme="majorHAnsi" w:cstheme="majorHAnsi"/>
          <w:bCs/>
          <w:iCs/>
          <w:sz w:val="20"/>
          <w:szCs w:val="20"/>
        </w:rPr>
        <w:t>/awareness stage to determine decision to implement or not. Expect once an announcement is made, it will likely be implemented quickly</w:t>
      </w:r>
    </w:p>
    <w:p w:rsidR="0093139A" w:rsidRPr="0093139A" w:rsidRDefault="0093139A" w:rsidP="00340CA2">
      <w:pPr>
        <w:pStyle w:val="ListParagraph"/>
        <w:numPr>
          <w:ilvl w:val="0"/>
          <w:numId w:val="12"/>
        </w:numPr>
        <w:rPr>
          <w:rFonts w:asciiTheme="majorHAnsi" w:hAnsiTheme="majorHAnsi" w:cstheme="majorHAnsi"/>
          <w:bCs/>
          <w:iCs/>
          <w:sz w:val="20"/>
          <w:szCs w:val="20"/>
        </w:rPr>
      </w:pPr>
      <w:r w:rsidRPr="0093139A">
        <w:rPr>
          <w:rFonts w:asciiTheme="majorHAnsi" w:hAnsiTheme="majorHAnsi" w:cstheme="majorHAnsi"/>
          <w:bCs/>
          <w:iCs/>
          <w:sz w:val="20"/>
        </w:rPr>
        <w:t>Payments</w:t>
      </w:r>
      <w:r w:rsidR="00340CA2">
        <w:rPr>
          <w:rFonts w:asciiTheme="majorHAnsi" w:hAnsiTheme="majorHAnsi" w:cstheme="majorHAnsi"/>
          <w:bCs/>
          <w:iCs/>
          <w:sz w:val="20"/>
          <w:szCs w:val="20"/>
        </w:rPr>
        <w:t xml:space="preserve"> (C</w:t>
      </w:r>
      <w:r w:rsidRPr="0093139A">
        <w:rPr>
          <w:rFonts w:asciiTheme="majorHAnsi" w:hAnsiTheme="majorHAnsi" w:cstheme="majorHAnsi"/>
          <w:bCs/>
          <w:iCs/>
          <w:sz w:val="20"/>
          <w:szCs w:val="20"/>
        </w:rPr>
        <w:t>IPs</w:t>
      </w:r>
      <w:r w:rsidR="00340CA2">
        <w:rPr>
          <w:rFonts w:asciiTheme="majorHAnsi" w:hAnsiTheme="majorHAnsi" w:cstheme="majorHAnsi"/>
          <w:bCs/>
          <w:iCs/>
          <w:sz w:val="20"/>
          <w:szCs w:val="20"/>
        </w:rPr>
        <w:t xml:space="preserve"> - </w:t>
      </w:r>
      <w:r w:rsidR="00340CA2" w:rsidRPr="00340CA2">
        <w:rPr>
          <w:rFonts w:asciiTheme="majorHAnsi" w:hAnsiTheme="majorHAnsi" w:cstheme="majorHAnsi"/>
          <w:bCs/>
          <w:iCs/>
          <w:sz w:val="20"/>
          <w:szCs w:val="20"/>
        </w:rPr>
        <w:t>China International Payment System</w:t>
      </w:r>
      <w:r w:rsidRPr="0093139A">
        <w:rPr>
          <w:rFonts w:asciiTheme="majorHAnsi" w:hAnsiTheme="majorHAnsi" w:cstheme="majorHAnsi"/>
          <w:bCs/>
          <w:iCs/>
          <w:sz w:val="20"/>
          <w:szCs w:val="20"/>
        </w:rPr>
        <w:t>) ISO20022 migration already underway</w:t>
      </w:r>
    </w:p>
    <w:p w:rsidR="0093139A" w:rsidRPr="00C966A8" w:rsidRDefault="0093139A" w:rsidP="0093139A">
      <w:pPr>
        <w:ind w:left="1080"/>
        <w:rPr>
          <w:rFonts w:asciiTheme="majorHAnsi" w:hAnsiTheme="majorHAnsi" w:cstheme="majorHAnsi"/>
          <w:sz w:val="20"/>
        </w:rPr>
      </w:pPr>
    </w:p>
    <w:p w:rsidR="00C966A8" w:rsidRDefault="00754DF8" w:rsidP="00C966A8">
      <w:pPr>
        <w:ind w:left="1080"/>
        <w:rPr>
          <w:rFonts w:asciiTheme="majorHAnsi" w:hAnsiTheme="majorHAnsi" w:cstheme="majorHAnsi"/>
          <w:sz w:val="20"/>
        </w:rPr>
      </w:pPr>
      <w:r w:rsidRPr="00C966A8">
        <w:rPr>
          <w:rFonts w:asciiTheme="majorHAnsi" w:hAnsiTheme="majorHAnsi" w:cstheme="majorHAnsi"/>
          <w:sz w:val="20"/>
        </w:rPr>
        <w:t>K</w:t>
      </w:r>
      <w:r w:rsidR="0093139A" w:rsidRPr="00C966A8">
        <w:rPr>
          <w:rFonts w:asciiTheme="majorHAnsi" w:hAnsiTheme="majorHAnsi" w:cstheme="majorHAnsi"/>
          <w:sz w:val="20"/>
        </w:rPr>
        <w:t>orea</w:t>
      </w:r>
      <w:r w:rsidRPr="00C966A8">
        <w:rPr>
          <w:rFonts w:asciiTheme="majorHAnsi" w:hAnsiTheme="majorHAnsi" w:cstheme="majorHAnsi"/>
          <w:sz w:val="20"/>
        </w:rPr>
        <w:t xml:space="preserve">. </w:t>
      </w:r>
    </w:p>
    <w:p w:rsidR="0093139A" w:rsidRPr="00C966A8" w:rsidRDefault="00754DF8" w:rsidP="007E5C2C">
      <w:pPr>
        <w:pStyle w:val="ListParagraph"/>
        <w:numPr>
          <w:ilvl w:val="0"/>
          <w:numId w:val="12"/>
        </w:numPr>
        <w:rPr>
          <w:rFonts w:asciiTheme="majorHAnsi" w:hAnsiTheme="majorHAnsi" w:cstheme="majorHAnsi"/>
          <w:sz w:val="20"/>
        </w:rPr>
      </w:pPr>
      <w:r w:rsidRPr="00C966A8">
        <w:rPr>
          <w:rFonts w:ascii="Arial" w:hAnsi="Arial" w:cs="Arial"/>
          <w:sz w:val="20"/>
          <w:szCs w:val="20"/>
        </w:rPr>
        <w:t>KSD</w:t>
      </w:r>
      <w:r w:rsidR="0093139A" w:rsidRPr="00C966A8">
        <w:rPr>
          <w:rFonts w:asciiTheme="majorHAnsi" w:hAnsiTheme="majorHAnsi" w:cstheme="majorHAnsi"/>
          <w:sz w:val="20"/>
        </w:rPr>
        <w:t xml:space="preserve"> </w:t>
      </w:r>
      <w:r w:rsidRPr="00C966A8">
        <w:rPr>
          <w:rFonts w:asciiTheme="majorHAnsi" w:hAnsiTheme="majorHAnsi" w:cstheme="majorHAnsi"/>
          <w:sz w:val="20"/>
        </w:rPr>
        <w:t xml:space="preserve"> </w:t>
      </w:r>
      <w:r w:rsidR="00C966A8">
        <w:rPr>
          <w:rFonts w:asciiTheme="majorHAnsi" w:hAnsiTheme="majorHAnsi" w:cstheme="majorHAnsi"/>
          <w:sz w:val="20"/>
        </w:rPr>
        <w:t>(ISO20022 compliant)</w:t>
      </w:r>
    </w:p>
    <w:p w:rsidR="0008516D" w:rsidRPr="007145C6" w:rsidRDefault="00457254" w:rsidP="007E5C2C">
      <w:pPr>
        <w:pStyle w:val="ListParagraph"/>
        <w:numPr>
          <w:ilvl w:val="0"/>
          <w:numId w:val="12"/>
        </w:numPr>
        <w:rPr>
          <w:rFonts w:ascii="Arial" w:hAnsi="Arial" w:cs="Arial"/>
          <w:sz w:val="20"/>
          <w:szCs w:val="20"/>
        </w:rPr>
      </w:pPr>
      <w:r w:rsidRPr="007145C6">
        <w:rPr>
          <w:rFonts w:ascii="Arial" w:hAnsi="Arial" w:cs="Arial"/>
          <w:sz w:val="20"/>
          <w:szCs w:val="20"/>
        </w:rPr>
        <w:t>F</w:t>
      </w:r>
      <w:r w:rsidR="00754DF8" w:rsidRPr="007145C6">
        <w:rPr>
          <w:rFonts w:ascii="Arial" w:hAnsi="Arial" w:cs="Arial"/>
          <w:sz w:val="20"/>
          <w:szCs w:val="20"/>
        </w:rPr>
        <w:t>unds on proprietary.</w:t>
      </w:r>
    </w:p>
    <w:p w:rsidR="0008516D" w:rsidRPr="007145C6" w:rsidRDefault="0008516D" w:rsidP="007E5C2C">
      <w:pPr>
        <w:pStyle w:val="ListParagraph"/>
        <w:numPr>
          <w:ilvl w:val="0"/>
          <w:numId w:val="12"/>
        </w:numPr>
        <w:rPr>
          <w:rFonts w:ascii="Arial" w:hAnsi="Arial" w:cs="Arial"/>
          <w:bCs/>
          <w:iCs/>
          <w:sz w:val="20"/>
          <w:szCs w:val="20"/>
        </w:rPr>
      </w:pPr>
      <w:proofErr w:type="spellStart"/>
      <w:r w:rsidRPr="007145C6">
        <w:rPr>
          <w:rFonts w:ascii="Arial" w:hAnsi="Arial" w:cs="Arial"/>
          <w:sz w:val="20"/>
          <w:szCs w:val="20"/>
        </w:rPr>
        <w:t>SnR</w:t>
      </w:r>
      <w:proofErr w:type="spellEnd"/>
      <w:r w:rsidRPr="007145C6">
        <w:rPr>
          <w:rFonts w:ascii="Arial" w:hAnsi="Arial" w:cs="Arial"/>
          <w:sz w:val="20"/>
          <w:szCs w:val="20"/>
        </w:rPr>
        <w:t>: discussion about adoption of ISO20022 but n</w:t>
      </w:r>
      <w:r w:rsidRPr="007145C6">
        <w:rPr>
          <w:rFonts w:ascii="Arial" w:hAnsi="Arial" w:cs="Arial"/>
          <w:bCs/>
          <w:iCs/>
          <w:sz w:val="20"/>
          <w:szCs w:val="20"/>
        </w:rPr>
        <w:t>o plans to move to IOS20022 currently</w:t>
      </w:r>
    </w:p>
    <w:p w:rsidR="0093139A" w:rsidRPr="007145C6" w:rsidRDefault="00754DF8" w:rsidP="007E5C2C">
      <w:pPr>
        <w:pStyle w:val="ListParagraph"/>
        <w:numPr>
          <w:ilvl w:val="0"/>
          <w:numId w:val="12"/>
        </w:numPr>
        <w:rPr>
          <w:rFonts w:ascii="Arial" w:hAnsi="Arial" w:cs="Arial"/>
          <w:sz w:val="20"/>
          <w:szCs w:val="20"/>
        </w:rPr>
      </w:pPr>
      <w:r w:rsidRPr="007145C6">
        <w:rPr>
          <w:rFonts w:ascii="Arial" w:hAnsi="Arial" w:cs="Arial"/>
          <w:sz w:val="20"/>
          <w:szCs w:val="20"/>
        </w:rPr>
        <w:t>CA is now at feasibility study</w:t>
      </w:r>
      <w:r w:rsidR="00457254" w:rsidRPr="007145C6">
        <w:rPr>
          <w:rFonts w:ascii="Arial" w:hAnsi="Arial" w:cs="Arial"/>
          <w:sz w:val="20"/>
          <w:szCs w:val="20"/>
        </w:rPr>
        <w:t xml:space="preserve"> on adopting ISO20022</w:t>
      </w:r>
    </w:p>
    <w:p w:rsidR="0093139A" w:rsidRDefault="0093139A" w:rsidP="0093139A">
      <w:pPr>
        <w:ind w:left="1860"/>
        <w:rPr>
          <w:rFonts w:asciiTheme="majorHAnsi" w:hAnsiTheme="majorHAnsi" w:cstheme="majorHAnsi"/>
          <w:sz w:val="20"/>
        </w:rPr>
      </w:pPr>
    </w:p>
    <w:p w:rsidR="0093139A" w:rsidRDefault="0093139A" w:rsidP="0093139A">
      <w:pPr>
        <w:ind w:left="1080"/>
        <w:rPr>
          <w:rFonts w:cs="Arial"/>
          <w:bCs/>
          <w:iCs/>
          <w:sz w:val="18"/>
          <w:szCs w:val="18"/>
        </w:rPr>
      </w:pPr>
      <w:r w:rsidRPr="0093139A">
        <w:rPr>
          <w:rFonts w:asciiTheme="majorHAnsi" w:hAnsiTheme="majorHAnsi" w:cstheme="majorHAnsi"/>
          <w:sz w:val="20"/>
        </w:rPr>
        <w:t>Japan</w:t>
      </w:r>
      <w:r>
        <w:rPr>
          <w:rFonts w:cs="Arial"/>
          <w:bCs/>
          <w:iCs/>
          <w:sz w:val="18"/>
          <w:szCs w:val="18"/>
        </w:rPr>
        <w:t xml:space="preserve">: </w:t>
      </w:r>
    </w:p>
    <w:p w:rsidR="0093139A" w:rsidRPr="007145C6" w:rsidRDefault="0093139A" w:rsidP="007E5C2C">
      <w:pPr>
        <w:pStyle w:val="ListParagraph"/>
        <w:numPr>
          <w:ilvl w:val="0"/>
          <w:numId w:val="12"/>
        </w:numPr>
        <w:rPr>
          <w:rFonts w:ascii="Arial" w:hAnsi="Arial" w:cs="Arial"/>
          <w:bCs/>
          <w:iCs/>
          <w:sz w:val="20"/>
          <w:szCs w:val="20"/>
        </w:rPr>
      </w:pPr>
      <w:proofErr w:type="spellStart"/>
      <w:r w:rsidRPr="007145C6">
        <w:rPr>
          <w:rFonts w:ascii="Arial" w:hAnsi="Arial" w:cs="Arial"/>
          <w:bCs/>
          <w:iCs/>
          <w:sz w:val="20"/>
          <w:szCs w:val="20"/>
        </w:rPr>
        <w:t>Jasdec</w:t>
      </w:r>
      <w:proofErr w:type="spellEnd"/>
      <w:r w:rsidRPr="007145C6">
        <w:rPr>
          <w:rFonts w:ascii="Arial" w:hAnsi="Arial" w:cs="Arial"/>
          <w:bCs/>
          <w:iCs/>
          <w:sz w:val="20"/>
          <w:szCs w:val="20"/>
        </w:rPr>
        <w:t xml:space="preserve"> and Tokyo Stock Exchange transformation projects related to ISO20022 underway</w:t>
      </w:r>
    </w:p>
    <w:p w:rsidR="0093139A" w:rsidRPr="007145C6" w:rsidRDefault="0093139A" w:rsidP="007E5C2C">
      <w:pPr>
        <w:pStyle w:val="ListParagraph"/>
        <w:numPr>
          <w:ilvl w:val="0"/>
          <w:numId w:val="12"/>
        </w:numPr>
        <w:rPr>
          <w:rFonts w:ascii="Arial" w:hAnsi="Arial" w:cs="Arial"/>
          <w:bCs/>
          <w:iCs/>
          <w:sz w:val="20"/>
          <w:szCs w:val="20"/>
        </w:rPr>
      </w:pPr>
      <w:r w:rsidRPr="007145C6">
        <w:rPr>
          <w:rFonts w:ascii="Arial" w:hAnsi="Arial" w:cs="Arial"/>
          <w:bCs/>
          <w:iCs/>
          <w:sz w:val="20"/>
          <w:szCs w:val="20"/>
        </w:rPr>
        <w:t>Use of MyStandards</w:t>
      </w:r>
    </w:p>
    <w:p w:rsidR="0093139A" w:rsidRPr="007145C6" w:rsidRDefault="0093139A" w:rsidP="0093139A">
      <w:pPr>
        <w:spacing w:before="240"/>
        <w:ind w:left="1080"/>
        <w:rPr>
          <w:sz w:val="20"/>
        </w:rPr>
      </w:pPr>
      <w:r w:rsidRPr="007145C6">
        <w:rPr>
          <w:rFonts w:cs="Arial"/>
          <w:bCs/>
          <w:iCs/>
          <w:sz w:val="20"/>
        </w:rPr>
        <w:t>Philippines</w:t>
      </w:r>
      <w:r w:rsidR="001F4245" w:rsidRPr="007145C6">
        <w:rPr>
          <w:sz w:val="20"/>
        </w:rPr>
        <w:t>:</w:t>
      </w:r>
    </w:p>
    <w:p w:rsidR="0093139A" w:rsidRPr="0093139A" w:rsidRDefault="00754DF8" w:rsidP="007E5C2C">
      <w:pPr>
        <w:pStyle w:val="ListParagraph"/>
        <w:numPr>
          <w:ilvl w:val="0"/>
          <w:numId w:val="12"/>
        </w:numPr>
        <w:rPr>
          <w:rFonts w:asciiTheme="majorHAnsi" w:hAnsiTheme="majorHAnsi" w:cstheme="majorHAnsi"/>
          <w:sz w:val="20"/>
          <w:szCs w:val="20"/>
        </w:rPr>
      </w:pPr>
      <w:r w:rsidRPr="0093139A">
        <w:rPr>
          <w:rFonts w:asciiTheme="majorHAnsi" w:hAnsiTheme="majorHAnsi" w:cstheme="majorHAnsi"/>
          <w:sz w:val="20"/>
          <w:szCs w:val="20"/>
        </w:rPr>
        <w:t xml:space="preserve">Payments moving to ISO20022- ASEAN Payment framework. </w:t>
      </w:r>
      <w:r w:rsidR="0093139A" w:rsidRPr="0093139A">
        <w:rPr>
          <w:rFonts w:asciiTheme="majorHAnsi" w:hAnsiTheme="majorHAnsi" w:cstheme="majorHAnsi"/>
          <w:sz w:val="20"/>
          <w:szCs w:val="20"/>
        </w:rPr>
        <w:t xml:space="preserve"> </w:t>
      </w:r>
      <w:r w:rsidRPr="0093139A">
        <w:rPr>
          <w:rFonts w:asciiTheme="majorHAnsi" w:hAnsiTheme="majorHAnsi" w:cstheme="majorHAnsi"/>
          <w:sz w:val="20"/>
          <w:szCs w:val="20"/>
        </w:rPr>
        <w:t xml:space="preserve">Also related to ABFM discussions. </w:t>
      </w:r>
    </w:p>
    <w:p w:rsidR="00754DF8" w:rsidRPr="0093139A" w:rsidRDefault="00754DF8" w:rsidP="007E5C2C">
      <w:pPr>
        <w:pStyle w:val="ListParagraph"/>
        <w:numPr>
          <w:ilvl w:val="0"/>
          <w:numId w:val="12"/>
        </w:numPr>
        <w:rPr>
          <w:rFonts w:asciiTheme="majorHAnsi" w:hAnsiTheme="majorHAnsi" w:cstheme="majorHAnsi"/>
          <w:sz w:val="20"/>
          <w:szCs w:val="20"/>
        </w:rPr>
      </w:pPr>
      <w:r w:rsidRPr="0093139A">
        <w:rPr>
          <w:rFonts w:asciiTheme="majorHAnsi" w:hAnsiTheme="majorHAnsi" w:cstheme="majorHAnsi"/>
          <w:sz w:val="20"/>
          <w:szCs w:val="20"/>
        </w:rPr>
        <w:t xml:space="preserve">PH Stock Exchange in process of taking over the local CSD. Once settled down, </w:t>
      </w:r>
      <w:r w:rsidR="00457254" w:rsidRPr="0093139A">
        <w:rPr>
          <w:rFonts w:asciiTheme="majorHAnsi" w:hAnsiTheme="majorHAnsi" w:cstheme="majorHAnsi"/>
          <w:sz w:val="20"/>
          <w:szCs w:val="20"/>
        </w:rPr>
        <w:t>SWIFT</w:t>
      </w:r>
      <w:r w:rsidRPr="0093139A">
        <w:rPr>
          <w:rFonts w:asciiTheme="majorHAnsi" w:hAnsiTheme="majorHAnsi" w:cstheme="majorHAnsi"/>
          <w:sz w:val="20"/>
          <w:szCs w:val="20"/>
        </w:rPr>
        <w:t xml:space="preserve"> will continue discussions with local stakeholders. Not likely much happening in next 5 years.</w:t>
      </w:r>
    </w:p>
    <w:p w:rsidR="0093139A" w:rsidRDefault="001F4245" w:rsidP="0093139A">
      <w:pPr>
        <w:spacing w:before="240"/>
        <w:ind w:left="1080"/>
        <w:rPr>
          <w:sz w:val="20"/>
        </w:rPr>
      </w:pPr>
      <w:r>
        <w:rPr>
          <w:sz w:val="20"/>
        </w:rPr>
        <w:t>HK:</w:t>
      </w:r>
    </w:p>
    <w:p w:rsidR="0008516D" w:rsidRPr="007145C6" w:rsidRDefault="0008516D" w:rsidP="007E5C2C">
      <w:pPr>
        <w:pStyle w:val="ListParagraph"/>
        <w:numPr>
          <w:ilvl w:val="0"/>
          <w:numId w:val="12"/>
        </w:numPr>
        <w:rPr>
          <w:rFonts w:asciiTheme="majorHAnsi" w:hAnsiTheme="majorHAnsi" w:cstheme="majorHAnsi"/>
          <w:sz w:val="20"/>
          <w:szCs w:val="20"/>
        </w:rPr>
      </w:pPr>
      <w:r w:rsidRPr="007145C6">
        <w:rPr>
          <w:rFonts w:ascii="Arial" w:hAnsi="Arial" w:cs="Arial"/>
          <w:bCs/>
          <w:iCs/>
          <w:sz w:val="20"/>
          <w:szCs w:val="20"/>
        </w:rPr>
        <w:t>Bonds, payments migration being considered.</w:t>
      </w:r>
    </w:p>
    <w:p w:rsidR="00754DF8" w:rsidRDefault="0008516D" w:rsidP="007E5C2C">
      <w:pPr>
        <w:pStyle w:val="ListParagraph"/>
        <w:numPr>
          <w:ilvl w:val="0"/>
          <w:numId w:val="12"/>
        </w:numPr>
        <w:rPr>
          <w:rFonts w:asciiTheme="majorHAnsi" w:hAnsiTheme="majorHAnsi" w:cstheme="majorHAnsi"/>
          <w:sz w:val="20"/>
          <w:szCs w:val="20"/>
        </w:rPr>
      </w:pPr>
      <w:r w:rsidRPr="007145C6">
        <w:rPr>
          <w:rFonts w:ascii="Arial" w:hAnsi="Arial" w:cs="Arial"/>
          <w:bCs/>
          <w:iCs/>
          <w:sz w:val="20"/>
          <w:szCs w:val="20"/>
        </w:rPr>
        <w:t xml:space="preserve">XDS – HK exchange has no plans </w:t>
      </w:r>
      <w:r w:rsidR="007145C6" w:rsidRPr="007145C6">
        <w:rPr>
          <w:rFonts w:ascii="Arial" w:hAnsi="Arial" w:cs="Arial"/>
          <w:bCs/>
          <w:iCs/>
          <w:sz w:val="20"/>
          <w:szCs w:val="20"/>
        </w:rPr>
        <w:t>currently -</w:t>
      </w:r>
      <w:r w:rsidRPr="007145C6">
        <w:rPr>
          <w:rFonts w:ascii="Arial" w:hAnsi="Arial" w:cs="Arial"/>
          <w:bCs/>
          <w:iCs/>
          <w:sz w:val="20"/>
          <w:szCs w:val="20"/>
        </w:rPr>
        <w:t xml:space="preserve"> </w:t>
      </w:r>
      <w:r w:rsidR="00754DF8" w:rsidRPr="007145C6">
        <w:rPr>
          <w:rFonts w:asciiTheme="majorHAnsi" w:hAnsiTheme="majorHAnsi" w:cstheme="majorHAnsi"/>
          <w:sz w:val="20"/>
          <w:szCs w:val="20"/>
        </w:rPr>
        <w:t>Challenge is HKX, settlements side with CSD. SWIFT is working with them on Standards</w:t>
      </w:r>
      <w:r w:rsidR="004F6F29">
        <w:rPr>
          <w:rFonts w:asciiTheme="majorHAnsi" w:hAnsiTheme="majorHAnsi" w:cstheme="majorHAnsi"/>
          <w:sz w:val="20"/>
          <w:szCs w:val="20"/>
        </w:rPr>
        <w:t>.</w:t>
      </w:r>
    </w:p>
    <w:p w:rsidR="004F6F29" w:rsidRPr="0008516D" w:rsidRDefault="004F6F29" w:rsidP="007E5C2C">
      <w:pPr>
        <w:pStyle w:val="ListParagraph"/>
        <w:numPr>
          <w:ilvl w:val="0"/>
          <w:numId w:val="12"/>
        </w:numPr>
        <w:rPr>
          <w:rFonts w:asciiTheme="majorHAnsi" w:hAnsiTheme="majorHAnsi" w:cstheme="majorHAnsi"/>
          <w:sz w:val="20"/>
          <w:szCs w:val="20"/>
        </w:rPr>
      </w:pPr>
      <w:r w:rsidRPr="004F6F29">
        <w:rPr>
          <w:rFonts w:asciiTheme="majorHAnsi" w:hAnsiTheme="majorHAnsi" w:cstheme="majorHAnsi"/>
          <w:sz w:val="20"/>
          <w:szCs w:val="20"/>
        </w:rPr>
        <w:t>HK Connect uses a super system &gt; a way to leverage</w:t>
      </w:r>
    </w:p>
    <w:p w:rsidR="0093139A" w:rsidRPr="00C73670" w:rsidRDefault="0093139A" w:rsidP="0093139A">
      <w:pPr>
        <w:spacing w:before="240"/>
        <w:ind w:left="1080"/>
        <w:rPr>
          <w:sz w:val="20"/>
        </w:rPr>
      </w:pPr>
      <w:r w:rsidRPr="00C73670">
        <w:rPr>
          <w:rFonts w:cs="Arial"/>
          <w:bCs/>
          <w:iCs/>
          <w:sz w:val="20"/>
        </w:rPr>
        <w:t>Taiwan</w:t>
      </w:r>
      <w:r w:rsidR="001F4245" w:rsidRPr="00C73670">
        <w:rPr>
          <w:rFonts w:cs="Arial"/>
          <w:bCs/>
          <w:iCs/>
          <w:sz w:val="20"/>
        </w:rPr>
        <w:t>:</w:t>
      </w:r>
      <w:r w:rsidR="00754DF8" w:rsidRPr="00C73670">
        <w:rPr>
          <w:sz w:val="20"/>
        </w:rPr>
        <w:t xml:space="preserve"> </w:t>
      </w:r>
    </w:p>
    <w:p w:rsidR="0008516D" w:rsidRDefault="004F6F29" w:rsidP="007E5C2C">
      <w:pPr>
        <w:pStyle w:val="ListParagraph"/>
        <w:numPr>
          <w:ilvl w:val="0"/>
          <w:numId w:val="12"/>
        </w:numPr>
        <w:rPr>
          <w:rFonts w:ascii="Arial" w:hAnsi="Arial" w:cs="Arial"/>
          <w:bCs/>
          <w:iCs/>
          <w:sz w:val="20"/>
          <w:szCs w:val="20"/>
        </w:rPr>
      </w:pPr>
      <w:r>
        <w:rPr>
          <w:rFonts w:ascii="Arial" w:hAnsi="Arial" w:cs="Arial"/>
          <w:bCs/>
          <w:iCs/>
          <w:sz w:val="20"/>
          <w:szCs w:val="20"/>
        </w:rPr>
        <w:t>No progress to date on ISO20022</w:t>
      </w:r>
    </w:p>
    <w:p w:rsidR="004F6F29" w:rsidRPr="00C73670" w:rsidRDefault="004F6F29" w:rsidP="007E5C2C">
      <w:pPr>
        <w:pStyle w:val="ListParagraph"/>
        <w:numPr>
          <w:ilvl w:val="0"/>
          <w:numId w:val="12"/>
        </w:numPr>
        <w:rPr>
          <w:rFonts w:ascii="Arial" w:hAnsi="Arial" w:cs="Arial"/>
          <w:bCs/>
          <w:iCs/>
          <w:sz w:val="20"/>
          <w:szCs w:val="20"/>
        </w:rPr>
      </w:pPr>
      <w:r w:rsidRPr="004F6F29">
        <w:rPr>
          <w:rFonts w:ascii="Arial" w:hAnsi="Arial" w:cs="Arial"/>
          <w:bCs/>
          <w:iCs/>
          <w:sz w:val="20"/>
          <w:szCs w:val="20"/>
        </w:rPr>
        <w:t>TWCC is the CSD &gt; have the issuers put their data in a format</w:t>
      </w:r>
    </w:p>
    <w:p w:rsidR="0093139A" w:rsidRPr="00C73670" w:rsidRDefault="0093139A" w:rsidP="0093139A">
      <w:pPr>
        <w:spacing w:before="240"/>
        <w:ind w:left="1080"/>
        <w:rPr>
          <w:sz w:val="20"/>
        </w:rPr>
      </w:pPr>
      <w:r w:rsidRPr="00C73670">
        <w:rPr>
          <w:rFonts w:cs="Arial"/>
          <w:bCs/>
          <w:iCs/>
          <w:sz w:val="20"/>
        </w:rPr>
        <w:t>Vietnam</w:t>
      </w:r>
      <w:r w:rsidR="001F4245" w:rsidRPr="00C73670">
        <w:rPr>
          <w:rFonts w:cs="Arial"/>
          <w:bCs/>
          <w:iCs/>
          <w:sz w:val="20"/>
        </w:rPr>
        <w:t>:</w:t>
      </w:r>
      <w:r w:rsidR="00293793" w:rsidRPr="00C73670">
        <w:rPr>
          <w:sz w:val="20"/>
        </w:rPr>
        <w:t xml:space="preserve"> </w:t>
      </w:r>
    </w:p>
    <w:p w:rsidR="00293793" w:rsidRPr="00C73670" w:rsidRDefault="00293793" w:rsidP="007E5C2C">
      <w:pPr>
        <w:pStyle w:val="ListParagraph"/>
        <w:numPr>
          <w:ilvl w:val="0"/>
          <w:numId w:val="12"/>
        </w:numPr>
        <w:rPr>
          <w:rFonts w:asciiTheme="majorHAnsi" w:hAnsiTheme="majorHAnsi" w:cstheme="majorHAnsi"/>
          <w:sz w:val="20"/>
          <w:szCs w:val="20"/>
        </w:rPr>
      </w:pPr>
      <w:r w:rsidRPr="00C73670">
        <w:rPr>
          <w:rFonts w:asciiTheme="majorHAnsi" w:hAnsiTheme="majorHAnsi" w:cstheme="majorHAnsi"/>
          <w:sz w:val="20"/>
          <w:szCs w:val="20"/>
        </w:rPr>
        <w:t xml:space="preserve">Recently implemented ISO 15022. </w:t>
      </w:r>
      <w:r w:rsidR="0008516D" w:rsidRPr="00C73670">
        <w:rPr>
          <w:rFonts w:ascii="Arial" w:hAnsi="Arial" w:cs="Arial"/>
          <w:bCs/>
          <w:iCs/>
          <w:sz w:val="20"/>
          <w:szCs w:val="20"/>
        </w:rPr>
        <w:t>– no plans to ISO20022 migration at this time</w:t>
      </w:r>
    </w:p>
    <w:p w:rsidR="00293793" w:rsidRPr="00C73670" w:rsidRDefault="00293793" w:rsidP="0093139A">
      <w:pPr>
        <w:spacing w:before="240"/>
        <w:ind w:left="1080"/>
        <w:rPr>
          <w:sz w:val="20"/>
        </w:rPr>
      </w:pPr>
      <w:r w:rsidRPr="00C73670">
        <w:rPr>
          <w:sz w:val="20"/>
        </w:rPr>
        <w:lastRenderedPageBreak/>
        <w:t>Cambodia</w:t>
      </w:r>
      <w:r w:rsidR="002E6557" w:rsidRPr="00C73670">
        <w:rPr>
          <w:sz w:val="20"/>
        </w:rPr>
        <w:t>,</w:t>
      </w:r>
      <w:r w:rsidRPr="00C73670">
        <w:rPr>
          <w:sz w:val="20"/>
        </w:rPr>
        <w:t xml:space="preserve"> Lao</w:t>
      </w:r>
      <w:r w:rsidR="001F4245" w:rsidRPr="00C73670">
        <w:rPr>
          <w:sz w:val="20"/>
        </w:rPr>
        <w:t>s:</w:t>
      </w:r>
      <w:r w:rsidRPr="00C73670">
        <w:rPr>
          <w:sz w:val="20"/>
        </w:rPr>
        <w:t xml:space="preserve"> </w:t>
      </w:r>
      <w:r w:rsidR="0093139A" w:rsidRPr="00C73670">
        <w:rPr>
          <w:rFonts w:cs="Arial"/>
          <w:bCs/>
          <w:iCs/>
          <w:sz w:val="20"/>
        </w:rPr>
        <w:t>no securities market currently and handled manually</w:t>
      </w:r>
      <w:r w:rsidRPr="00C73670">
        <w:rPr>
          <w:sz w:val="20"/>
        </w:rPr>
        <w:t>.</w:t>
      </w:r>
    </w:p>
    <w:p w:rsidR="0093139A" w:rsidRDefault="00293793" w:rsidP="0093139A">
      <w:pPr>
        <w:tabs>
          <w:tab w:val="left" w:pos="7470"/>
        </w:tabs>
        <w:spacing w:before="240"/>
        <w:ind w:left="1080"/>
        <w:rPr>
          <w:sz w:val="20"/>
        </w:rPr>
      </w:pPr>
      <w:r w:rsidRPr="0093139A">
        <w:rPr>
          <w:sz w:val="20"/>
        </w:rPr>
        <w:t>T</w:t>
      </w:r>
      <w:r w:rsidR="0008516D">
        <w:rPr>
          <w:sz w:val="20"/>
        </w:rPr>
        <w:t>hailand</w:t>
      </w:r>
      <w:r w:rsidR="001F4245">
        <w:rPr>
          <w:sz w:val="20"/>
        </w:rPr>
        <w:t>:</w:t>
      </w:r>
      <w:r w:rsidRPr="0093139A">
        <w:rPr>
          <w:sz w:val="20"/>
        </w:rPr>
        <w:t xml:space="preserve"> </w:t>
      </w:r>
      <w:r w:rsidR="0093139A">
        <w:rPr>
          <w:sz w:val="20"/>
        </w:rPr>
        <w:tab/>
      </w:r>
    </w:p>
    <w:p w:rsidR="0008516D" w:rsidRDefault="00293793" w:rsidP="007E5C2C">
      <w:pPr>
        <w:pStyle w:val="ListParagraph"/>
        <w:numPr>
          <w:ilvl w:val="0"/>
          <w:numId w:val="12"/>
        </w:numPr>
        <w:rPr>
          <w:rFonts w:ascii="Arial" w:hAnsi="Arial" w:cs="Arial"/>
          <w:bCs/>
          <w:iCs/>
          <w:sz w:val="20"/>
          <w:szCs w:val="20"/>
        </w:rPr>
      </w:pPr>
      <w:r w:rsidRPr="0093139A">
        <w:rPr>
          <w:rFonts w:asciiTheme="majorHAnsi" w:hAnsiTheme="majorHAnsi" w:cstheme="majorHAnsi"/>
          <w:sz w:val="20"/>
          <w:szCs w:val="20"/>
        </w:rPr>
        <w:t xml:space="preserve">Just implemented ISO 15022 </w:t>
      </w:r>
      <w:r w:rsidR="0008516D" w:rsidRPr="007145C6">
        <w:rPr>
          <w:rFonts w:ascii="Arial" w:hAnsi="Arial" w:cs="Arial"/>
          <w:bCs/>
          <w:iCs/>
          <w:sz w:val="20"/>
          <w:szCs w:val="20"/>
        </w:rPr>
        <w:t>pre-matching settlement system went live in September, 2015</w:t>
      </w:r>
    </w:p>
    <w:p w:rsidR="004F6F29" w:rsidRPr="007145C6" w:rsidRDefault="004F6F29" w:rsidP="007E5C2C">
      <w:pPr>
        <w:pStyle w:val="ListParagraph"/>
        <w:numPr>
          <w:ilvl w:val="0"/>
          <w:numId w:val="12"/>
        </w:numPr>
        <w:rPr>
          <w:rFonts w:ascii="Arial" w:hAnsi="Arial" w:cs="Arial"/>
          <w:bCs/>
          <w:iCs/>
          <w:sz w:val="20"/>
          <w:szCs w:val="20"/>
        </w:rPr>
      </w:pPr>
      <w:r>
        <w:rPr>
          <w:rFonts w:ascii="Arial" w:hAnsi="Arial" w:cs="Arial"/>
          <w:bCs/>
          <w:iCs/>
          <w:sz w:val="20"/>
          <w:szCs w:val="20"/>
        </w:rPr>
        <w:t>I</w:t>
      </w:r>
      <w:r w:rsidRPr="004F6F29">
        <w:rPr>
          <w:rFonts w:ascii="Arial" w:hAnsi="Arial" w:cs="Arial"/>
          <w:bCs/>
          <w:iCs/>
          <w:sz w:val="20"/>
          <w:szCs w:val="20"/>
        </w:rPr>
        <w:t>mplemented the first a</w:t>
      </w:r>
      <w:r>
        <w:rPr>
          <w:rFonts w:ascii="Arial" w:hAnsi="Arial" w:cs="Arial"/>
          <w:bCs/>
          <w:iCs/>
          <w:sz w:val="20"/>
          <w:szCs w:val="20"/>
        </w:rPr>
        <w:t>nnouncement CA system in 20022</w:t>
      </w:r>
    </w:p>
    <w:p w:rsidR="0008516D" w:rsidRDefault="00E163CF" w:rsidP="007E5C2C">
      <w:pPr>
        <w:pStyle w:val="ListParagraph"/>
        <w:numPr>
          <w:ilvl w:val="0"/>
          <w:numId w:val="12"/>
        </w:numPr>
        <w:rPr>
          <w:rFonts w:asciiTheme="majorHAnsi" w:hAnsiTheme="majorHAnsi" w:cstheme="majorHAnsi"/>
          <w:sz w:val="20"/>
          <w:szCs w:val="20"/>
        </w:rPr>
      </w:pPr>
      <w:r w:rsidRPr="0093139A">
        <w:rPr>
          <w:rFonts w:asciiTheme="majorHAnsi" w:hAnsiTheme="majorHAnsi" w:cstheme="majorHAnsi"/>
          <w:sz w:val="20"/>
          <w:szCs w:val="20"/>
        </w:rPr>
        <w:t>Have been engaging with the TH Custodian Club members in standardisation discussions and about setting up NMPG</w:t>
      </w:r>
      <w:r w:rsidR="0008516D">
        <w:rPr>
          <w:rFonts w:asciiTheme="majorHAnsi" w:hAnsiTheme="majorHAnsi" w:cstheme="majorHAnsi"/>
          <w:sz w:val="20"/>
          <w:szCs w:val="20"/>
        </w:rPr>
        <w:t xml:space="preserve"> (2016?)</w:t>
      </w:r>
      <w:r w:rsidRPr="0093139A">
        <w:rPr>
          <w:rFonts w:asciiTheme="majorHAnsi" w:hAnsiTheme="majorHAnsi" w:cstheme="majorHAnsi"/>
          <w:sz w:val="20"/>
          <w:szCs w:val="20"/>
        </w:rPr>
        <w:t xml:space="preserve">. </w:t>
      </w:r>
    </w:p>
    <w:p w:rsidR="00293793" w:rsidRPr="0093139A" w:rsidRDefault="00E163CF" w:rsidP="007E5C2C">
      <w:pPr>
        <w:pStyle w:val="ListParagraph"/>
        <w:numPr>
          <w:ilvl w:val="0"/>
          <w:numId w:val="12"/>
        </w:numPr>
        <w:rPr>
          <w:rFonts w:asciiTheme="majorHAnsi" w:hAnsiTheme="majorHAnsi" w:cstheme="majorHAnsi"/>
          <w:sz w:val="20"/>
          <w:szCs w:val="20"/>
        </w:rPr>
      </w:pPr>
      <w:r w:rsidRPr="0093139A">
        <w:rPr>
          <w:rFonts w:asciiTheme="majorHAnsi" w:hAnsiTheme="majorHAnsi" w:cstheme="majorHAnsi"/>
          <w:sz w:val="20"/>
          <w:szCs w:val="20"/>
        </w:rPr>
        <w:t>Also looking</w:t>
      </w:r>
      <w:r w:rsidR="004F6F29">
        <w:rPr>
          <w:rFonts w:asciiTheme="majorHAnsi" w:hAnsiTheme="majorHAnsi" w:cstheme="majorHAnsi"/>
          <w:sz w:val="20"/>
          <w:szCs w:val="20"/>
        </w:rPr>
        <w:t xml:space="preserve"> at establishing Funds Hub and P</w:t>
      </w:r>
      <w:r w:rsidRPr="0093139A">
        <w:rPr>
          <w:rFonts w:asciiTheme="majorHAnsi" w:hAnsiTheme="majorHAnsi" w:cstheme="majorHAnsi"/>
          <w:sz w:val="20"/>
          <w:szCs w:val="20"/>
        </w:rPr>
        <w:t>roxy-voting.</w:t>
      </w:r>
    </w:p>
    <w:p w:rsidR="00E163CF" w:rsidRPr="0093139A" w:rsidRDefault="00E163CF" w:rsidP="0093139A">
      <w:pPr>
        <w:spacing w:before="240"/>
        <w:ind w:left="1080"/>
        <w:rPr>
          <w:sz w:val="20"/>
        </w:rPr>
      </w:pPr>
      <w:r w:rsidRPr="0093139A">
        <w:rPr>
          <w:sz w:val="20"/>
        </w:rPr>
        <w:t>Myanmar</w:t>
      </w:r>
      <w:r w:rsidR="001F4245">
        <w:rPr>
          <w:sz w:val="20"/>
        </w:rPr>
        <w:t>:</w:t>
      </w:r>
      <w:r w:rsidRPr="0093139A">
        <w:rPr>
          <w:sz w:val="20"/>
        </w:rPr>
        <w:t xml:space="preserve"> Implementing RTGS and Stock Exchange.</w:t>
      </w:r>
    </w:p>
    <w:p w:rsidR="009D5F71" w:rsidRDefault="0008516D" w:rsidP="0093139A">
      <w:pPr>
        <w:spacing w:before="240"/>
        <w:ind w:left="1080"/>
        <w:rPr>
          <w:sz w:val="20"/>
        </w:rPr>
      </w:pPr>
      <w:r>
        <w:rPr>
          <w:sz w:val="20"/>
        </w:rPr>
        <w:t>Malaysia</w:t>
      </w:r>
      <w:r w:rsidR="001F4245">
        <w:rPr>
          <w:sz w:val="20"/>
        </w:rPr>
        <w:t>:</w:t>
      </w:r>
      <w:r w:rsidR="009D5F71" w:rsidRPr="0093139A">
        <w:rPr>
          <w:sz w:val="20"/>
        </w:rPr>
        <w:t xml:space="preserve"> Reconsidering implementing ISO 20022. Standards will assist them in market practice and Standards compliance.</w:t>
      </w:r>
    </w:p>
    <w:p w:rsidR="007055AA" w:rsidRPr="00870A68" w:rsidRDefault="007055AA" w:rsidP="007055AA">
      <w:pPr>
        <w:spacing w:before="240"/>
        <w:ind w:left="1080"/>
        <w:rPr>
          <w:rFonts w:cs="Arial"/>
          <w:bCs/>
          <w:iCs/>
          <w:sz w:val="20"/>
        </w:rPr>
      </w:pPr>
      <w:r w:rsidRPr="00870A68">
        <w:rPr>
          <w:sz w:val="20"/>
        </w:rPr>
        <w:t>Indonesia</w:t>
      </w:r>
      <w:r w:rsidR="001F4245" w:rsidRPr="00870A68">
        <w:rPr>
          <w:sz w:val="20"/>
        </w:rPr>
        <w:t xml:space="preserve">: </w:t>
      </w:r>
      <w:r w:rsidRPr="00870A68">
        <w:rPr>
          <w:rFonts w:cs="Arial"/>
          <w:bCs/>
          <w:iCs/>
          <w:sz w:val="20"/>
        </w:rPr>
        <w:t>IDX, KAPEI (CCP), KASEI</w:t>
      </w:r>
      <w:r w:rsidR="004F6F29">
        <w:rPr>
          <w:rFonts w:cs="Arial"/>
          <w:bCs/>
          <w:iCs/>
          <w:sz w:val="20"/>
        </w:rPr>
        <w:t xml:space="preserve"> -&gt; </w:t>
      </w:r>
      <w:proofErr w:type="gramStart"/>
      <w:r w:rsidR="004F6F29" w:rsidRPr="004F6F29">
        <w:rPr>
          <w:rFonts w:cs="Arial"/>
          <w:bCs/>
          <w:iCs/>
          <w:sz w:val="20"/>
        </w:rPr>
        <w:t>Modernizing</w:t>
      </w:r>
      <w:proofErr w:type="gramEnd"/>
      <w:r w:rsidR="004F6F29" w:rsidRPr="004F6F29">
        <w:rPr>
          <w:rFonts w:cs="Arial"/>
          <w:bCs/>
          <w:iCs/>
          <w:sz w:val="20"/>
        </w:rPr>
        <w:t xml:space="preserve"> their infrastructure</w:t>
      </w:r>
    </w:p>
    <w:p w:rsidR="007055AA" w:rsidRPr="00870A68" w:rsidRDefault="007055AA" w:rsidP="007E5C2C">
      <w:pPr>
        <w:pStyle w:val="ListParagraph"/>
        <w:numPr>
          <w:ilvl w:val="0"/>
          <w:numId w:val="12"/>
        </w:numPr>
        <w:rPr>
          <w:rFonts w:ascii="Arial" w:hAnsi="Arial" w:cs="Arial"/>
          <w:bCs/>
          <w:iCs/>
          <w:sz w:val="20"/>
          <w:szCs w:val="20"/>
        </w:rPr>
      </w:pPr>
      <w:r w:rsidRPr="00870A68">
        <w:rPr>
          <w:rFonts w:asciiTheme="majorHAnsi" w:hAnsiTheme="majorHAnsi" w:cstheme="majorHAnsi"/>
          <w:sz w:val="20"/>
          <w:szCs w:val="20"/>
        </w:rPr>
        <w:t>Corp</w:t>
      </w:r>
      <w:r w:rsidRPr="00870A68">
        <w:rPr>
          <w:rFonts w:ascii="Arial" w:hAnsi="Arial" w:cs="Arial"/>
          <w:bCs/>
          <w:iCs/>
          <w:sz w:val="20"/>
          <w:szCs w:val="20"/>
        </w:rPr>
        <w:t>. Actions (IDX)</w:t>
      </w:r>
    </w:p>
    <w:p w:rsidR="007055AA" w:rsidRPr="00870A68" w:rsidRDefault="007055AA" w:rsidP="007E5C2C">
      <w:pPr>
        <w:pStyle w:val="ListParagraph"/>
        <w:numPr>
          <w:ilvl w:val="0"/>
          <w:numId w:val="12"/>
        </w:numPr>
        <w:rPr>
          <w:rFonts w:ascii="Arial" w:hAnsi="Arial" w:cs="Arial"/>
          <w:bCs/>
          <w:iCs/>
          <w:sz w:val="20"/>
          <w:szCs w:val="20"/>
        </w:rPr>
      </w:pPr>
      <w:r w:rsidRPr="00870A68">
        <w:rPr>
          <w:rFonts w:asciiTheme="majorHAnsi" w:hAnsiTheme="majorHAnsi" w:cstheme="majorHAnsi"/>
          <w:sz w:val="20"/>
          <w:szCs w:val="20"/>
        </w:rPr>
        <w:t>KAPEI</w:t>
      </w:r>
      <w:r w:rsidRPr="00870A68">
        <w:rPr>
          <w:rFonts w:ascii="Arial" w:hAnsi="Arial" w:cs="Arial"/>
          <w:bCs/>
          <w:iCs/>
          <w:sz w:val="20"/>
          <w:szCs w:val="20"/>
        </w:rPr>
        <w:t xml:space="preserve"> (CCP) – general clearing member process study using ISO20022 underway</w:t>
      </w:r>
    </w:p>
    <w:p w:rsidR="007055AA" w:rsidRPr="00870A68" w:rsidRDefault="007055AA" w:rsidP="007E5C2C">
      <w:pPr>
        <w:pStyle w:val="ListParagraph"/>
        <w:numPr>
          <w:ilvl w:val="0"/>
          <w:numId w:val="12"/>
        </w:numPr>
        <w:rPr>
          <w:rFonts w:ascii="Arial" w:hAnsi="Arial" w:cs="Arial"/>
          <w:bCs/>
          <w:iCs/>
          <w:sz w:val="20"/>
          <w:szCs w:val="20"/>
        </w:rPr>
      </w:pPr>
      <w:r w:rsidRPr="00870A68">
        <w:rPr>
          <w:rFonts w:ascii="Arial" w:hAnsi="Arial" w:cs="Arial"/>
          <w:bCs/>
          <w:iCs/>
          <w:sz w:val="20"/>
          <w:szCs w:val="20"/>
        </w:rPr>
        <w:t xml:space="preserve">KFC - </w:t>
      </w:r>
      <w:r w:rsidRPr="00870A68">
        <w:rPr>
          <w:rFonts w:asciiTheme="majorHAnsi" w:hAnsiTheme="majorHAnsi" w:cstheme="majorHAnsi"/>
          <w:sz w:val="20"/>
          <w:szCs w:val="20"/>
        </w:rPr>
        <w:t>Nasdaq</w:t>
      </w:r>
      <w:r w:rsidRPr="00870A68">
        <w:rPr>
          <w:rFonts w:ascii="Arial" w:hAnsi="Arial" w:cs="Arial"/>
          <w:bCs/>
          <w:iCs/>
          <w:sz w:val="20"/>
          <w:szCs w:val="20"/>
        </w:rPr>
        <w:t xml:space="preserve"> based exchange – ISO20022 adoption underway</w:t>
      </w:r>
    </w:p>
    <w:p w:rsidR="007055AA" w:rsidRPr="00870A68" w:rsidRDefault="007055AA" w:rsidP="007055AA">
      <w:pPr>
        <w:spacing w:before="240"/>
        <w:ind w:left="1080"/>
        <w:rPr>
          <w:rFonts w:cs="Arial"/>
          <w:bCs/>
          <w:iCs/>
          <w:sz w:val="20"/>
        </w:rPr>
      </w:pPr>
      <w:r w:rsidRPr="00870A68">
        <w:rPr>
          <w:rFonts w:cs="Arial"/>
          <w:sz w:val="20"/>
        </w:rPr>
        <w:t>Singapore</w:t>
      </w:r>
      <w:r w:rsidR="001F4245" w:rsidRPr="00870A68">
        <w:rPr>
          <w:rFonts w:cs="Arial"/>
          <w:sz w:val="20"/>
        </w:rPr>
        <w:t>:</w:t>
      </w:r>
      <w:r w:rsidRPr="00870A68">
        <w:rPr>
          <w:rFonts w:cs="Arial"/>
          <w:bCs/>
          <w:iCs/>
          <w:sz w:val="20"/>
        </w:rPr>
        <w:t xml:space="preserve"> </w:t>
      </w:r>
    </w:p>
    <w:p w:rsidR="007055AA" w:rsidRPr="00870A68" w:rsidRDefault="007055AA" w:rsidP="007E5C2C">
      <w:pPr>
        <w:pStyle w:val="ListParagraph"/>
        <w:numPr>
          <w:ilvl w:val="0"/>
          <w:numId w:val="12"/>
        </w:numPr>
        <w:rPr>
          <w:rFonts w:ascii="Arial" w:hAnsi="Arial" w:cs="Arial"/>
          <w:bCs/>
          <w:iCs/>
          <w:sz w:val="20"/>
          <w:szCs w:val="20"/>
        </w:rPr>
      </w:pPr>
      <w:r w:rsidRPr="00870A68">
        <w:rPr>
          <w:rFonts w:ascii="Arial" w:hAnsi="Arial" w:cs="Arial"/>
          <w:sz w:val="20"/>
          <w:szCs w:val="20"/>
        </w:rPr>
        <w:t>Transformation</w:t>
      </w:r>
      <w:r w:rsidRPr="00870A68">
        <w:rPr>
          <w:rFonts w:ascii="Arial" w:hAnsi="Arial" w:cs="Arial"/>
          <w:bCs/>
          <w:iCs/>
          <w:sz w:val="20"/>
          <w:szCs w:val="20"/>
        </w:rPr>
        <w:t xml:space="preserve"> project related to ISO20022 underway using MyStandards to document specs</w:t>
      </w:r>
    </w:p>
    <w:p w:rsidR="007055AA" w:rsidRPr="00870A68" w:rsidRDefault="007055AA" w:rsidP="0093139A">
      <w:pPr>
        <w:spacing w:before="240"/>
        <w:ind w:left="1080"/>
        <w:rPr>
          <w:rFonts w:cs="Arial"/>
          <w:sz w:val="20"/>
        </w:rPr>
      </w:pPr>
      <w:r w:rsidRPr="00870A68">
        <w:rPr>
          <w:rFonts w:cs="Arial"/>
          <w:sz w:val="20"/>
        </w:rPr>
        <w:t>India</w:t>
      </w:r>
      <w:r w:rsidR="001F4245" w:rsidRPr="00870A68">
        <w:rPr>
          <w:rFonts w:cs="Arial"/>
          <w:sz w:val="20"/>
        </w:rPr>
        <w:t>:</w:t>
      </w:r>
      <w:r w:rsidR="00673A2A" w:rsidRPr="00870A68">
        <w:rPr>
          <w:rFonts w:cs="Arial"/>
          <w:sz w:val="20"/>
        </w:rPr>
        <w:t xml:space="preserve"> </w:t>
      </w:r>
    </w:p>
    <w:p w:rsidR="007055AA" w:rsidRPr="00870A68" w:rsidRDefault="00673A2A" w:rsidP="007E5C2C">
      <w:pPr>
        <w:pStyle w:val="ListParagraph"/>
        <w:numPr>
          <w:ilvl w:val="0"/>
          <w:numId w:val="12"/>
        </w:numPr>
        <w:rPr>
          <w:rFonts w:ascii="Arial" w:hAnsi="Arial" w:cs="Arial"/>
          <w:sz w:val="20"/>
          <w:szCs w:val="20"/>
        </w:rPr>
      </w:pPr>
      <w:r w:rsidRPr="00870A68">
        <w:rPr>
          <w:rFonts w:ascii="Arial" w:hAnsi="Arial" w:cs="Arial"/>
          <w:sz w:val="20"/>
          <w:szCs w:val="20"/>
        </w:rPr>
        <w:t xml:space="preserve">Nothing happening on CSD side for ISO 20022. </w:t>
      </w:r>
    </w:p>
    <w:p w:rsidR="004F6F29" w:rsidRDefault="00673A2A" w:rsidP="007E5C2C">
      <w:pPr>
        <w:pStyle w:val="ListParagraph"/>
        <w:numPr>
          <w:ilvl w:val="0"/>
          <w:numId w:val="12"/>
        </w:numPr>
        <w:rPr>
          <w:rFonts w:ascii="Arial" w:hAnsi="Arial" w:cs="Arial"/>
          <w:sz w:val="20"/>
          <w:szCs w:val="20"/>
        </w:rPr>
      </w:pPr>
      <w:proofErr w:type="gramStart"/>
      <w:r w:rsidRPr="00870A68">
        <w:rPr>
          <w:rFonts w:ascii="Arial" w:hAnsi="Arial" w:cs="Arial"/>
          <w:sz w:val="20"/>
          <w:szCs w:val="20"/>
        </w:rPr>
        <w:t>Payments is</w:t>
      </w:r>
      <w:proofErr w:type="gramEnd"/>
      <w:r w:rsidRPr="00870A68">
        <w:rPr>
          <w:rFonts w:ascii="Arial" w:hAnsi="Arial" w:cs="Arial"/>
          <w:sz w:val="20"/>
          <w:szCs w:val="20"/>
        </w:rPr>
        <w:t xml:space="preserve"> </w:t>
      </w:r>
      <w:r w:rsidR="002E6557" w:rsidRPr="00870A68">
        <w:rPr>
          <w:rFonts w:ascii="Arial" w:hAnsi="Arial" w:cs="Arial"/>
          <w:sz w:val="20"/>
          <w:szCs w:val="20"/>
        </w:rPr>
        <w:t>o</w:t>
      </w:r>
      <w:r w:rsidRPr="00870A68">
        <w:rPr>
          <w:rFonts w:ascii="Arial" w:hAnsi="Arial" w:cs="Arial"/>
          <w:sz w:val="20"/>
          <w:szCs w:val="20"/>
        </w:rPr>
        <w:t xml:space="preserve">n ISO 20022. </w:t>
      </w:r>
    </w:p>
    <w:p w:rsidR="00673A2A" w:rsidRPr="00870A68" w:rsidRDefault="00673A2A" w:rsidP="007E5C2C">
      <w:pPr>
        <w:pStyle w:val="ListParagraph"/>
        <w:numPr>
          <w:ilvl w:val="0"/>
          <w:numId w:val="12"/>
        </w:numPr>
        <w:rPr>
          <w:rFonts w:ascii="Arial" w:hAnsi="Arial" w:cs="Arial"/>
          <w:sz w:val="20"/>
          <w:szCs w:val="20"/>
        </w:rPr>
      </w:pPr>
      <w:r w:rsidRPr="00870A68">
        <w:rPr>
          <w:rFonts w:ascii="Arial" w:hAnsi="Arial" w:cs="Arial"/>
          <w:sz w:val="20"/>
          <w:szCs w:val="20"/>
        </w:rPr>
        <w:t>Next year will be working on ISO 20022 for Securities.</w:t>
      </w:r>
    </w:p>
    <w:p w:rsidR="007B7F91" w:rsidRPr="00870A68" w:rsidRDefault="007055AA" w:rsidP="007B7F91">
      <w:pPr>
        <w:spacing w:before="240"/>
        <w:ind w:left="1080"/>
        <w:rPr>
          <w:rFonts w:cs="Arial"/>
          <w:bCs/>
          <w:iCs/>
          <w:sz w:val="20"/>
        </w:rPr>
      </w:pPr>
      <w:r w:rsidRPr="00870A68">
        <w:rPr>
          <w:rFonts w:cs="Arial"/>
          <w:sz w:val="20"/>
        </w:rPr>
        <w:t>Australia</w:t>
      </w:r>
      <w:r w:rsidR="001F4245" w:rsidRPr="00870A68">
        <w:rPr>
          <w:rFonts w:cs="Arial"/>
          <w:sz w:val="20"/>
        </w:rPr>
        <w:t>:</w:t>
      </w:r>
      <w:r w:rsidR="00673A2A" w:rsidRPr="00870A68">
        <w:rPr>
          <w:rFonts w:cs="Arial"/>
          <w:sz w:val="20"/>
        </w:rPr>
        <w:t xml:space="preserve"> </w:t>
      </w:r>
      <w:r w:rsidR="004F6F29">
        <w:rPr>
          <w:rFonts w:cs="Arial"/>
          <w:sz w:val="20"/>
        </w:rPr>
        <w:t>(see also below update by Suresh)</w:t>
      </w:r>
    </w:p>
    <w:p w:rsidR="007055AA" w:rsidRPr="00870A68" w:rsidRDefault="007055AA" w:rsidP="007E5C2C">
      <w:pPr>
        <w:pStyle w:val="ListParagraph"/>
        <w:numPr>
          <w:ilvl w:val="0"/>
          <w:numId w:val="12"/>
        </w:numPr>
        <w:rPr>
          <w:rFonts w:ascii="Arial" w:hAnsi="Arial" w:cs="Arial"/>
          <w:bCs/>
          <w:iCs/>
          <w:sz w:val="20"/>
          <w:szCs w:val="20"/>
        </w:rPr>
      </w:pPr>
      <w:r w:rsidRPr="00870A68">
        <w:rPr>
          <w:rFonts w:ascii="Arial" w:hAnsi="Arial" w:cs="Arial"/>
          <w:sz w:val="20"/>
          <w:szCs w:val="20"/>
        </w:rPr>
        <w:t>CHESS</w:t>
      </w:r>
      <w:r w:rsidRPr="00870A68">
        <w:rPr>
          <w:rFonts w:ascii="Arial" w:hAnsi="Arial" w:cs="Arial"/>
          <w:bCs/>
          <w:iCs/>
          <w:sz w:val="20"/>
          <w:szCs w:val="20"/>
        </w:rPr>
        <w:t xml:space="preserve"> migration being considered</w:t>
      </w:r>
    </w:p>
    <w:p w:rsidR="007055AA" w:rsidRPr="00870A68" w:rsidRDefault="007055AA" w:rsidP="007E5C2C">
      <w:pPr>
        <w:pStyle w:val="ListParagraph"/>
        <w:numPr>
          <w:ilvl w:val="0"/>
          <w:numId w:val="12"/>
        </w:numPr>
        <w:rPr>
          <w:rFonts w:ascii="Arial" w:hAnsi="Arial" w:cs="Arial"/>
          <w:bCs/>
          <w:iCs/>
          <w:sz w:val="20"/>
          <w:szCs w:val="20"/>
        </w:rPr>
      </w:pPr>
      <w:proofErr w:type="spellStart"/>
      <w:r w:rsidRPr="00870A68">
        <w:rPr>
          <w:rFonts w:ascii="Arial" w:hAnsi="Arial" w:cs="Arial"/>
          <w:sz w:val="20"/>
          <w:szCs w:val="20"/>
        </w:rPr>
        <w:t>Austraclear</w:t>
      </w:r>
      <w:proofErr w:type="spellEnd"/>
      <w:r w:rsidRPr="00870A68">
        <w:rPr>
          <w:rFonts w:ascii="Arial" w:hAnsi="Arial" w:cs="Arial"/>
          <w:bCs/>
          <w:iCs/>
          <w:sz w:val="20"/>
          <w:szCs w:val="20"/>
        </w:rPr>
        <w:t xml:space="preserve"> – migration being considered as well</w:t>
      </w:r>
    </w:p>
    <w:p w:rsidR="007055AA" w:rsidRPr="00870A68" w:rsidRDefault="007055AA" w:rsidP="007E5C2C">
      <w:pPr>
        <w:pStyle w:val="ListParagraph"/>
        <w:numPr>
          <w:ilvl w:val="0"/>
          <w:numId w:val="12"/>
        </w:numPr>
        <w:rPr>
          <w:rFonts w:ascii="Arial" w:hAnsi="Arial" w:cs="Arial"/>
          <w:bCs/>
          <w:iCs/>
          <w:sz w:val="20"/>
          <w:szCs w:val="20"/>
        </w:rPr>
      </w:pPr>
      <w:r w:rsidRPr="00870A68">
        <w:rPr>
          <w:rFonts w:ascii="Arial" w:hAnsi="Arial" w:cs="Arial"/>
          <w:sz w:val="20"/>
          <w:szCs w:val="20"/>
        </w:rPr>
        <w:t>Transformation</w:t>
      </w:r>
      <w:r w:rsidRPr="00870A68">
        <w:rPr>
          <w:rFonts w:ascii="Arial" w:hAnsi="Arial" w:cs="Arial"/>
          <w:bCs/>
          <w:iCs/>
          <w:sz w:val="20"/>
          <w:szCs w:val="20"/>
        </w:rPr>
        <w:t xml:space="preserve"> project related to ISO20022 underway using MyStandards to document specs</w:t>
      </w:r>
    </w:p>
    <w:p w:rsidR="007055AA" w:rsidRPr="00870A68" w:rsidRDefault="007055AA" w:rsidP="007E5C2C">
      <w:pPr>
        <w:pStyle w:val="ListParagraph"/>
        <w:numPr>
          <w:ilvl w:val="0"/>
          <w:numId w:val="12"/>
        </w:numPr>
        <w:rPr>
          <w:rFonts w:ascii="Arial" w:hAnsi="Arial" w:cs="Arial"/>
          <w:bCs/>
          <w:iCs/>
          <w:sz w:val="20"/>
          <w:szCs w:val="20"/>
        </w:rPr>
      </w:pPr>
      <w:r w:rsidRPr="00870A68">
        <w:rPr>
          <w:rFonts w:ascii="Arial" w:hAnsi="Arial" w:cs="Arial"/>
          <w:sz w:val="20"/>
          <w:szCs w:val="20"/>
        </w:rPr>
        <w:t>ASX</w:t>
      </w:r>
      <w:r w:rsidRPr="00870A68">
        <w:rPr>
          <w:rFonts w:ascii="Arial" w:hAnsi="Arial" w:cs="Arial"/>
          <w:bCs/>
          <w:iCs/>
          <w:sz w:val="20"/>
          <w:szCs w:val="20"/>
        </w:rPr>
        <w:t>/AU NMPG – ASIC review of market infrastructure underway prior to considering migration to ISO20022</w:t>
      </w:r>
    </w:p>
    <w:p w:rsidR="007B7F91" w:rsidRDefault="007B7F91" w:rsidP="0093139A">
      <w:pPr>
        <w:spacing w:before="240"/>
        <w:ind w:left="1080"/>
        <w:rPr>
          <w:sz w:val="20"/>
        </w:rPr>
      </w:pPr>
      <w:r>
        <w:rPr>
          <w:sz w:val="20"/>
        </w:rPr>
        <w:t>New Zealand</w:t>
      </w:r>
      <w:r w:rsidR="001F4245">
        <w:rPr>
          <w:sz w:val="20"/>
        </w:rPr>
        <w:t>:</w:t>
      </w:r>
      <w:r w:rsidR="000B0A73" w:rsidRPr="0093139A">
        <w:rPr>
          <w:sz w:val="20"/>
        </w:rPr>
        <w:t xml:space="preserve"> </w:t>
      </w:r>
    </w:p>
    <w:p w:rsidR="007B7F91" w:rsidRPr="00674E83" w:rsidRDefault="007B7F91" w:rsidP="007E5C2C">
      <w:pPr>
        <w:pStyle w:val="ListParagraph"/>
        <w:numPr>
          <w:ilvl w:val="0"/>
          <w:numId w:val="12"/>
        </w:numPr>
        <w:rPr>
          <w:rFonts w:asciiTheme="majorHAnsi" w:hAnsiTheme="majorHAnsi" w:cstheme="majorHAnsi"/>
          <w:sz w:val="20"/>
          <w:szCs w:val="20"/>
        </w:rPr>
      </w:pPr>
      <w:r w:rsidRPr="007B7F91">
        <w:rPr>
          <w:rFonts w:asciiTheme="majorHAnsi" w:hAnsiTheme="majorHAnsi" w:cstheme="majorHAnsi"/>
          <w:sz w:val="20"/>
          <w:szCs w:val="20"/>
        </w:rPr>
        <w:t>Removing</w:t>
      </w:r>
      <w:r w:rsidRPr="00674E83">
        <w:rPr>
          <w:rFonts w:asciiTheme="majorHAnsi" w:hAnsiTheme="majorHAnsi" w:cstheme="majorHAnsi"/>
          <w:sz w:val="20"/>
          <w:szCs w:val="20"/>
        </w:rPr>
        <w:t xml:space="preserve"> CSD business – exchange likely to take over, but RFP currently on-going with ASX also considering</w:t>
      </w:r>
    </w:p>
    <w:p w:rsidR="007B7F91" w:rsidRPr="00870A68" w:rsidRDefault="007B7F91" w:rsidP="007B7F91">
      <w:pPr>
        <w:spacing w:before="240"/>
        <w:ind w:left="1080"/>
        <w:rPr>
          <w:rFonts w:ascii="Calibri" w:hAnsi="Calibri"/>
          <w:sz w:val="20"/>
        </w:rPr>
      </w:pPr>
      <w:r w:rsidRPr="00870A68">
        <w:rPr>
          <w:rFonts w:cs="Arial"/>
          <w:bCs/>
          <w:iCs/>
          <w:sz w:val="20"/>
        </w:rPr>
        <w:t>Sri Lanka</w:t>
      </w:r>
      <w:r w:rsidR="001F4245" w:rsidRPr="00870A68">
        <w:rPr>
          <w:rFonts w:cs="Arial"/>
          <w:bCs/>
          <w:iCs/>
          <w:sz w:val="20"/>
        </w:rPr>
        <w:t>:</w:t>
      </w:r>
    </w:p>
    <w:p w:rsidR="000B0A73" w:rsidRPr="00870A68" w:rsidRDefault="000B0A73" w:rsidP="007E5C2C">
      <w:pPr>
        <w:pStyle w:val="ListParagraph"/>
        <w:numPr>
          <w:ilvl w:val="0"/>
          <w:numId w:val="12"/>
        </w:numPr>
        <w:rPr>
          <w:rFonts w:asciiTheme="majorHAnsi" w:hAnsiTheme="majorHAnsi" w:cstheme="majorHAnsi"/>
          <w:sz w:val="20"/>
          <w:szCs w:val="20"/>
        </w:rPr>
      </w:pPr>
      <w:r w:rsidRPr="00870A68">
        <w:rPr>
          <w:rFonts w:asciiTheme="majorHAnsi" w:hAnsiTheme="majorHAnsi" w:cstheme="majorHAnsi"/>
          <w:sz w:val="20"/>
          <w:szCs w:val="20"/>
        </w:rPr>
        <w:t xml:space="preserve">Discussions about launching CCP and ISO 20022. </w:t>
      </w:r>
    </w:p>
    <w:p w:rsidR="00674E83" w:rsidRPr="00870A68" w:rsidRDefault="00674E83" w:rsidP="00674E83">
      <w:pPr>
        <w:spacing w:before="240"/>
        <w:ind w:left="1080"/>
        <w:rPr>
          <w:rFonts w:cs="Arial"/>
          <w:bCs/>
          <w:iCs/>
          <w:sz w:val="20"/>
        </w:rPr>
      </w:pPr>
      <w:r w:rsidRPr="00870A68">
        <w:rPr>
          <w:rFonts w:cs="Arial"/>
          <w:bCs/>
          <w:iCs/>
          <w:sz w:val="20"/>
        </w:rPr>
        <w:t>Bangladesh</w:t>
      </w:r>
      <w:r w:rsidR="001F4245" w:rsidRPr="00870A68">
        <w:rPr>
          <w:rFonts w:cs="Arial"/>
          <w:bCs/>
          <w:iCs/>
          <w:sz w:val="20"/>
        </w:rPr>
        <w:t>:</w:t>
      </w:r>
    </w:p>
    <w:p w:rsidR="00674E83" w:rsidRPr="00870A68" w:rsidRDefault="00674E83" w:rsidP="007E5C2C">
      <w:pPr>
        <w:pStyle w:val="ListParagraph"/>
        <w:numPr>
          <w:ilvl w:val="0"/>
          <w:numId w:val="12"/>
        </w:numPr>
        <w:rPr>
          <w:rFonts w:asciiTheme="majorHAnsi" w:hAnsiTheme="majorHAnsi" w:cstheme="majorHAnsi"/>
          <w:sz w:val="20"/>
          <w:szCs w:val="20"/>
        </w:rPr>
      </w:pPr>
      <w:r w:rsidRPr="00870A68">
        <w:rPr>
          <w:rFonts w:asciiTheme="majorHAnsi" w:hAnsiTheme="majorHAnsi" w:cstheme="majorHAnsi"/>
          <w:sz w:val="20"/>
          <w:szCs w:val="20"/>
        </w:rPr>
        <w:t>Only discussions at this point.</w:t>
      </w:r>
    </w:p>
    <w:p w:rsidR="002F5B6A" w:rsidRDefault="000B0A73" w:rsidP="0093139A">
      <w:pPr>
        <w:spacing w:before="240"/>
        <w:ind w:left="1080"/>
        <w:rPr>
          <w:sz w:val="20"/>
        </w:rPr>
      </w:pPr>
      <w:r w:rsidRPr="0093139A">
        <w:rPr>
          <w:sz w:val="20"/>
        </w:rPr>
        <w:t xml:space="preserve">Addition information – </w:t>
      </w:r>
      <w:r w:rsidR="00674E83">
        <w:rPr>
          <w:sz w:val="20"/>
        </w:rPr>
        <w:t xml:space="preserve">a lot of discussions in APAC ongoing - </w:t>
      </w:r>
      <w:r w:rsidRPr="0093139A">
        <w:rPr>
          <w:sz w:val="20"/>
        </w:rPr>
        <w:t xml:space="preserve">ensuring ISO </w:t>
      </w:r>
      <w:proofErr w:type="gramStart"/>
      <w:r w:rsidRPr="0093139A">
        <w:rPr>
          <w:sz w:val="20"/>
        </w:rPr>
        <w:t>20022 implementati</w:t>
      </w:r>
      <w:r w:rsidR="000A054E">
        <w:rPr>
          <w:sz w:val="20"/>
        </w:rPr>
        <w:t>on</w:t>
      </w:r>
      <w:proofErr w:type="gramEnd"/>
      <w:r w:rsidR="000A054E">
        <w:rPr>
          <w:sz w:val="20"/>
        </w:rPr>
        <w:t xml:space="preserve"> is done in a harmonized way - </w:t>
      </w:r>
      <w:proofErr w:type="spellStart"/>
      <w:r w:rsidR="000A054E">
        <w:rPr>
          <w:sz w:val="20"/>
        </w:rPr>
        <w:t>Jasdec</w:t>
      </w:r>
      <w:proofErr w:type="spellEnd"/>
      <w:r w:rsidR="000A054E">
        <w:rPr>
          <w:sz w:val="20"/>
        </w:rPr>
        <w:t xml:space="preserve"> promoting/helping a lot - </w:t>
      </w:r>
      <w:r w:rsidRPr="0093139A">
        <w:rPr>
          <w:sz w:val="20"/>
        </w:rPr>
        <w:t>One way is by using MyStandards.</w:t>
      </w:r>
    </w:p>
    <w:p w:rsidR="000A054E" w:rsidRPr="0093139A" w:rsidRDefault="000A054E" w:rsidP="0093139A">
      <w:pPr>
        <w:spacing w:before="240"/>
        <w:ind w:left="1080"/>
        <w:rPr>
          <w:sz w:val="20"/>
        </w:rPr>
      </w:pPr>
      <w:r>
        <w:rPr>
          <w:sz w:val="20"/>
        </w:rPr>
        <w:t xml:space="preserve">Question is not “if” markets will implement ISO20022 but may be “when” </w:t>
      </w:r>
    </w:p>
    <w:p w:rsidR="00D6111E" w:rsidRPr="001F4245" w:rsidRDefault="006A58DE" w:rsidP="001F4245">
      <w:pPr>
        <w:numPr>
          <w:ilvl w:val="0"/>
          <w:numId w:val="8"/>
        </w:numPr>
        <w:spacing w:before="240"/>
        <w:jc w:val="left"/>
        <w:rPr>
          <w:rFonts w:cs="Arial"/>
          <w:bCs/>
          <w:iCs/>
          <w:sz w:val="18"/>
          <w:szCs w:val="18"/>
        </w:rPr>
      </w:pPr>
      <w:r w:rsidRPr="006A58DE">
        <w:t>Market Infrastructure Initiatives in APAC: SGX’s Experience/Journey in the Implementation of ISO 20022 (</w:t>
      </w:r>
      <w:r w:rsidR="00674E83" w:rsidRPr="00674E83">
        <w:t xml:space="preserve">Lai </w:t>
      </w:r>
      <w:proofErr w:type="spellStart"/>
      <w:r w:rsidR="00674E83" w:rsidRPr="00674E83">
        <w:t>Kok</w:t>
      </w:r>
      <w:proofErr w:type="spellEnd"/>
      <w:r w:rsidR="00674E83" w:rsidRPr="00674E83">
        <w:t xml:space="preserve"> Leong, SGX</w:t>
      </w:r>
      <w:r w:rsidRPr="006A58DE">
        <w:t>)</w:t>
      </w:r>
      <w:r w:rsidR="001F4245">
        <w:t xml:space="preserve"> -&gt; </w:t>
      </w:r>
      <w:proofErr w:type="spellStart"/>
      <w:proofErr w:type="gramStart"/>
      <w:r w:rsidR="00674E83" w:rsidRPr="001F4245">
        <w:t>Cf</w:t>
      </w:r>
      <w:proofErr w:type="spellEnd"/>
      <w:r w:rsidR="00674E83" w:rsidRPr="001F4245">
        <w:t xml:space="preserve"> </w:t>
      </w:r>
      <w:r w:rsidR="00D6111E" w:rsidRPr="001F4245">
        <w:t xml:space="preserve"> </w:t>
      </w:r>
      <w:proofErr w:type="spellStart"/>
      <w:r w:rsidR="00D6111E" w:rsidRPr="001F4245">
        <w:t>ppt</w:t>
      </w:r>
      <w:proofErr w:type="spellEnd"/>
      <w:proofErr w:type="gramEnd"/>
      <w:r w:rsidR="00D6111E" w:rsidRPr="001F4245">
        <w:t xml:space="preserve"> slides.</w:t>
      </w:r>
    </w:p>
    <w:p w:rsidR="00674E83" w:rsidRPr="00674E83" w:rsidRDefault="00674E83" w:rsidP="00674E83">
      <w:pPr>
        <w:ind w:left="1440"/>
        <w:jc w:val="left"/>
        <w:rPr>
          <w:rFonts w:cs="Arial"/>
          <w:bCs/>
          <w:iCs/>
          <w:sz w:val="18"/>
          <w:szCs w:val="18"/>
        </w:rPr>
      </w:pPr>
    </w:p>
    <w:p w:rsidR="00674E83" w:rsidRPr="001F4245" w:rsidRDefault="00674E83" w:rsidP="007E5C2C">
      <w:pPr>
        <w:numPr>
          <w:ilvl w:val="0"/>
          <w:numId w:val="13"/>
        </w:numPr>
        <w:ind w:left="1080"/>
        <w:jc w:val="left"/>
        <w:rPr>
          <w:rFonts w:cs="Arial"/>
          <w:bCs/>
          <w:iCs/>
          <w:sz w:val="20"/>
        </w:rPr>
      </w:pPr>
      <w:r w:rsidRPr="001F4245">
        <w:rPr>
          <w:rFonts w:cs="Arial"/>
          <w:bCs/>
          <w:iCs/>
          <w:sz w:val="20"/>
        </w:rPr>
        <w:t>Background – Stock exchange (SGX-ST), CCP (CDP) and CSD (CDP)</w:t>
      </w:r>
    </w:p>
    <w:p w:rsidR="00674E83" w:rsidRPr="001F4245" w:rsidRDefault="00674E83" w:rsidP="007E5C2C">
      <w:pPr>
        <w:numPr>
          <w:ilvl w:val="0"/>
          <w:numId w:val="13"/>
        </w:numPr>
        <w:ind w:left="1080"/>
        <w:jc w:val="left"/>
        <w:rPr>
          <w:rFonts w:cs="Arial"/>
          <w:bCs/>
          <w:iCs/>
          <w:sz w:val="20"/>
        </w:rPr>
      </w:pPr>
      <w:r w:rsidRPr="001F4245">
        <w:rPr>
          <w:rFonts w:cs="Arial"/>
          <w:bCs/>
          <w:iCs/>
          <w:sz w:val="20"/>
        </w:rPr>
        <w:t>Rationale for implementation – IBM mainframe closed environment architecture (faster)  vs. UNIX based open data architecture</w:t>
      </w:r>
    </w:p>
    <w:p w:rsidR="00674E83" w:rsidRPr="001F4245" w:rsidRDefault="00674E83" w:rsidP="007E5C2C">
      <w:pPr>
        <w:numPr>
          <w:ilvl w:val="1"/>
          <w:numId w:val="13"/>
        </w:numPr>
        <w:ind w:left="1800"/>
        <w:jc w:val="left"/>
        <w:rPr>
          <w:rFonts w:cs="Arial"/>
          <w:bCs/>
          <w:iCs/>
          <w:sz w:val="20"/>
        </w:rPr>
      </w:pPr>
      <w:r w:rsidRPr="001F4245">
        <w:rPr>
          <w:rFonts w:cs="Arial"/>
          <w:bCs/>
          <w:iCs/>
          <w:sz w:val="20"/>
        </w:rPr>
        <w:lastRenderedPageBreak/>
        <w:t>1980s built Post Trade System (PTS) and Client Account System (CAS) supporting electronic trading and clearing in a closed environment architecture (mainframe)</w:t>
      </w:r>
    </w:p>
    <w:p w:rsidR="00674E83" w:rsidRPr="001F4245" w:rsidRDefault="00674E83" w:rsidP="007E5C2C">
      <w:pPr>
        <w:numPr>
          <w:ilvl w:val="1"/>
          <w:numId w:val="13"/>
        </w:numPr>
        <w:ind w:left="1800"/>
        <w:jc w:val="left"/>
        <w:rPr>
          <w:rFonts w:cs="Arial"/>
          <w:bCs/>
          <w:iCs/>
          <w:sz w:val="20"/>
        </w:rPr>
      </w:pPr>
      <w:r w:rsidRPr="001F4245">
        <w:rPr>
          <w:rFonts w:cs="Arial"/>
          <w:bCs/>
          <w:iCs/>
          <w:sz w:val="20"/>
        </w:rPr>
        <w:t xml:space="preserve">Need to refresh entire infrastructure – modernize clearing and depository systems supporting different business and operating models while modernizing communications protocol and adoption of international standards </w:t>
      </w:r>
    </w:p>
    <w:p w:rsidR="00CB5BDC" w:rsidRDefault="00CB5BDC" w:rsidP="007E5C2C">
      <w:pPr>
        <w:numPr>
          <w:ilvl w:val="0"/>
          <w:numId w:val="13"/>
        </w:numPr>
        <w:ind w:left="1080"/>
        <w:jc w:val="left"/>
        <w:rPr>
          <w:rFonts w:cs="Arial"/>
          <w:bCs/>
          <w:iCs/>
          <w:sz w:val="20"/>
        </w:rPr>
      </w:pPr>
      <w:r>
        <w:rPr>
          <w:rFonts w:cs="Arial"/>
          <w:bCs/>
          <w:iCs/>
          <w:sz w:val="20"/>
        </w:rPr>
        <w:t xml:space="preserve">ISO15022 vs ISO20022 choice? choosing </w:t>
      </w:r>
      <w:r w:rsidRPr="00CB5BDC">
        <w:rPr>
          <w:rFonts w:cs="Arial"/>
          <w:bCs/>
          <w:iCs/>
          <w:sz w:val="20"/>
        </w:rPr>
        <w:t>15022 would have meant to have to embark another change in the future</w:t>
      </w:r>
    </w:p>
    <w:p w:rsidR="00674E83" w:rsidRPr="001F4245" w:rsidRDefault="00674E83" w:rsidP="007E5C2C">
      <w:pPr>
        <w:numPr>
          <w:ilvl w:val="0"/>
          <w:numId w:val="13"/>
        </w:numPr>
        <w:ind w:left="1080"/>
        <w:jc w:val="left"/>
        <w:rPr>
          <w:rFonts w:cs="Arial"/>
          <w:bCs/>
          <w:iCs/>
          <w:sz w:val="20"/>
        </w:rPr>
      </w:pPr>
      <w:r w:rsidRPr="001F4245">
        <w:rPr>
          <w:rFonts w:cs="Arial"/>
          <w:bCs/>
          <w:iCs/>
          <w:sz w:val="20"/>
        </w:rPr>
        <w:t>ISO20022 Timeline – started in 2012 and continuing through 2017 and beyond</w:t>
      </w:r>
    </w:p>
    <w:p w:rsidR="00674E83" w:rsidRPr="001F4245" w:rsidRDefault="00674E83" w:rsidP="007E5C2C">
      <w:pPr>
        <w:numPr>
          <w:ilvl w:val="1"/>
          <w:numId w:val="13"/>
        </w:numPr>
        <w:ind w:left="1800"/>
        <w:jc w:val="left"/>
        <w:rPr>
          <w:rFonts w:cs="Arial"/>
          <w:bCs/>
          <w:iCs/>
          <w:sz w:val="20"/>
        </w:rPr>
      </w:pPr>
      <w:r w:rsidRPr="001F4245">
        <w:rPr>
          <w:rFonts w:cs="Arial"/>
          <w:bCs/>
          <w:iCs/>
          <w:sz w:val="20"/>
        </w:rPr>
        <w:t>Aug. 15</w:t>
      </w:r>
      <w:r w:rsidRPr="001F4245">
        <w:rPr>
          <w:rFonts w:cs="Arial"/>
          <w:bCs/>
          <w:iCs/>
          <w:sz w:val="20"/>
          <w:vertAlign w:val="superscript"/>
        </w:rPr>
        <w:t>th</w:t>
      </w:r>
      <w:r w:rsidRPr="001F4245">
        <w:rPr>
          <w:rFonts w:cs="Arial"/>
          <w:bCs/>
          <w:iCs/>
          <w:sz w:val="20"/>
        </w:rPr>
        <w:t>, 2015 finalization of ISO20022 spec V4.2</w:t>
      </w:r>
    </w:p>
    <w:p w:rsidR="00674E83" w:rsidRPr="001F4245" w:rsidRDefault="00674E83" w:rsidP="007E5C2C">
      <w:pPr>
        <w:numPr>
          <w:ilvl w:val="1"/>
          <w:numId w:val="13"/>
        </w:numPr>
        <w:ind w:left="1800"/>
        <w:jc w:val="left"/>
        <w:rPr>
          <w:rFonts w:cs="Arial"/>
          <w:bCs/>
          <w:iCs/>
          <w:sz w:val="20"/>
        </w:rPr>
      </w:pPr>
      <w:r w:rsidRPr="001F4245">
        <w:rPr>
          <w:rFonts w:cs="Arial"/>
          <w:bCs/>
          <w:iCs/>
          <w:sz w:val="20"/>
        </w:rPr>
        <w:t>28 brokers (9 domestic)</w:t>
      </w:r>
    </w:p>
    <w:p w:rsidR="00674E83" w:rsidRPr="001F4245" w:rsidRDefault="00674E83" w:rsidP="007E5C2C">
      <w:pPr>
        <w:numPr>
          <w:ilvl w:val="1"/>
          <w:numId w:val="13"/>
        </w:numPr>
        <w:ind w:left="1800"/>
        <w:jc w:val="left"/>
        <w:rPr>
          <w:rFonts w:cs="Arial"/>
          <w:bCs/>
          <w:iCs/>
          <w:sz w:val="20"/>
        </w:rPr>
      </w:pPr>
      <w:r w:rsidRPr="001F4245">
        <w:rPr>
          <w:rFonts w:cs="Arial"/>
          <w:bCs/>
          <w:iCs/>
          <w:sz w:val="20"/>
        </w:rPr>
        <w:t>July, 2016 – March, 2017 CDP clearing members to go live and PTS depository review for Phase 2 in 2017</w:t>
      </w:r>
    </w:p>
    <w:p w:rsidR="00674E83" w:rsidRPr="00870A68" w:rsidRDefault="00674E83" w:rsidP="007E5C2C">
      <w:pPr>
        <w:pStyle w:val="ListParagraph"/>
        <w:numPr>
          <w:ilvl w:val="2"/>
          <w:numId w:val="13"/>
        </w:numPr>
        <w:ind w:left="2520"/>
        <w:rPr>
          <w:rFonts w:ascii="Arial" w:hAnsi="Arial" w:cs="Arial"/>
          <w:bCs/>
          <w:iCs/>
          <w:sz w:val="20"/>
        </w:rPr>
      </w:pPr>
      <w:r w:rsidRPr="00870A68">
        <w:rPr>
          <w:rFonts w:ascii="Arial" w:hAnsi="Arial" w:cs="Arial"/>
          <w:bCs/>
          <w:iCs/>
          <w:sz w:val="20"/>
        </w:rPr>
        <w:t>*Realistic to expect a 5 year implementation process to migrate to ISO20022 within various markets</w:t>
      </w:r>
    </w:p>
    <w:p w:rsidR="00674E83" w:rsidRPr="001F4245" w:rsidRDefault="00674E83" w:rsidP="007E5C2C">
      <w:pPr>
        <w:numPr>
          <w:ilvl w:val="0"/>
          <w:numId w:val="13"/>
        </w:numPr>
        <w:ind w:left="1080"/>
        <w:jc w:val="left"/>
        <w:rPr>
          <w:rFonts w:cs="Arial"/>
          <w:bCs/>
          <w:iCs/>
          <w:sz w:val="20"/>
        </w:rPr>
      </w:pPr>
      <w:r w:rsidRPr="001F4245">
        <w:rPr>
          <w:rFonts w:cs="Arial"/>
          <w:bCs/>
          <w:iCs/>
          <w:sz w:val="20"/>
        </w:rPr>
        <w:t>ISO20022 messages</w:t>
      </w:r>
      <w:r w:rsidR="00CB5BDC">
        <w:rPr>
          <w:rFonts w:cs="Arial"/>
          <w:bCs/>
          <w:iCs/>
          <w:sz w:val="20"/>
        </w:rPr>
        <w:t>:</w:t>
      </w:r>
    </w:p>
    <w:p w:rsidR="00674E83" w:rsidRPr="001F4245" w:rsidRDefault="00674E83" w:rsidP="007E5C2C">
      <w:pPr>
        <w:numPr>
          <w:ilvl w:val="1"/>
          <w:numId w:val="13"/>
        </w:numPr>
        <w:ind w:left="1800"/>
        <w:jc w:val="left"/>
        <w:rPr>
          <w:rFonts w:cs="Arial"/>
          <w:bCs/>
          <w:iCs/>
          <w:sz w:val="20"/>
        </w:rPr>
      </w:pPr>
      <w:r w:rsidRPr="001F4245">
        <w:rPr>
          <w:rFonts w:cs="Arial"/>
          <w:bCs/>
          <w:iCs/>
          <w:sz w:val="20"/>
        </w:rPr>
        <w:t>Securities Management</w:t>
      </w:r>
    </w:p>
    <w:p w:rsidR="00674E83" w:rsidRDefault="00674E83" w:rsidP="007E5C2C">
      <w:pPr>
        <w:numPr>
          <w:ilvl w:val="1"/>
          <w:numId w:val="13"/>
        </w:numPr>
        <w:ind w:left="1800"/>
        <w:jc w:val="left"/>
        <w:rPr>
          <w:rFonts w:cs="Arial"/>
          <w:bCs/>
          <w:iCs/>
          <w:sz w:val="20"/>
        </w:rPr>
      </w:pPr>
      <w:r w:rsidRPr="001F4245">
        <w:rPr>
          <w:rFonts w:cs="Arial"/>
          <w:bCs/>
          <w:iCs/>
          <w:sz w:val="20"/>
        </w:rPr>
        <w:t>Payment initiative and cash management messages</w:t>
      </w:r>
    </w:p>
    <w:p w:rsidR="00CB5BDC" w:rsidRDefault="00CB5BDC" w:rsidP="00026FF5">
      <w:pPr>
        <w:ind w:left="2520"/>
        <w:jc w:val="left"/>
        <w:rPr>
          <w:rFonts w:cs="Arial"/>
          <w:bCs/>
          <w:iCs/>
          <w:sz w:val="20"/>
        </w:rPr>
      </w:pPr>
    </w:p>
    <w:p w:rsidR="00CB5BDC" w:rsidRDefault="00CB5BDC" w:rsidP="007E5C2C">
      <w:pPr>
        <w:numPr>
          <w:ilvl w:val="0"/>
          <w:numId w:val="13"/>
        </w:numPr>
        <w:ind w:left="1080"/>
        <w:jc w:val="left"/>
        <w:rPr>
          <w:rFonts w:cs="Arial"/>
          <w:bCs/>
          <w:iCs/>
          <w:sz w:val="20"/>
        </w:rPr>
      </w:pPr>
      <w:r w:rsidRPr="00CB5BDC">
        <w:rPr>
          <w:rFonts w:cs="Arial"/>
          <w:bCs/>
          <w:iCs/>
          <w:sz w:val="20"/>
        </w:rPr>
        <w:t>SGX’s next steps</w:t>
      </w:r>
    </w:p>
    <w:p w:rsidR="00B36E84" w:rsidRDefault="00B36E84" w:rsidP="007E5C2C">
      <w:pPr>
        <w:numPr>
          <w:ilvl w:val="1"/>
          <w:numId w:val="13"/>
        </w:numPr>
        <w:ind w:left="1800"/>
        <w:jc w:val="left"/>
        <w:rPr>
          <w:rFonts w:cs="Arial"/>
          <w:bCs/>
          <w:iCs/>
          <w:sz w:val="20"/>
        </w:rPr>
      </w:pPr>
      <w:r>
        <w:rPr>
          <w:rFonts w:cs="Arial"/>
          <w:bCs/>
          <w:iCs/>
          <w:sz w:val="20"/>
        </w:rPr>
        <w:t xml:space="preserve">MP for </w:t>
      </w:r>
      <w:proofErr w:type="spellStart"/>
      <w:r>
        <w:rPr>
          <w:rFonts w:cs="Arial"/>
          <w:bCs/>
          <w:iCs/>
          <w:sz w:val="20"/>
        </w:rPr>
        <w:t>SnR</w:t>
      </w:r>
      <w:proofErr w:type="spellEnd"/>
      <w:r>
        <w:rPr>
          <w:rFonts w:cs="Arial"/>
          <w:bCs/>
          <w:iCs/>
          <w:sz w:val="20"/>
        </w:rPr>
        <w:t xml:space="preserve"> and CA (work with SG NMPG)</w:t>
      </w:r>
    </w:p>
    <w:p w:rsidR="00B36E84" w:rsidRDefault="00B36E84" w:rsidP="007E5C2C">
      <w:pPr>
        <w:numPr>
          <w:ilvl w:val="1"/>
          <w:numId w:val="13"/>
        </w:numPr>
        <w:ind w:left="1800"/>
        <w:jc w:val="left"/>
        <w:rPr>
          <w:rFonts w:cs="Arial"/>
          <w:bCs/>
          <w:iCs/>
          <w:sz w:val="20"/>
        </w:rPr>
      </w:pPr>
      <w:r>
        <w:rPr>
          <w:rFonts w:cs="Arial"/>
          <w:bCs/>
          <w:iCs/>
          <w:sz w:val="20"/>
        </w:rPr>
        <w:t>Implementation phase 1</w:t>
      </w:r>
    </w:p>
    <w:p w:rsidR="00B36E84" w:rsidRDefault="00B36E84" w:rsidP="007E5C2C">
      <w:pPr>
        <w:numPr>
          <w:ilvl w:val="1"/>
          <w:numId w:val="13"/>
        </w:numPr>
        <w:ind w:left="1800"/>
        <w:jc w:val="left"/>
        <w:rPr>
          <w:rFonts w:cs="Arial"/>
          <w:bCs/>
          <w:iCs/>
          <w:sz w:val="20"/>
        </w:rPr>
      </w:pPr>
      <w:r>
        <w:rPr>
          <w:rFonts w:cs="Arial"/>
          <w:bCs/>
          <w:iCs/>
          <w:sz w:val="20"/>
        </w:rPr>
        <w:t>Roll out incremental service impr</w:t>
      </w:r>
      <w:r w:rsidR="00C73670">
        <w:rPr>
          <w:rFonts w:cs="Arial"/>
          <w:bCs/>
          <w:iCs/>
          <w:sz w:val="20"/>
        </w:rPr>
        <w:t>o</w:t>
      </w:r>
      <w:r>
        <w:rPr>
          <w:rFonts w:cs="Arial"/>
          <w:bCs/>
          <w:iCs/>
          <w:sz w:val="20"/>
        </w:rPr>
        <w:t>vements</w:t>
      </w:r>
    </w:p>
    <w:p w:rsidR="00B36E84" w:rsidRDefault="00B36E84" w:rsidP="00026FF5">
      <w:pPr>
        <w:ind w:left="2520"/>
        <w:jc w:val="left"/>
        <w:rPr>
          <w:rFonts w:cs="Arial"/>
          <w:bCs/>
          <w:iCs/>
          <w:sz w:val="20"/>
        </w:rPr>
      </w:pPr>
    </w:p>
    <w:p w:rsidR="00B36E84" w:rsidRDefault="00B36E84" w:rsidP="007E5C2C">
      <w:pPr>
        <w:numPr>
          <w:ilvl w:val="0"/>
          <w:numId w:val="13"/>
        </w:numPr>
        <w:ind w:left="1080"/>
        <w:jc w:val="left"/>
        <w:rPr>
          <w:rFonts w:cs="Arial"/>
          <w:bCs/>
          <w:iCs/>
          <w:sz w:val="20"/>
        </w:rPr>
      </w:pPr>
      <w:r>
        <w:rPr>
          <w:rFonts w:cs="Arial"/>
          <w:bCs/>
          <w:iCs/>
          <w:sz w:val="20"/>
        </w:rPr>
        <w:t xml:space="preserve">Importance of </w:t>
      </w:r>
      <w:proofErr w:type="spellStart"/>
      <w:r>
        <w:rPr>
          <w:rFonts w:cs="Arial"/>
          <w:bCs/>
          <w:iCs/>
          <w:sz w:val="20"/>
        </w:rPr>
        <w:t>Harmonisation</w:t>
      </w:r>
      <w:proofErr w:type="spellEnd"/>
      <w:r>
        <w:rPr>
          <w:rFonts w:cs="Arial"/>
          <w:bCs/>
          <w:iCs/>
          <w:sz w:val="20"/>
        </w:rPr>
        <w:t xml:space="preserve"> (versioning)/</w:t>
      </w:r>
      <w:r w:rsidRPr="00B36E84">
        <w:t xml:space="preserve"> </w:t>
      </w:r>
      <w:r w:rsidRPr="00B36E84">
        <w:rPr>
          <w:rFonts w:cs="Arial"/>
          <w:bCs/>
          <w:iCs/>
          <w:sz w:val="20"/>
        </w:rPr>
        <w:t>most SMIs have a time frame to make a co</w:t>
      </w:r>
      <w:r w:rsidR="000A054E">
        <w:rPr>
          <w:rFonts w:cs="Arial"/>
          <w:bCs/>
          <w:iCs/>
          <w:sz w:val="20"/>
        </w:rPr>
        <w:t>-</w:t>
      </w:r>
      <w:r w:rsidRPr="00B36E84">
        <w:rPr>
          <w:rFonts w:cs="Arial"/>
          <w:bCs/>
          <w:iCs/>
          <w:sz w:val="20"/>
        </w:rPr>
        <w:t>existence available between proprietary format and ISO 20022 format</w:t>
      </w:r>
      <w:r>
        <w:rPr>
          <w:rFonts w:cs="Arial"/>
          <w:bCs/>
          <w:iCs/>
          <w:sz w:val="20"/>
        </w:rPr>
        <w:t>.</w:t>
      </w:r>
      <w:r w:rsidR="000A054E" w:rsidRPr="000A054E">
        <w:rPr>
          <w:sz w:val="21"/>
          <w:szCs w:val="21"/>
        </w:rPr>
        <w:t xml:space="preserve"> </w:t>
      </w:r>
      <w:r w:rsidR="000A054E">
        <w:rPr>
          <w:sz w:val="21"/>
          <w:szCs w:val="21"/>
        </w:rPr>
        <w:t>(</w:t>
      </w:r>
      <w:r w:rsidR="000A054E" w:rsidRPr="00881C8C">
        <w:rPr>
          <w:sz w:val="21"/>
          <w:szCs w:val="21"/>
        </w:rPr>
        <w:t>Payment world does the big bang type migration</w:t>
      </w:r>
      <w:r w:rsidR="000A054E">
        <w:rPr>
          <w:sz w:val="21"/>
          <w:szCs w:val="21"/>
        </w:rPr>
        <w:t>).</w:t>
      </w:r>
    </w:p>
    <w:p w:rsidR="00B36E84" w:rsidRDefault="00B36E84" w:rsidP="007E5C2C">
      <w:pPr>
        <w:numPr>
          <w:ilvl w:val="0"/>
          <w:numId w:val="13"/>
        </w:numPr>
        <w:ind w:left="1080"/>
        <w:jc w:val="left"/>
        <w:rPr>
          <w:rFonts w:cs="Arial"/>
          <w:bCs/>
          <w:iCs/>
          <w:sz w:val="20"/>
        </w:rPr>
      </w:pPr>
      <w:r>
        <w:rPr>
          <w:rFonts w:cs="Arial"/>
          <w:bCs/>
          <w:iCs/>
          <w:sz w:val="20"/>
        </w:rPr>
        <w:t>SGX Participants -&gt; Migration from July 2016 to March 2017</w:t>
      </w:r>
    </w:p>
    <w:p w:rsidR="00026FF5" w:rsidRPr="001F4245" w:rsidRDefault="00026FF5" w:rsidP="00026FF5">
      <w:pPr>
        <w:ind w:left="1080"/>
        <w:jc w:val="left"/>
        <w:rPr>
          <w:rFonts w:cs="Arial"/>
          <w:bCs/>
          <w:iCs/>
          <w:sz w:val="20"/>
        </w:rPr>
      </w:pPr>
    </w:p>
    <w:p w:rsidR="00A2730D" w:rsidRDefault="00A2730D" w:rsidP="00841B85">
      <w:pPr>
        <w:numPr>
          <w:ilvl w:val="0"/>
          <w:numId w:val="8"/>
        </w:numPr>
        <w:spacing w:before="240"/>
      </w:pPr>
      <w:r w:rsidRPr="009A48F9">
        <w:t>Moving from Proprietary to ISO 15022 Standards (</w:t>
      </w:r>
      <w:r>
        <w:t xml:space="preserve">Chu </w:t>
      </w:r>
      <w:proofErr w:type="spellStart"/>
      <w:r>
        <w:t>Trung</w:t>
      </w:r>
      <w:proofErr w:type="spellEnd"/>
      <w:r>
        <w:t xml:space="preserve"> </w:t>
      </w:r>
      <w:proofErr w:type="spellStart"/>
      <w:r>
        <w:t>Kiên</w:t>
      </w:r>
      <w:proofErr w:type="spellEnd"/>
      <w:r>
        <w:t xml:space="preserve"> </w:t>
      </w:r>
      <w:r w:rsidRPr="009A48F9">
        <w:t>- Vietnam Securities Depository)</w:t>
      </w:r>
      <w:r w:rsidR="00B36E84">
        <w:t xml:space="preserve"> -&gt; </w:t>
      </w:r>
      <w:proofErr w:type="spellStart"/>
      <w:r w:rsidR="00B36E84" w:rsidRPr="001F4245">
        <w:t>Cf</w:t>
      </w:r>
      <w:proofErr w:type="spellEnd"/>
      <w:r w:rsidR="00B36E84" w:rsidRPr="001F4245">
        <w:t xml:space="preserve">  </w:t>
      </w:r>
      <w:proofErr w:type="spellStart"/>
      <w:r w:rsidR="00B36E84" w:rsidRPr="001F4245">
        <w:t>ppt</w:t>
      </w:r>
      <w:proofErr w:type="spellEnd"/>
      <w:r w:rsidR="00B36E84" w:rsidRPr="001F4245">
        <w:t xml:space="preserve"> slides</w:t>
      </w:r>
    </w:p>
    <w:p w:rsidR="00026FF5" w:rsidRDefault="00026FF5" w:rsidP="00026FF5">
      <w:pPr>
        <w:spacing w:before="240"/>
        <w:ind w:left="1080"/>
      </w:pPr>
    </w:p>
    <w:p w:rsidR="000A054E" w:rsidRDefault="000A054E" w:rsidP="007E5C2C">
      <w:pPr>
        <w:numPr>
          <w:ilvl w:val="0"/>
          <w:numId w:val="13"/>
        </w:numPr>
        <w:ind w:left="1080"/>
        <w:jc w:val="left"/>
        <w:rPr>
          <w:rFonts w:asciiTheme="majorHAnsi" w:hAnsiTheme="majorHAnsi" w:cstheme="majorHAnsi"/>
          <w:bCs/>
          <w:iCs/>
          <w:sz w:val="20"/>
        </w:rPr>
      </w:pPr>
      <w:r w:rsidRPr="000A054E">
        <w:rPr>
          <w:rFonts w:asciiTheme="majorHAnsi" w:hAnsiTheme="majorHAnsi" w:cstheme="majorHAnsi"/>
          <w:bCs/>
          <w:iCs/>
          <w:sz w:val="20"/>
        </w:rPr>
        <w:t>VSD reports to the ministry of Finance</w:t>
      </w:r>
      <w:r>
        <w:rPr>
          <w:rFonts w:asciiTheme="majorHAnsi" w:hAnsiTheme="majorHAnsi" w:cstheme="majorHAnsi"/>
          <w:bCs/>
          <w:iCs/>
          <w:sz w:val="20"/>
        </w:rPr>
        <w:t>/</w:t>
      </w:r>
      <w:r w:rsidRPr="000A054E">
        <w:t xml:space="preserve"> </w:t>
      </w:r>
      <w:r w:rsidRPr="000A054E">
        <w:rPr>
          <w:rFonts w:asciiTheme="majorHAnsi" w:hAnsiTheme="majorHAnsi" w:cstheme="majorHAnsi"/>
          <w:bCs/>
          <w:iCs/>
          <w:sz w:val="20"/>
        </w:rPr>
        <w:t>Participate to the ANNA, and to ASEAN+3</w:t>
      </w:r>
    </w:p>
    <w:p w:rsidR="00026FF5" w:rsidRPr="00026FF5" w:rsidRDefault="00026FF5" w:rsidP="007E5C2C">
      <w:pPr>
        <w:numPr>
          <w:ilvl w:val="0"/>
          <w:numId w:val="13"/>
        </w:numPr>
        <w:ind w:left="1080"/>
        <w:jc w:val="left"/>
        <w:rPr>
          <w:rFonts w:asciiTheme="majorHAnsi" w:hAnsiTheme="majorHAnsi" w:cstheme="majorHAnsi"/>
          <w:bCs/>
          <w:iCs/>
          <w:sz w:val="20"/>
        </w:rPr>
      </w:pPr>
      <w:r w:rsidRPr="00026FF5">
        <w:rPr>
          <w:rFonts w:asciiTheme="majorHAnsi" w:hAnsiTheme="majorHAnsi" w:cstheme="majorHAnsi"/>
          <w:bCs/>
          <w:iCs/>
          <w:sz w:val="20"/>
        </w:rPr>
        <w:t>Two stock exchanges (HOSE and HNX) previously had operated separate depository and clearing systems causing inefficiencies</w:t>
      </w:r>
    </w:p>
    <w:p w:rsidR="00026FF5" w:rsidRPr="00026FF5" w:rsidRDefault="00026FF5" w:rsidP="007E5C2C">
      <w:pPr>
        <w:numPr>
          <w:ilvl w:val="0"/>
          <w:numId w:val="13"/>
        </w:numPr>
        <w:ind w:left="1080"/>
        <w:jc w:val="left"/>
        <w:rPr>
          <w:rFonts w:asciiTheme="majorHAnsi" w:hAnsiTheme="majorHAnsi" w:cstheme="majorHAnsi"/>
          <w:color w:val="000000"/>
          <w:sz w:val="20"/>
          <w:lang w:val="en-GB" w:eastAsia="ja-JP"/>
        </w:rPr>
      </w:pPr>
      <w:r w:rsidRPr="00026FF5">
        <w:rPr>
          <w:rFonts w:asciiTheme="majorHAnsi" w:hAnsiTheme="majorHAnsi" w:cstheme="majorHAnsi"/>
          <w:bCs/>
          <w:iCs/>
          <w:sz w:val="20"/>
        </w:rPr>
        <w:t>VSD</w:t>
      </w:r>
      <w:r w:rsidRPr="00026FF5">
        <w:rPr>
          <w:rFonts w:asciiTheme="majorHAnsi" w:hAnsiTheme="majorHAnsi" w:cstheme="majorHAnsi"/>
          <w:color w:val="000000"/>
          <w:sz w:val="20"/>
          <w:lang w:val="en-GB" w:eastAsia="ja-JP"/>
        </w:rPr>
        <w:t xml:space="preserve"> is the only CSD in VN</w:t>
      </w:r>
    </w:p>
    <w:p w:rsidR="00BB135C" w:rsidRPr="00BB135C" w:rsidRDefault="00026FF5" w:rsidP="007E5C2C">
      <w:pPr>
        <w:numPr>
          <w:ilvl w:val="0"/>
          <w:numId w:val="13"/>
        </w:numPr>
        <w:ind w:left="1080"/>
        <w:jc w:val="left"/>
        <w:rPr>
          <w:rFonts w:asciiTheme="majorHAnsi" w:hAnsiTheme="majorHAnsi" w:cstheme="majorHAnsi"/>
          <w:bCs/>
          <w:iCs/>
          <w:sz w:val="20"/>
        </w:rPr>
      </w:pPr>
      <w:r w:rsidRPr="00BB135C">
        <w:rPr>
          <w:rFonts w:asciiTheme="majorHAnsi" w:hAnsiTheme="majorHAnsi" w:cstheme="majorHAnsi"/>
          <w:bCs/>
          <w:iCs/>
          <w:sz w:val="20"/>
        </w:rPr>
        <w:t>In</w:t>
      </w:r>
      <w:r w:rsidRPr="00BB135C">
        <w:rPr>
          <w:rFonts w:asciiTheme="majorHAnsi" w:hAnsiTheme="majorHAnsi" w:cstheme="majorHAnsi"/>
          <w:color w:val="000000"/>
          <w:sz w:val="20"/>
          <w:lang w:val="en-GB" w:eastAsia="ja-JP"/>
        </w:rPr>
        <w:t xml:space="preserve"> the proprietary environment, DMs </w:t>
      </w:r>
      <w:r w:rsidR="006C25E2" w:rsidRPr="00BB135C">
        <w:rPr>
          <w:rFonts w:asciiTheme="majorHAnsi" w:hAnsiTheme="majorHAnsi" w:cstheme="majorHAnsi"/>
          <w:color w:val="000000"/>
          <w:sz w:val="20"/>
          <w:lang w:val="en-GB" w:eastAsia="ja-JP"/>
        </w:rPr>
        <w:t xml:space="preserve">(Depository Members) </w:t>
      </w:r>
      <w:r w:rsidRPr="00BB135C">
        <w:rPr>
          <w:rFonts w:asciiTheme="majorHAnsi" w:hAnsiTheme="majorHAnsi" w:cstheme="majorHAnsi"/>
          <w:color w:val="000000"/>
          <w:sz w:val="20"/>
          <w:lang w:val="en-GB" w:eastAsia="ja-JP"/>
        </w:rPr>
        <w:t>connect to VSD via leased line</w:t>
      </w:r>
    </w:p>
    <w:p w:rsidR="00026FF5" w:rsidRPr="00BB135C" w:rsidRDefault="00026FF5" w:rsidP="007E5C2C">
      <w:pPr>
        <w:numPr>
          <w:ilvl w:val="0"/>
          <w:numId w:val="13"/>
        </w:numPr>
        <w:ind w:left="1080"/>
        <w:jc w:val="left"/>
        <w:rPr>
          <w:rFonts w:asciiTheme="majorHAnsi" w:hAnsiTheme="majorHAnsi" w:cstheme="majorHAnsi"/>
          <w:bCs/>
          <w:iCs/>
          <w:sz w:val="20"/>
        </w:rPr>
      </w:pPr>
      <w:r w:rsidRPr="00BB135C">
        <w:rPr>
          <w:rFonts w:asciiTheme="majorHAnsi" w:hAnsiTheme="majorHAnsi" w:cstheme="majorHAnsi"/>
          <w:bCs/>
          <w:iCs/>
          <w:sz w:val="20"/>
        </w:rPr>
        <w:t>Proprietary format was a simple XML format covering</w:t>
      </w:r>
      <w:r w:rsidR="00BB135C" w:rsidRPr="00BB135C">
        <w:rPr>
          <w:rFonts w:asciiTheme="majorHAnsi" w:hAnsiTheme="majorHAnsi" w:cstheme="majorHAnsi"/>
          <w:bCs/>
          <w:iCs/>
          <w:sz w:val="20"/>
        </w:rPr>
        <w:t xml:space="preserve"> </w:t>
      </w:r>
      <w:proofErr w:type="spellStart"/>
      <w:r w:rsidR="00BB135C" w:rsidRPr="00BB135C">
        <w:rPr>
          <w:rFonts w:asciiTheme="majorHAnsi" w:hAnsiTheme="majorHAnsi" w:cstheme="majorHAnsi"/>
          <w:bCs/>
          <w:iCs/>
          <w:sz w:val="20"/>
        </w:rPr>
        <w:t>eg</w:t>
      </w:r>
      <w:proofErr w:type="spellEnd"/>
      <w:r w:rsidR="00BB135C" w:rsidRPr="00BB135C">
        <w:rPr>
          <w:rFonts w:asciiTheme="majorHAnsi" w:hAnsiTheme="majorHAnsi" w:cstheme="majorHAnsi"/>
          <w:bCs/>
          <w:iCs/>
          <w:sz w:val="20"/>
        </w:rPr>
        <w:t xml:space="preserve"> transaction message </w:t>
      </w:r>
      <w:r w:rsidRPr="00BB135C">
        <w:rPr>
          <w:rFonts w:asciiTheme="majorHAnsi" w:hAnsiTheme="majorHAnsi" w:cstheme="majorHAnsi"/>
          <w:bCs/>
          <w:iCs/>
          <w:sz w:val="20"/>
        </w:rPr>
        <w:t>which were not compliant to international standards (FIX, ISO) resulting in difficulties in connecting to international organizations and cross border transactions</w:t>
      </w:r>
    </w:p>
    <w:p w:rsidR="00026FF5" w:rsidRDefault="00026FF5" w:rsidP="007E5C2C">
      <w:pPr>
        <w:numPr>
          <w:ilvl w:val="0"/>
          <w:numId w:val="13"/>
        </w:numPr>
        <w:ind w:left="1080"/>
        <w:jc w:val="left"/>
        <w:rPr>
          <w:rFonts w:asciiTheme="majorHAnsi" w:hAnsiTheme="majorHAnsi" w:cstheme="majorHAnsi"/>
          <w:color w:val="000000"/>
          <w:sz w:val="20"/>
          <w:lang w:val="en-GB" w:eastAsia="ja-JP"/>
        </w:rPr>
      </w:pPr>
      <w:r w:rsidRPr="00026FF5">
        <w:rPr>
          <w:rFonts w:asciiTheme="majorHAnsi" w:hAnsiTheme="majorHAnsi" w:cstheme="majorHAnsi"/>
          <w:color w:val="000000"/>
          <w:sz w:val="20"/>
          <w:lang w:val="en-GB" w:eastAsia="ja-JP"/>
        </w:rPr>
        <w:t xml:space="preserve">In </w:t>
      </w:r>
      <w:r w:rsidRPr="00026FF5">
        <w:rPr>
          <w:rFonts w:asciiTheme="majorHAnsi" w:hAnsiTheme="majorHAnsi" w:cstheme="majorHAnsi"/>
          <w:bCs/>
          <w:iCs/>
          <w:sz w:val="20"/>
        </w:rPr>
        <w:t>the</w:t>
      </w:r>
      <w:r w:rsidRPr="00026FF5">
        <w:rPr>
          <w:rFonts w:asciiTheme="majorHAnsi" w:hAnsiTheme="majorHAnsi" w:cstheme="majorHAnsi"/>
          <w:color w:val="000000"/>
          <w:sz w:val="20"/>
          <w:lang w:val="en-GB" w:eastAsia="ja-JP"/>
        </w:rPr>
        <w:t xml:space="preserve"> new solution, the VSD terminal will be eliminated and there will</w:t>
      </w:r>
      <w:r>
        <w:rPr>
          <w:rFonts w:asciiTheme="majorHAnsi" w:hAnsiTheme="majorHAnsi" w:cstheme="majorHAnsi"/>
          <w:color w:val="000000"/>
          <w:sz w:val="20"/>
          <w:lang w:val="en-GB" w:eastAsia="ja-JP"/>
        </w:rPr>
        <w:t xml:space="preserve"> only be the VSD Gateway Client</w:t>
      </w:r>
    </w:p>
    <w:p w:rsidR="00026FF5" w:rsidRPr="00026FF5" w:rsidRDefault="00026FF5" w:rsidP="007E5C2C">
      <w:pPr>
        <w:numPr>
          <w:ilvl w:val="0"/>
          <w:numId w:val="13"/>
        </w:numPr>
        <w:ind w:left="1080"/>
        <w:jc w:val="left"/>
        <w:rPr>
          <w:rFonts w:asciiTheme="majorHAnsi" w:hAnsiTheme="majorHAnsi" w:cstheme="majorHAnsi"/>
          <w:color w:val="000000"/>
          <w:sz w:val="20"/>
          <w:lang w:eastAsia="ja-JP"/>
        </w:rPr>
      </w:pPr>
      <w:r w:rsidRPr="00026FF5">
        <w:rPr>
          <w:rFonts w:asciiTheme="majorHAnsi" w:hAnsiTheme="majorHAnsi" w:cstheme="majorHAnsi"/>
          <w:color w:val="000000"/>
          <w:sz w:val="20"/>
          <w:lang w:val="en-GB" w:eastAsia="ja-JP"/>
        </w:rPr>
        <w:t>Explained</w:t>
      </w:r>
      <w:r w:rsidRPr="00026FF5">
        <w:rPr>
          <w:rFonts w:asciiTheme="majorHAnsi" w:hAnsiTheme="majorHAnsi" w:cstheme="majorHAnsi"/>
          <w:color w:val="000000"/>
          <w:sz w:val="20"/>
          <w:lang w:eastAsia="ja-JP"/>
        </w:rPr>
        <w:t xml:space="preserve"> the disadvantages with the proprietary format. Hence, the decision to move to ISO 15022 message standard.</w:t>
      </w:r>
    </w:p>
    <w:p w:rsidR="006C25E2" w:rsidRDefault="00026FF5" w:rsidP="007E5C2C">
      <w:pPr>
        <w:numPr>
          <w:ilvl w:val="0"/>
          <w:numId w:val="13"/>
        </w:numPr>
        <w:ind w:left="1080"/>
        <w:jc w:val="left"/>
        <w:rPr>
          <w:color w:val="7030A0"/>
        </w:rPr>
      </w:pPr>
      <w:r w:rsidRPr="006C25E2">
        <w:rPr>
          <w:rFonts w:asciiTheme="majorHAnsi" w:hAnsiTheme="majorHAnsi" w:cstheme="majorHAnsi"/>
          <w:color w:val="000000"/>
          <w:sz w:val="20"/>
          <w:lang w:eastAsia="ja-JP"/>
        </w:rPr>
        <w:t>Timeline</w:t>
      </w:r>
      <w:r w:rsidRPr="006C25E2">
        <w:rPr>
          <w:rFonts w:asciiTheme="majorHAnsi" w:hAnsiTheme="majorHAnsi" w:cstheme="majorHAnsi"/>
          <w:bCs/>
          <w:iCs/>
          <w:sz w:val="20"/>
        </w:rPr>
        <w:t xml:space="preserve"> started with SWIFT engagement in Feb, 2015 and started using ISO15022 via VPN proprietary gateway in July, 2015</w:t>
      </w:r>
      <w:r w:rsidR="006C25E2">
        <w:rPr>
          <w:rFonts w:asciiTheme="majorHAnsi" w:hAnsiTheme="majorHAnsi" w:cstheme="majorHAnsi"/>
          <w:bCs/>
          <w:iCs/>
          <w:sz w:val="20"/>
        </w:rPr>
        <w:t xml:space="preserve">. </w:t>
      </w:r>
      <w:r w:rsidR="006C25E2" w:rsidRPr="006C25E2">
        <w:rPr>
          <w:rFonts w:asciiTheme="majorHAnsi" w:hAnsiTheme="majorHAnsi" w:cstheme="majorHAnsi"/>
          <w:bCs/>
          <w:iCs/>
          <w:sz w:val="20"/>
        </w:rPr>
        <w:t>Even on the new standard, connection is still on proprietary network, not SWIFT network. But if VSD’s DM would like the option of connecting to VSD via SWIFT Network, VSD can work with SWIFT to set up SWIFT Network.</w:t>
      </w:r>
    </w:p>
    <w:p w:rsidR="00026FF5" w:rsidRPr="006C25E2" w:rsidRDefault="00026FF5" w:rsidP="007E5C2C">
      <w:pPr>
        <w:numPr>
          <w:ilvl w:val="0"/>
          <w:numId w:val="13"/>
        </w:numPr>
        <w:ind w:left="1080"/>
        <w:jc w:val="left"/>
        <w:rPr>
          <w:rFonts w:asciiTheme="majorHAnsi" w:hAnsiTheme="majorHAnsi" w:cstheme="majorHAnsi"/>
        </w:rPr>
      </w:pPr>
      <w:r w:rsidRPr="006C25E2">
        <w:rPr>
          <w:rFonts w:asciiTheme="majorHAnsi" w:hAnsiTheme="majorHAnsi" w:cstheme="majorHAnsi"/>
          <w:bCs/>
          <w:iCs/>
          <w:sz w:val="20"/>
        </w:rPr>
        <w:t>OTC derivatives requiring a CCP will be built</w:t>
      </w:r>
    </w:p>
    <w:p w:rsidR="008B6C09" w:rsidRDefault="008B6C09" w:rsidP="00841B85">
      <w:pPr>
        <w:numPr>
          <w:ilvl w:val="0"/>
          <w:numId w:val="8"/>
        </w:numPr>
        <w:spacing w:before="240"/>
      </w:pPr>
      <w:r>
        <w:t>APAC Regional Market Practice Group – Update (Cindy)</w:t>
      </w:r>
      <w:r w:rsidR="00C86B44">
        <w:t xml:space="preserve"> -&gt; </w:t>
      </w:r>
      <w:proofErr w:type="spellStart"/>
      <w:r w:rsidR="00C86B44" w:rsidRPr="001F4245">
        <w:t>Cf</w:t>
      </w:r>
      <w:proofErr w:type="spellEnd"/>
      <w:r w:rsidR="00C86B44" w:rsidRPr="001F4245">
        <w:t xml:space="preserve">  </w:t>
      </w:r>
      <w:proofErr w:type="spellStart"/>
      <w:r w:rsidR="00C86B44" w:rsidRPr="001F4245">
        <w:t>ppt</w:t>
      </w:r>
      <w:proofErr w:type="spellEnd"/>
      <w:r w:rsidR="00C86B44" w:rsidRPr="001F4245">
        <w:t xml:space="preserve"> slides</w:t>
      </w:r>
    </w:p>
    <w:p w:rsidR="00C86B44" w:rsidRDefault="00C86B44" w:rsidP="00C86B44">
      <w:pPr>
        <w:ind w:left="1080"/>
        <w:jc w:val="left"/>
        <w:rPr>
          <w:rFonts w:cs="Arial"/>
          <w:bCs/>
          <w:iCs/>
          <w:sz w:val="18"/>
          <w:szCs w:val="18"/>
        </w:rPr>
      </w:pPr>
    </w:p>
    <w:p w:rsidR="00C86B44" w:rsidRPr="00562448" w:rsidRDefault="00C86B44" w:rsidP="007E5C2C">
      <w:pPr>
        <w:numPr>
          <w:ilvl w:val="0"/>
          <w:numId w:val="14"/>
        </w:numPr>
        <w:jc w:val="left"/>
        <w:rPr>
          <w:rFonts w:cs="Arial"/>
          <w:bCs/>
          <w:iCs/>
          <w:sz w:val="20"/>
        </w:rPr>
      </w:pPr>
      <w:r w:rsidRPr="00562448">
        <w:rPr>
          <w:rFonts w:cs="Arial"/>
          <w:bCs/>
          <w:iCs/>
          <w:sz w:val="20"/>
        </w:rPr>
        <w:t>APAC RMPG – established in June, 2012 with purpose coordinate regional commonalities and support creation of local NMPGs</w:t>
      </w:r>
    </w:p>
    <w:p w:rsidR="00C86B44" w:rsidRPr="00562448" w:rsidRDefault="00C86B44" w:rsidP="007E5C2C">
      <w:pPr>
        <w:numPr>
          <w:ilvl w:val="1"/>
          <w:numId w:val="14"/>
        </w:numPr>
        <w:jc w:val="left"/>
        <w:rPr>
          <w:rFonts w:cs="Arial"/>
          <w:bCs/>
          <w:iCs/>
          <w:sz w:val="20"/>
        </w:rPr>
      </w:pPr>
      <w:r w:rsidRPr="00562448">
        <w:rPr>
          <w:rFonts w:cs="Arial"/>
          <w:bCs/>
          <w:iCs/>
          <w:sz w:val="20"/>
        </w:rPr>
        <w:t>One physical meeting/year with bi-monthly conference calls</w:t>
      </w:r>
    </w:p>
    <w:p w:rsidR="00BB135C" w:rsidRDefault="00C86B44" w:rsidP="007E5C2C">
      <w:pPr>
        <w:numPr>
          <w:ilvl w:val="0"/>
          <w:numId w:val="11"/>
        </w:numPr>
        <w:jc w:val="left"/>
        <w:rPr>
          <w:rFonts w:cs="Arial"/>
          <w:bCs/>
          <w:iCs/>
          <w:sz w:val="18"/>
          <w:szCs w:val="18"/>
        </w:rPr>
      </w:pPr>
      <w:r w:rsidRPr="00562448">
        <w:rPr>
          <w:rFonts w:cs="Arial"/>
          <w:bCs/>
          <w:iCs/>
          <w:sz w:val="20"/>
        </w:rPr>
        <w:lastRenderedPageBreak/>
        <w:t>Market/CSD changes with little announcement/warning – pushback through APAC RMPG with coordination with ASIFMA to provide comment back to the local market CSD/regulator on poss</w:t>
      </w:r>
      <w:r w:rsidR="00BB135C">
        <w:rPr>
          <w:rFonts w:cs="Arial"/>
          <w:bCs/>
          <w:iCs/>
          <w:sz w:val="20"/>
        </w:rPr>
        <w:t xml:space="preserve">ibility of postponement </w:t>
      </w:r>
      <w:r w:rsidR="00BB135C" w:rsidRPr="00BB135C">
        <w:rPr>
          <w:rFonts w:cs="Arial"/>
          <w:bCs/>
          <w:iCs/>
          <w:sz w:val="20"/>
        </w:rPr>
        <w:t>to allow participants to prioritize development</w:t>
      </w:r>
    </w:p>
    <w:p w:rsidR="00C86B44" w:rsidRPr="00562448" w:rsidRDefault="00C86B44" w:rsidP="00BB135C">
      <w:pPr>
        <w:ind w:left="1080"/>
        <w:jc w:val="left"/>
        <w:rPr>
          <w:rFonts w:cs="Arial"/>
          <w:bCs/>
          <w:iCs/>
          <w:sz w:val="20"/>
        </w:rPr>
      </w:pPr>
    </w:p>
    <w:p w:rsidR="00C86B44" w:rsidRPr="00562448" w:rsidRDefault="00C86B44" w:rsidP="007E5C2C">
      <w:pPr>
        <w:numPr>
          <w:ilvl w:val="0"/>
          <w:numId w:val="14"/>
        </w:numPr>
        <w:jc w:val="left"/>
        <w:rPr>
          <w:rFonts w:cs="Arial"/>
          <w:bCs/>
          <w:iCs/>
          <w:sz w:val="20"/>
        </w:rPr>
      </w:pPr>
      <w:r w:rsidRPr="00562448">
        <w:rPr>
          <w:rFonts w:cs="Arial"/>
          <w:bCs/>
          <w:iCs/>
          <w:sz w:val="20"/>
        </w:rPr>
        <w:t xml:space="preserve">Asset Conversion process in Thailand raised to SMPG </w:t>
      </w:r>
      <w:r w:rsidR="00870A68">
        <w:rPr>
          <w:rFonts w:cs="Arial"/>
          <w:bCs/>
          <w:iCs/>
          <w:sz w:val="20"/>
        </w:rPr>
        <w:t>for advice</w:t>
      </w:r>
      <w:r w:rsidRPr="00562448">
        <w:rPr>
          <w:rFonts w:cs="Arial"/>
          <w:bCs/>
          <w:iCs/>
          <w:sz w:val="20"/>
        </w:rPr>
        <w:t xml:space="preserve"> </w:t>
      </w:r>
      <w:r w:rsidR="00870A68">
        <w:rPr>
          <w:rFonts w:cs="Arial"/>
          <w:bCs/>
          <w:iCs/>
          <w:sz w:val="20"/>
        </w:rPr>
        <w:t>(previous meeting)</w:t>
      </w:r>
      <w:r w:rsidRPr="00562448">
        <w:rPr>
          <w:rFonts w:cs="Arial"/>
          <w:bCs/>
          <w:iCs/>
          <w:sz w:val="20"/>
        </w:rPr>
        <w:t xml:space="preserve"> and confirmed impacting other markets such as Canada now being discussed within RMPG for potential market practice documentation (</w:t>
      </w:r>
      <w:proofErr w:type="spellStart"/>
      <w:r w:rsidRPr="00562448">
        <w:rPr>
          <w:rFonts w:cs="Arial"/>
          <w:bCs/>
          <w:iCs/>
          <w:sz w:val="20"/>
        </w:rPr>
        <w:t>cf</w:t>
      </w:r>
      <w:proofErr w:type="spellEnd"/>
      <w:r w:rsidRPr="00562448">
        <w:rPr>
          <w:rFonts w:cs="Arial"/>
          <w:bCs/>
          <w:iCs/>
          <w:sz w:val="20"/>
        </w:rPr>
        <w:t xml:space="preserve"> draft MP)</w:t>
      </w:r>
    </w:p>
    <w:p w:rsidR="00C86B44" w:rsidRPr="00562448" w:rsidRDefault="00C86B44" w:rsidP="007E5C2C">
      <w:pPr>
        <w:numPr>
          <w:ilvl w:val="0"/>
          <w:numId w:val="14"/>
        </w:numPr>
        <w:jc w:val="left"/>
        <w:rPr>
          <w:rFonts w:cs="Arial"/>
          <w:bCs/>
          <w:iCs/>
          <w:sz w:val="20"/>
        </w:rPr>
      </w:pPr>
      <w:r w:rsidRPr="00562448">
        <w:rPr>
          <w:rFonts w:cs="Arial"/>
          <w:bCs/>
          <w:iCs/>
          <w:sz w:val="20"/>
        </w:rPr>
        <w:t xml:space="preserve">CA specialized working group and a generalized group discussing </w:t>
      </w:r>
      <w:proofErr w:type="spellStart"/>
      <w:r w:rsidRPr="00562448">
        <w:rPr>
          <w:rFonts w:cs="Arial"/>
          <w:bCs/>
          <w:iCs/>
          <w:sz w:val="20"/>
        </w:rPr>
        <w:t>SnR</w:t>
      </w:r>
      <w:proofErr w:type="spellEnd"/>
      <w:r w:rsidRPr="00562448">
        <w:rPr>
          <w:rFonts w:cs="Arial"/>
          <w:bCs/>
          <w:iCs/>
          <w:sz w:val="20"/>
        </w:rPr>
        <w:t xml:space="preserve"> topics</w:t>
      </w:r>
    </w:p>
    <w:p w:rsidR="00C86B44" w:rsidRPr="00562448" w:rsidRDefault="00C86B44" w:rsidP="007E5C2C">
      <w:pPr>
        <w:numPr>
          <w:ilvl w:val="0"/>
          <w:numId w:val="14"/>
        </w:numPr>
        <w:jc w:val="left"/>
        <w:rPr>
          <w:rFonts w:cs="Arial"/>
          <w:bCs/>
          <w:iCs/>
          <w:sz w:val="20"/>
        </w:rPr>
      </w:pPr>
      <w:r w:rsidRPr="00562448">
        <w:rPr>
          <w:rFonts w:cs="Arial"/>
          <w:bCs/>
          <w:iCs/>
          <w:sz w:val="20"/>
        </w:rPr>
        <w:t xml:space="preserve">Recent accomplishments: </w:t>
      </w:r>
    </w:p>
    <w:p w:rsidR="00C86B44" w:rsidRPr="00562448" w:rsidRDefault="00C86B44" w:rsidP="007E5C2C">
      <w:pPr>
        <w:numPr>
          <w:ilvl w:val="1"/>
          <w:numId w:val="14"/>
        </w:numPr>
        <w:jc w:val="left"/>
        <w:rPr>
          <w:rFonts w:cs="Arial"/>
          <w:bCs/>
          <w:iCs/>
          <w:sz w:val="20"/>
        </w:rPr>
      </w:pPr>
      <w:r w:rsidRPr="00562448">
        <w:rPr>
          <w:rFonts w:cs="Arial"/>
          <w:bCs/>
          <w:iCs/>
          <w:sz w:val="20"/>
        </w:rPr>
        <w:t xml:space="preserve">SG – </w:t>
      </w:r>
      <w:proofErr w:type="spellStart"/>
      <w:r w:rsidRPr="00562448">
        <w:rPr>
          <w:rFonts w:cs="Arial"/>
          <w:bCs/>
          <w:iCs/>
          <w:sz w:val="20"/>
        </w:rPr>
        <w:t>SnR</w:t>
      </w:r>
      <w:proofErr w:type="spellEnd"/>
      <w:r w:rsidRPr="00562448">
        <w:rPr>
          <w:rFonts w:cs="Arial"/>
          <w:bCs/>
          <w:iCs/>
          <w:sz w:val="20"/>
        </w:rPr>
        <w:t xml:space="preserve"> and CA MPs published</w:t>
      </w:r>
    </w:p>
    <w:p w:rsidR="00C86B44" w:rsidRPr="00562448" w:rsidRDefault="00C86B44" w:rsidP="007E5C2C">
      <w:pPr>
        <w:numPr>
          <w:ilvl w:val="1"/>
          <w:numId w:val="14"/>
        </w:numPr>
        <w:jc w:val="left"/>
        <w:rPr>
          <w:rFonts w:cs="Arial"/>
          <w:bCs/>
          <w:iCs/>
          <w:sz w:val="20"/>
        </w:rPr>
      </w:pPr>
      <w:r w:rsidRPr="00562448">
        <w:rPr>
          <w:rFonts w:cs="Arial"/>
          <w:bCs/>
          <w:iCs/>
          <w:sz w:val="20"/>
        </w:rPr>
        <w:t xml:space="preserve">India – </w:t>
      </w:r>
      <w:proofErr w:type="spellStart"/>
      <w:r w:rsidRPr="00562448">
        <w:rPr>
          <w:rFonts w:cs="Arial"/>
          <w:bCs/>
          <w:iCs/>
          <w:sz w:val="20"/>
        </w:rPr>
        <w:t>SnR</w:t>
      </w:r>
      <w:proofErr w:type="spellEnd"/>
      <w:r w:rsidRPr="00562448">
        <w:rPr>
          <w:rFonts w:cs="Arial"/>
          <w:bCs/>
          <w:iCs/>
          <w:sz w:val="20"/>
        </w:rPr>
        <w:t xml:space="preserve"> and CA MPs published</w:t>
      </w:r>
    </w:p>
    <w:p w:rsidR="00C86B44" w:rsidRPr="00562448" w:rsidRDefault="00C86B44" w:rsidP="007E5C2C">
      <w:pPr>
        <w:numPr>
          <w:ilvl w:val="1"/>
          <w:numId w:val="14"/>
        </w:numPr>
        <w:jc w:val="left"/>
        <w:rPr>
          <w:rFonts w:cs="Arial"/>
          <w:bCs/>
          <w:iCs/>
          <w:sz w:val="20"/>
        </w:rPr>
      </w:pPr>
      <w:r w:rsidRPr="00562448">
        <w:rPr>
          <w:rFonts w:cs="Arial"/>
          <w:bCs/>
          <w:iCs/>
          <w:sz w:val="20"/>
        </w:rPr>
        <w:t>Korea – CA WG launched and selective CA events MPs published</w:t>
      </w:r>
    </w:p>
    <w:p w:rsidR="00C86B44" w:rsidRPr="00562448" w:rsidRDefault="00C86B44" w:rsidP="007E5C2C">
      <w:pPr>
        <w:numPr>
          <w:ilvl w:val="1"/>
          <w:numId w:val="14"/>
        </w:numPr>
        <w:jc w:val="left"/>
        <w:rPr>
          <w:rFonts w:cs="Arial"/>
          <w:bCs/>
          <w:iCs/>
          <w:sz w:val="20"/>
        </w:rPr>
      </w:pPr>
      <w:r w:rsidRPr="00562448">
        <w:rPr>
          <w:rFonts w:cs="Arial"/>
          <w:bCs/>
          <w:iCs/>
          <w:sz w:val="20"/>
        </w:rPr>
        <w:t xml:space="preserve">Malaysia – </w:t>
      </w:r>
      <w:proofErr w:type="spellStart"/>
      <w:r w:rsidRPr="00562448">
        <w:rPr>
          <w:rFonts w:cs="Arial"/>
          <w:bCs/>
          <w:iCs/>
          <w:sz w:val="20"/>
        </w:rPr>
        <w:t>SnR</w:t>
      </w:r>
      <w:proofErr w:type="spellEnd"/>
      <w:r w:rsidRPr="00562448">
        <w:rPr>
          <w:rFonts w:cs="Arial"/>
          <w:bCs/>
          <w:iCs/>
          <w:sz w:val="20"/>
        </w:rPr>
        <w:t xml:space="preserve"> MP published</w:t>
      </w:r>
    </w:p>
    <w:p w:rsidR="00C86B44" w:rsidRPr="00562448" w:rsidRDefault="00C86B44" w:rsidP="007E5C2C">
      <w:pPr>
        <w:numPr>
          <w:ilvl w:val="1"/>
          <w:numId w:val="14"/>
        </w:numPr>
        <w:jc w:val="left"/>
        <w:rPr>
          <w:rFonts w:cs="Arial"/>
          <w:bCs/>
          <w:iCs/>
          <w:sz w:val="20"/>
        </w:rPr>
      </w:pPr>
      <w:r w:rsidRPr="00562448">
        <w:rPr>
          <w:rFonts w:cs="Arial"/>
          <w:bCs/>
          <w:iCs/>
          <w:sz w:val="20"/>
        </w:rPr>
        <w:t>Vietnam – launc</w:t>
      </w:r>
      <w:r w:rsidR="00340CA2">
        <w:rPr>
          <w:rFonts w:cs="Arial"/>
          <w:bCs/>
          <w:iCs/>
          <w:sz w:val="20"/>
        </w:rPr>
        <w:t>h</w:t>
      </w:r>
      <w:r w:rsidRPr="00562448">
        <w:rPr>
          <w:rFonts w:cs="Arial"/>
          <w:bCs/>
          <w:iCs/>
          <w:sz w:val="20"/>
        </w:rPr>
        <w:t>ed in March, 2014</w:t>
      </w:r>
    </w:p>
    <w:p w:rsidR="00C86B44" w:rsidRPr="00562448" w:rsidRDefault="00C86B44" w:rsidP="007E5C2C">
      <w:pPr>
        <w:numPr>
          <w:ilvl w:val="1"/>
          <w:numId w:val="14"/>
        </w:numPr>
        <w:jc w:val="left"/>
        <w:rPr>
          <w:rFonts w:cs="Arial"/>
          <w:bCs/>
          <w:iCs/>
          <w:sz w:val="20"/>
        </w:rPr>
      </w:pPr>
      <w:r w:rsidRPr="00562448">
        <w:rPr>
          <w:rFonts w:cs="Arial"/>
          <w:bCs/>
          <w:iCs/>
          <w:sz w:val="20"/>
        </w:rPr>
        <w:t>Indonesia – target NMPG kick-off meeting planned end of 2015</w:t>
      </w:r>
      <w:r w:rsidR="00340CA2">
        <w:rPr>
          <w:rFonts w:cs="Arial"/>
          <w:bCs/>
          <w:iCs/>
          <w:sz w:val="20"/>
        </w:rPr>
        <w:t>/2016</w:t>
      </w:r>
    </w:p>
    <w:p w:rsidR="00C86B44" w:rsidRPr="00562448" w:rsidRDefault="00C86B44" w:rsidP="007E5C2C">
      <w:pPr>
        <w:numPr>
          <w:ilvl w:val="1"/>
          <w:numId w:val="14"/>
        </w:numPr>
        <w:jc w:val="left"/>
        <w:rPr>
          <w:rFonts w:cs="Arial"/>
          <w:bCs/>
          <w:iCs/>
          <w:sz w:val="20"/>
        </w:rPr>
      </w:pPr>
      <w:r w:rsidRPr="00562448">
        <w:rPr>
          <w:rFonts w:cs="Arial"/>
          <w:bCs/>
          <w:iCs/>
          <w:sz w:val="20"/>
        </w:rPr>
        <w:t xml:space="preserve">Thailand – </w:t>
      </w:r>
      <w:r w:rsidR="00340CA2">
        <w:rPr>
          <w:rFonts w:cs="Arial"/>
          <w:bCs/>
          <w:iCs/>
          <w:sz w:val="20"/>
        </w:rPr>
        <w:t xml:space="preserve">target to </w:t>
      </w:r>
      <w:r w:rsidRPr="00562448">
        <w:rPr>
          <w:rFonts w:cs="Arial"/>
          <w:bCs/>
          <w:iCs/>
          <w:sz w:val="20"/>
        </w:rPr>
        <w:t>launch NMPG in Q1, 2016</w:t>
      </w:r>
    </w:p>
    <w:p w:rsidR="00C86B44" w:rsidRPr="00562448" w:rsidRDefault="00C86B44" w:rsidP="007E5C2C">
      <w:pPr>
        <w:numPr>
          <w:ilvl w:val="1"/>
          <w:numId w:val="14"/>
        </w:numPr>
        <w:jc w:val="left"/>
        <w:rPr>
          <w:rFonts w:cs="Arial"/>
          <w:bCs/>
          <w:iCs/>
          <w:sz w:val="20"/>
        </w:rPr>
      </w:pPr>
      <w:r w:rsidRPr="00562448">
        <w:rPr>
          <w:rFonts w:cs="Arial"/>
          <w:bCs/>
          <w:iCs/>
          <w:sz w:val="20"/>
        </w:rPr>
        <w:t>Philippines – target to launch in 2016</w:t>
      </w:r>
    </w:p>
    <w:p w:rsidR="00C86B44" w:rsidRPr="00562448" w:rsidRDefault="00C86B44" w:rsidP="007E5C2C">
      <w:pPr>
        <w:numPr>
          <w:ilvl w:val="0"/>
          <w:numId w:val="14"/>
        </w:numPr>
        <w:jc w:val="left"/>
        <w:rPr>
          <w:rFonts w:cs="Arial"/>
          <w:bCs/>
          <w:iCs/>
          <w:sz w:val="20"/>
        </w:rPr>
      </w:pPr>
      <w:r w:rsidRPr="00562448">
        <w:rPr>
          <w:rFonts w:cs="Arial"/>
          <w:bCs/>
          <w:iCs/>
          <w:sz w:val="20"/>
        </w:rPr>
        <w:t xml:space="preserve">CSD and sub-custodians must both be involved in the local market to be considered an NMPG </w:t>
      </w:r>
      <w:r w:rsidR="00764B67" w:rsidRPr="00562448">
        <w:rPr>
          <w:rFonts w:cs="Arial"/>
          <w:bCs/>
          <w:iCs/>
          <w:sz w:val="20"/>
        </w:rPr>
        <w:t xml:space="preserve">– If only custodian -&gt; </w:t>
      </w:r>
      <w:r w:rsidRPr="00562448">
        <w:rPr>
          <w:rFonts w:cs="Arial"/>
          <w:bCs/>
          <w:iCs/>
          <w:sz w:val="20"/>
        </w:rPr>
        <w:t>custodian club</w:t>
      </w:r>
    </w:p>
    <w:p w:rsidR="00BE76DE" w:rsidRDefault="00BE76DE" w:rsidP="00562448">
      <w:pPr>
        <w:numPr>
          <w:ilvl w:val="0"/>
          <w:numId w:val="8"/>
        </w:numPr>
        <w:spacing w:before="240"/>
      </w:pPr>
      <w:r w:rsidRPr="00D4225A">
        <w:t>Block Chain in Post trade (</w:t>
      </w:r>
      <w:r w:rsidR="00562448" w:rsidRPr="00562448">
        <w:t xml:space="preserve">Sam Ahmed, </w:t>
      </w:r>
      <w:proofErr w:type="spellStart"/>
      <w:r w:rsidR="00562448" w:rsidRPr="00562448">
        <w:t>DerivAsia</w:t>
      </w:r>
      <w:proofErr w:type="spellEnd"/>
      <w:r w:rsidRPr="00D4225A">
        <w:t>)</w:t>
      </w:r>
      <w:r w:rsidR="00562448">
        <w:t xml:space="preserve"> -&gt; </w:t>
      </w:r>
      <w:proofErr w:type="spellStart"/>
      <w:r w:rsidR="00562448" w:rsidRPr="001F4245">
        <w:t>Cf</w:t>
      </w:r>
      <w:proofErr w:type="spellEnd"/>
      <w:r w:rsidR="00562448" w:rsidRPr="001F4245">
        <w:t xml:space="preserve">  </w:t>
      </w:r>
      <w:proofErr w:type="spellStart"/>
      <w:r w:rsidR="00562448" w:rsidRPr="001F4245">
        <w:t>ppt</w:t>
      </w:r>
      <w:proofErr w:type="spellEnd"/>
      <w:r w:rsidR="00562448" w:rsidRPr="001F4245">
        <w:t xml:space="preserve"> slides</w:t>
      </w:r>
    </w:p>
    <w:p w:rsidR="00562448" w:rsidRPr="00870A68" w:rsidRDefault="00562448" w:rsidP="007E5C2C">
      <w:pPr>
        <w:pStyle w:val="ListParagraph"/>
        <w:numPr>
          <w:ilvl w:val="0"/>
          <w:numId w:val="15"/>
        </w:numPr>
        <w:rPr>
          <w:rFonts w:ascii="Arial" w:hAnsi="Arial" w:cs="Arial"/>
          <w:bCs/>
          <w:iCs/>
          <w:sz w:val="20"/>
          <w:szCs w:val="20"/>
        </w:rPr>
      </w:pPr>
      <w:r w:rsidRPr="00870A68">
        <w:rPr>
          <w:rFonts w:ascii="Arial" w:hAnsi="Arial" w:cs="Arial"/>
          <w:bCs/>
          <w:iCs/>
          <w:sz w:val="20"/>
          <w:szCs w:val="20"/>
        </w:rPr>
        <w:t>Basic Principles of block chain</w:t>
      </w:r>
    </w:p>
    <w:p w:rsidR="00562448" w:rsidRPr="00562448" w:rsidRDefault="00562448" w:rsidP="00562448">
      <w:pPr>
        <w:pStyle w:val="ListParagraph"/>
        <w:ind w:left="1800"/>
        <w:rPr>
          <w:rFonts w:asciiTheme="majorHAnsi" w:hAnsiTheme="majorHAnsi" w:cstheme="majorHAnsi"/>
          <w:bCs/>
          <w:iCs/>
          <w:sz w:val="20"/>
          <w:szCs w:val="20"/>
        </w:rPr>
      </w:pPr>
    </w:p>
    <w:p w:rsidR="00562448" w:rsidRPr="00562448" w:rsidRDefault="00562448" w:rsidP="00562448">
      <w:pPr>
        <w:numPr>
          <w:ilvl w:val="1"/>
          <w:numId w:val="8"/>
        </w:numPr>
        <w:jc w:val="left"/>
        <w:rPr>
          <w:rFonts w:asciiTheme="majorHAnsi" w:hAnsiTheme="majorHAnsi" w:cstheme="majorHAnsi"/>
          <w:bCs/>
          <w:iCs/>
          <w:sz w:val="20"/>
        </w:rPr>
      </w:pPr>
      <w:r w:rsidRPr="00562448">
        <w:rPr>
          <w:rFonts w:asciiTheme="majorHAnsi" w:hAnsiTheme="majorHAnsi" w:cstheme="majorHAnsi"/>
          <w:bCs/>
          <w:iCs/>
          <w:sz w:val="20"/>
        </w:rPr>
        <w:t>Distributed Ledger can be centralized vs. decentralized – refer to flow diagram in presentation</w:t>
      </w:r>
    </w:p>
    <w:p w:rsidR="00562448" w:rsidRPr="00562448" w:rsidRDefault="00562448" w:rsidP="00562448">
      <w:pPr>
        <w:numPr>
          <w:ilvl w:val="1"/>
          <w:numId w:val="8"/>
        </w:numPr>
        <w:jc w:val="left"/>
        <w:rPr>
          <w:rFonts w:asciiTheme="majorHAnsi" w:hAnsiTheme="majorHAnsi" w:cstheme="majorHAnsi"/>
          <w:bCs/>
          <w:iCs/>
          <w:sz w:val="20"/>
        </w:rPr>
      </w:pPr>
      <w:r w:rsidRPr="00562448">
        <w:rPr>
          <w:rFonts w:asciiTheme="majorHAnsi" w:hAnsiTheme="majorHAnsi" w:cstheme="majorHAnsi"/>
          <w:bCs/>
          <w:iCs/>
          <w:sz w:val="20"/>
        </w:rPr>
        <w:t xml:space="preserve">Public vs. Private distribution as well as hybrid of public with AML and KYC checks </w:t>
      </w:r>
    </w:p>
    <w:p w:rsidR="00562448" w:rsidRPr="00562448" w:rsidRDefault="00562448" w:rsidP="00562448">
      <w:pPr>
        <w:numPr>
          <w:ilvl w:val="1"/>
          <w:numId w:val="8"/>
        </w:numPr>
        <w:jc w:val="left"/>
        <w:rPr>
          <w:rFonts w:asciiTheme="majorHAnsi" w:hAnsiTheme="majorHAnsi" w:cstheme="majorHAnsi"/>
          <w:bCs/>
          <w:iCs/>
          <w:sz w:val="20"/>
        </w:rPr>
      </w:pPr>
      <w:r w:rsidRPr="00562448">
        <w:rPr>
          <w:rFonts w:asciiTheme="majorHAnsi" w:hAnsiTheme="majorHAnsi" w:cstheme="majorHAnsi"/>
          <w:bCs/>
          <w:iCs/>
          <w:sz w:val="20"/>
        </w:rPr>
        <w:t>Mining vs. Minting proof of work</w:t>
      </w:r>
    </w:p>
    <w:p w:rsidR="00562448" w:rsidRPr="00562448" w:rsidRDefault="00562448" w:rsidP="00562448">
      <w:pPr>
        <w:numPr>
          <w:ilvl w:val="2"/>
          <w:numId w:val="8"/>
        </w:numPr>
        <w:jc w:val="left"/>
        <w:rPr>
          <w:rFonts w:asciiTheme="majorHAnsi" w:hAnsiTheme="majorHAnsi" w:cstheme="majorHAnsi"/>
          <w:bCs/>
          <w:iCs/>
          <w:sz w:val="20"/>
        </w:rPr>
      </w:pPr>
      <w:r w:rsidRPr="00562448">
        <w:rPr>
          <w:rFonts w:asciiTheme="majorHAnsi" w:hAnsiTheme="majorHAnsi" w:cstheme="majorHAnsi"/>
          <w:bCs/>
          <w:iCs/>
          <w:sz w:val="20"/>
        </w:rPr>
        <w:t>Mining is a validation process that provides incentives through new tokens by miners/validators known as nodes</w:t>
      </w:r>
    </w:p>
    <w:p w:rsidR="00562448" w:rsidRPr="00562448" w:rsidRDefault="00562448" w:rsidP="00562448">
      <w:pPr>
        <w:numPr>
          <w:ilvl w:val="3"/>
          <w:numId w:val="8"/>
        </w:numPr>
        <w:jc w:val="left"/>
        <w:rPr>
          <w:rFonts w:asciiTheme="majorHAnsi" w:hAnsiTheme="majorHAnsi" w:cstheme="majorHAnsi"/>
          <w:bCs/>
          <w:iCs/>
          <w:sz w:val="20"/>
        </w:rPr>
      </w:pPr>
      <w:r w:rsidRPr="00562448">
        <w:rPr>
          <w:rFonts w:asciiTheme="majorHAnsi" w:hAnsiTheme="majorHAnsi" w:cstheme="majorHAnsi"/>
          <w:bCs/>
          <w:iCs/>
          <w:sz w:val="20"/>
        </w:rPr>
        <w:t>Verify authenticity of blocks through digital fingerprints</w:t>
      </w:r>
    </w:p>
    <w:p w:rsidR="00562448" w:rsidRPr="00562448" w:rsidRDefault="00562448" w:rsidP="00562448">
      <w:pPr>
        <w:numPr>
          <w:ilvl w:val="3"/>
          <w:numId w:val="8"/>
        </w:numPr>
        <w:jc w:val="left"/>
        <w:rPr>
          <w:rFonts w:asciiTheme="majorHAnsi" w:hAnsiTheme="majorHAnsi" w:cstheme="majorHAnsi"/>
          <w:bCs/>
          <w:iCs/>
          <w:sz w:val="20"/>
        </w:rPr>
      </w:pPr>
      <w:r w:rsidRPr="00562448">
        <w:rPr>
          <w:rFonts w:asciiTheme="majorHAnsi" w:hAnsiTheme="majorHAnsi" w:cstheme="majorHAnsi"/>
          <w:bCs/>
          <w:iCs/>
          <w:sz w:val="20"/>
        </w:rPr>
        <w:t>51% of nodes through trial and error validation to accept block into chain and assign a digital fingerprint</w:t>
      </w:r>
    </w:p>
    <w:p w:rsidR="00562448" w:rsidRPr="00562448" w:rsidRDefault="00562448" w:rsidP="00562448">
      <w:pPr>
        <w:numPr>
          <w:ilvl w:val="3"/>
          <w:numId w:val="8"/>
        </w:numPr>
        <w:jc w:val="left"/>
        <w:rPr>
          <w:rFonts w:asciiTheme="majorHAnsi" w:hAnsiTheme="majorHAnsi" w:cstheme="majorHAnsi"/>
          <w:bCs/>
          <w:iCs/>
          <w:sz w:val="20"/>
        </w:rPr>
      </w:pPr>
      <w:r w:rsidRPr="00562448">
        <w:rPr>
          <w:rFonts w:asciiTheme="majorHAnsi" w:hAnsiTheme="majorHAnsi" w:cstheme="majorHAnsi"/>
          <w:bCs/>
          <w:iCs/>
          <w:sz w:val="20"/>
        </w:rPr>
        <w:t>Inverted pyramid pairing of trades within 30 min block by nodes/validators in sets of 2 assigning a number again and again until 51% of nodes agree on a single assigned number of all transactions within the block</w:t>
      </w:r>
    </w:p>
    <w:p w:rsidR="00562448" w:rsidRPr="00562448" w:rsidRDefault="00562448" w:rsidP="00562448">
      <w:pPr>
        <w:numPr>
          <w:ilvl w:val="2"/>
          <w:numId w:val="8"/>
        </w:numPr>
        <w:jc w:val="left"/>
        <w:rPr>
          <w:rFonts w:asciiTheme="majorHAnsi" w:hAnsiTheme="majorHAnsi" w:cstheme="majorHAnsi"/>
          <w:bCs/>
          <w:iCs/>
          <w:sz w:val="20"/>
        </w:rPr>
      </w:pPr>
      <w:r w:rsidRPr="00562448">
        <w:rPr>
          <w:rFonts w:asciiTheme="majorHAnsi" w:hAnsiTheme="majorHAnsi" w:cstheme="majorHAnsi"/>
          <w:bCs/>
          <w:iCs/>
          <w:sz w:val="20"/>
        </w:rPr>
        <w:t>Minting is more applicable to private chains where special credentials are required to join and the members are contractually bound – therefore mining is not required</w:t>
      </w:r>
    </w:p>
    <w:p w:rsidR="00562448" w:rsidRPr="00562448" w:rsidRDefault="00562448" w:rsidP="00562448">
      <w:pPr>
        <w:numPr>
          <w:ilvl w:val="1"/>
          <w:numId w:val="8"/>
        </w:numPr>
        <w:jc w:val="left"/>
        <w:rPr>
          <w:rFonts w:asciiTheme="majorHAnsi" w:hAnsiTheme="majorHAnsi" w:cstheme="majorHAnsi"/>
          <w:bCs/>
          <w:iCs/>
          <w:sz w:val="20"/>
        </w:rPr>
      </w:pPr>
      <w:r w:rsidRPr="00562448">
        <w:rPr>
          <w:rFonts w:asciiTheme="majorHAnsi" w:hAnsiTheme="majorHAnsi" w:cstheme="majorHAnsi"/>
          <w:bCs/>
          <w:iCs/>
          <w:sz w:val="20"/>
        </w:rPr>
        <w:t>Token vs. token-less block chain</w:t>
      </w:r>
    </w:p>
    <w:p w:rsidR="00562448" w:rsidRPr="00562448" w:rsidRDefault="00562448" w:rsidP="00562448">
      <w:pPr>
        <w:ind w:left="1636"/>
        <w:jc w:val="left"/>
        <w:rPr>
          <w:rFonts w:asciiTheme="majorHAnsi" w:hAnsiTheme="majorHAnsi" w:cstheme="majorHAnsi"/>
          <w:bCs/>
          <w:iCs/>
          <w:sz w:val="20"/>
        </w:rPr>
      </w:pPr>
    </w:p>
    <w:p w:rsidR="00562448" w:rsidRPr="00870A68" w:rsidRDefault="00562448" w:rsidP="007E5C2C">
      <w:pPr>
        <w:pStyle w:val="ListParagraph"/>
        <w:numPr>
          <w:ilvl w:val="0"/>
          <w:numId w:val="15"/>
        </w:numPr>
        <w:rPr>
          <w:rFonts w:ascii="Arial" w:hAnsi="Arial" w:cs="Arial"/>
          <w:bCs/>
          <w:iCs/>
          <w:sz w:val="20"/>
          <w:szCs w:val="20"/>
        </w:rPr>
      </w:pPr>
      <w:r w:rsidRPr="00870A68">
        <w:rPr>
          <w:rFonts w:ascii="Arial" w:hAnsi="Arial" w:cs="Arial"/>
          <w:bCs/>
          <w:iCs/>
          <w:sz w:val="20"/>
          <w:szCs w:val="20"/>
        </w:rPr>
        <w:t>Public block chain</w:t>
      </w:r>
    </w:p>
    <w:p w:rsidR="00562448" w:rsidRPr="00562448" w:rsidRDefault="00562448" w:rsidP="007E5C2C">
      <w:pPr>
        <w:numPr>
          <w:ilvl w:val="1"/>
          <w:numId w:val="31"/>
        </w:numPr>
        <w:jc w:val="left"/>
        <w:rPr>
          <w:rFonts w:asciiTheme="majorHAnsi" w:hAnsiTheme="majorHAnsi" w:cstheme="majorHAnsi"/>
          <w:bCs/>
          <w:iCs/>
          <w:sz w:val="20"/>
        </w:rPr>
      </w:pPr>
      <w:r w:rsidRPr="00562448">
        <w:rPr>
          <w:rFonts w:asciiTheme="majorHAnsi" w:hAnsiTheme="majorHAnsi" w:cstheme="majorHAnsi"/>
          <w:bCs/>
          <w:iCs/>
          <w:sz w:val="20"/>
        </w:rPr>
        <w:t>Advantage is fool proof of hacking due to decentralized/distributed architecture</w:t>
      </w:r>
    </w:p>
    <w:p w:rsidR="00562448" w:rsidRPr="00562448" w:rsidRDefault="00562448" w:rsidP="007E5C2C">
      <w:pPr>
        <w:numPr>
          <w:ilvl w:val="1"/>
          <w:numId w:val="31"/>
        </w:numPr>
        <w:jc w:val="left"/>
        <w:rPr>
          <w:rFonts w:asciiTheme="majorHAnsi" w:hAnsiTheme="majorHAnsi" w:cstheme="majorHAnsi"/>
          <w:bCs/>
          <w:iCs/>
          <w:sz w:val="20"/>
        </w:rPr>
      </w:pPr>
      <w:r w:rsidRPr="00562448">
        <w:rPr>
          <w:rFonts w:asciiTheme="majorHAnsi" w:hAnsiTheme="majorHAnsi" w:cstheme="majorHAnsi"/>
          <w:bCs/>
          <w:iCs/>
          <w:sz w:val="20"/>
        </w:rPr>
        <w:t xml:space="preserve">However, processing time is too slow (10 </w:t>
      </w:r>
      <w:proofErr w:type="spellStart"/>
      <w:r w:rsidRPr="00562448">
        <w:rPr>
          <w:rFonts w:asciiTheme="majorHAnsi" w:hAnsiTheme="majorHAnsi" w:cstheme="majorHAnsi"/>
          <w:bCs/>
          <w:iCs/>
          <w:sz w:val="20"/>
        </w:rPr>
        <w:t>mins</w:t>
      </w:r>
      <w:proofErr w:type="spellEnd"/>
      <w:r w:rsidRPr="00562448">
        <w:rPr>
          <w:rFonts w:asciiTheme="majorHAnsi" w:hAnsiTheme="majorHAnsi" w:cstheme="majorHAnsi"/>
          <w:bCs/>
          <w:iCs/>
          <w:sz w:val="20"/>
        </w:rPr>
        <w:t>. of processing time per block)</w:t>
      </w:r>
    </w:p>
    <w:p w:rsidR="00562448" w:rsidRPr="00562448" w:rsidRDefault="00562448" w:rsidP="00562448">
      <w:pPr>
        <w:rPr>
          <w:rFonts w:asciiTheme="majorHAnsi" w:hAnsiTheme="majorHAnsi" w:cstheme="majorHAnsi"/>
          <w:color w:val="7030A0"/>
          <w:sz w:val="20"/>
        </w:rPr>
      </w:pP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CSD, Central banks and exchanges continue to exist with distributed ledger decentralized structure – elimination of a CCP as a centralized counterparty is considered a target as intended purpose of CCP to reduce risk has centralized the risk in a too big to fail party</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Evolution of the bitcoin public/anonymous ledger block chain into a hybrid semi-private/private block chain structure with known contractually bound members/nodes validating transactions of institutional investors</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Validation and verification of authenticity through digital fingerprints of the block trade (20 trades vs. a total net amount) completed by the authorized nodes</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Inverted pyramid diagram of how the validation and pairing of transactions occurs until a single Id is validated by 51%</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Equal opposite trade will need to occur for any erroneous trade within the 30 min interval of the single block trade- Limitation of block chain process</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Custodians will need to no longer hold omnibus cash accounts and keep segregated cash accounts</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Santander has built a pilot with a client to create digital entries and not move the bonds or the cash</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lastRenderedPageBreak/>
        <w:t>Parallel phase where the cash and securities will need to continue to transfer between existing entities (custodians) to build trust on the block chain virtual transaction recording</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Migration to complete virtualization will eventually lead to elimination of need to transfer securities and cash and potential elimination of need for custodian bank</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Data storage on the block chain has scalability to support enormous amount of transaction history that needs maintained forever – however strain on nodes/validators to maintain audit of block chain history will need to be considered</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Assumed separate block chains will be created by product type – repo vs. a specific OTC product type (IRS swap)</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No regulation of creation of a block chains currently – expect to see 5 or 6 block chains in the future as regulation on creation of block chains continues</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Discussions on block chain agnostic approach where multiple product types could be used on same block chain also on-going</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Parties will have different transparency levels</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Regulators will have view into each legal entity party addressing KYC/AML requirements</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 xml:space="preserve">Participants will only have view into anonymous party identifier </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IPO world is the biggest disruptor target – 7% fee of an IPO for stock issuance</w:t>
      </w:r>
    </w:p>
    <w:p w:rsidR="00562448" w:rsidRPr="00562448" w:rsidRDefault="00562448" w:rsidP="007E5C2C">
      <w:pPr>
        <w:pStyle w:val="ListParagraph"/>
        <w:numPr>
          <w:ilvl w:val="2"/>
          <w:numId w:val="15"/>
        </w:numPr>
        <w:rPr>
          <w:rFonts w:asciiTheme="majorHAnsi" w:hAnsiTheme="majorHAnsi" w:cstheme="majorHAnsi"/>
          <w:bCs/>
          <w:iCs/>
          <w:sz w:val="20"/>
          <w:szCs w:val="20"/>
        </w:rPr>
      </w:pPr>
      <w:proofErr w:type="spellStart"/>
      <w:r w:rsidRPr="00562448">
        <w:rPr>
          <w:rFonts w:asciiTheme="majorHAnsi" w:hAnsiTheme="majorHAnsi" w:cstheme="majorHAnsi"/>
          <w:bCs/>
          <w:iCs/>
          <w:sz w:val="20"/>
          <w:szCs w:val="20"/>
        </w:rPr>
        <w:t>BaML</w:t>
      </w:r>
      <w:proofErr w:type="spellEnd"/>
      <w:r w:rsidRPr="00562448">
        <w:rPr>
          <w:rFonts w:asciiTheme="majorHAnsi" w:hAnsiTheme="majorHAnsi" w:cstheme="majorHAnsi"/>
          <w:bCs/>
          <w:iCs/>
          <w:sz w:val="20"/>
          <w:szCs w:val="20"/>
        </w:rPr>
        <w:t xml:space="preserve"> discussions on IPO process asked how balance sheet support to buy out the remainder shares of an IPO if undersold/over issuance would occur on block chain</w:t>
      </w:r>
    </w:p>
    <w:p w:rsidR="00562448" w:rsidRPr="00562448" w:rsidRDefault="00562448" w:rsidP="007E5C2C">
      <w:pPr>
        <w:pStyle w:val="ListParagraph"/>
        <w:numPr>
          <w:ilvl w:val="3"/>
          <w:numId w:val="15"/>
        </w:numPr>
        <w:rPr>
          <w:rFonts w:asciiTheme="majorHAnsi" w:hAnsiTheme="majorHAnsi" w:cstheme="majorHAnsi"/>
          <w:bCs/>
          <w:iCs/>
          <w:sz w:val="20"/>
          <w:szCs w:val="20"/>
        </w:rPr>
      </w:pPr>
      <w:r w:rsidRPr="00562448">
        <w:rPr>
          <w:rFonts w:asciiTheme="majorHAnsi" w:hAnsiTheme="majorHAnsi" w:cstheme="majorHAnsi"/>
          <w:bCs/>
          <w:iCs/>
          <w:sz w:val="20"/>
          <w:szCs w:val="20"/>
        </w:rPr>
        <w:t>Answer was block chain would not and that is a good thing since eliminating the over issuance of an IPO is not a good thing</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Micro-issuance of smaller companies bringing to issuance/IPO to allow individuals to invest through block chain</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 xml:space="preserve">Compare to the Investment funds process where registrant and transfer agent process only requires movement of cash without security delivery </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 xml:space="preserve">Block Chain repo trade flow diagram: </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Collateral Manager function cannot be done by the block chain</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Corp. Action on the repo cannot be done by the block chain either</w:t>
      </w:r>
    </w:p>
    <w:p w:rsidR="00562448" w:rsidRPr="00562448" w:rsidRDefault="00562448"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 xml:space="preserve">Prime Brokerage Model: </w:t>
      </w:r>
    </w:p>
    <w:p w:rsidR="00562448" w:rsidRPr="00562448" w:rsidRDefault="00562448" w:rsidP="007E5C2C">
      <w:pPr>
        <w:pStyle w:val="ListParagraph"/>
        <w:numPr>
          <w:ilvl w:val="2"/>
          <w:numId w:val="15"/>
        </w:numPr>
        <w:rPr>
          <w:rFonts w:asciiTheme="majorHAnsi" w:hAnsiTheme="majorHAnsi" w:cstheme="majorHAnsi"/>
          <w:bCs/>
          <w:iCs/>
          <w:sz w:val="20"/>
          <w:szCs w:val="20"/>
        </w:rPr>
      </w:pPr>
      <w:r w:rsidRPr="00562448">
        <w:rPr>
          <w:rFonts w:asciiTheme="majorHAnsi" w:hAnsiTheme="majorHAnsi" w:cstheme="majorHAnsi"/>
          <w:bCs/>
          <w:iCs/>
          <w:sz w:val="20"/>
          <w:szCs w:val="20"/>
        </w:rPr>
        <w:t xml:space="preserve">Basel leverage ratio causing back to back PB trading costly and larger Prime Brokers are reducing smaller clients </w:t>
      </w:r>
    </w:p>
    <w:p w:rsidR="00562448" w:rsidRPr="00562448" w:rsidRDefault="00562448" w:rsidP="007E5C2C">
      <w:pPr>
        <w:pStyle w:val="ListParagraph"/>
        <w:numPr>
          <w:ilvl w:val="2"/>
          <w:numId w:val="15"/>
        </w:numPr>
        <w:rPr>
          <w:rFonts w:asciiTheme="majorHAnsi" w:hAnsiTheme="majorHAnsi" w:cstheme="majorHAnsi"/>
          <w:bCs/>
          <w:iCs/>
          <w:sz w:val="20"/>
          <w:szCs w:val="20"/>
        </w:rPr>
      </w:pPr>
      <w:proofErr w:type="spellStart"/>
      <w:r w:rsidRPr="00562448">
        <w:rPr>
          <w:rFonts w:asciiTheme="majorHAnsi" w:hAnsiTheme="majorHAnsi" w:cstheme="majorHAnsi"/>
          <w:bCs/>
          <w:iCs/>
          <w:sz w:val="20"/>
          <w:szCs w:val="20"/>
        </w:rPr>
        <w:t>Mid sized</w:t>
      </w:r>
      <w:proofErr w:type="spellEnd"/>
      <w:r w:rsidRPr="00562448">
        <w:rPr>
          <w:rFonts w:asciiTheme="majorHAnsi" w:hAnsiTheme="majorHAnsi" w:cstheme="majorHAnsi"/>
          <w:bCs/>
          <w:iCs/>
          <w:sz w:val="20"/>
          <w:szCs w:val="20"/>
        </w:rPr>
        <w:t xml:space="preserve"> prime brokers (</w:t>
      </w:r>
      <w:proofErr w:type="spellStart"/>
      <w:r w:rsidRPr="00562448">
        <w:rPr>
          <w:rFonts w:asciiTheme="majorHAnsi" w:hAnsiTheme="majorHAnsi" w:cstheme="majorHAnsi"/>
          <w:bCs/>
          <w:iCs/>
          <w:sz w:val="20"/>
          <w:szCs w:val="20"/>
        </w:rPr>
        <w:t>saxo</w:t>
      </w:r>
      <w:proofErr w:type="spellEnd"/>
      <w:r w:rsidRPr="00562448">
        <w:rPr>
          <w:rFonts w:asciiTheme="majorHAnsi" w:hAnsiTheme="majorHAnsi" w:cstheme="majorHAnsi"/>
          <w:bCs/>
          <w:iCs/>
          <w:sz w:val="20"/>
          <w:szCs w:val="20"/>
        </w:rPr>
        <w:t xml:space="preserve"> bank) have an account with the prime broker can take on this buy side client segment (prime of primes)</w:t>
      </w:r>
    </w:p>
    <w:p w:rsidR="00562448" w:rsidRPr="00562448" w:rsidRDefault="00562448" w:rsidP="007E5C2C">
      <w:pPr>
        <w:pStyle w:val="ListParagraph"/>
        <w:numPr>
          <w:ilvl w:val="3"/>
          <w:numId w:val="15"/>
        </w:numPr>
        <w:rPr>
          <w:rFonts w:asciiTheme="majorHAnsi" w:hAnsiTheme="majorHAnsi" w:cstheme="majorHAnsi"/>
          <w:bCs/>
          <w:iCs/>
          <w:sz w:val="20"/>
          <w:szCs w:val="20"/>
        </w:rPr>
      </w:pPr>
      <w:r w:rsidRPr="00562448">
        <w:rPr>
          <w:rFonts w:asciiTheme="majorHAnsi" w:hAnsiTheme="majorHAnsi" w:cstheme="majorHAnsi"/>
          <w:bCs/>
          <w:iCs/>
          <w:sz w:val="20"/>
          <w:szCs w:val="20"/>
        </w:rPr>
        <w:t>Non-financial players (electronic brokers) that do not have Basel 3 limitations also interested</w:t>
      </w:r>
    </w:p>
    <w:p w:rsidR="00535007" w:rsidRPr="007B2523" w:rsidRDefault="00562448" w:rsidP="007E5C2C">
      <w:pPr>
        <w:pStyle w:val="ListParagraph"/>
        <w:numPr>
          <w:ilvl w:val="0"/>
          <w:numId w:val="15"/>
        </w:numPr>
        <w:rPr>
          <w:rFonts w:asciiTheme="majorHAnsi" w:hAnsiTheme="majorHAnsi" w:cstheme="majorHAnsi"/>
          <w:bCs/>
          <w:iCs/>
          <w:sz w:val="20"/>
          <w:szCs w:val="20"/>
        </w:rPr>
      </w:pPr>
      <w:r w:rsidRPr="007B2523">
        <w:rPr>
          <w:rFonts w:asciiTheme="majorHAnsi" w:hAnsiTheme="majorHAnsi" w:cstheme="majorHAnsi"/>
          <w:bCs/>
          <w:iCs/>
          <w:sz w:val="20"/>
          <w:szCs w:val="20"/>
        </w:rPr>
        <w:t>ISDA OTC confirms master agreements, repos, syndicated loans, IPO issuance</w:t>
      </w:r>
    </w:p>
    <w:p w:rsidR="00841973" w:rsidRPr="00841973" w:rsidRDefault="00841973" w:rsidP="00841973">
      <w:pPr>
        <w:spacing w:before="240"/>
        <w:rPr>
          <w:b/>
          <w:sz w:val="32"/>
          <w:szCs w:val="32"/>
        </w:rPr>
      </w:pPr>
      <w:r w:rsidRPr="00841973">
        <w:rPr>
          <w:b/>
          <w:sz w:val="32"/>
          <w:szCs w:val="32"/>
        </w:rPr>
        <w:tab/>
      </w:r>
      <w:r w:rsidRPr="007B2523">
        <w:rPr>
          <w:b/>
          <w:sz w:val="32"/>
          <w:szCs w:val="32"/>
        </w:rPr>
        <w:t>Thursday – 8th October</w:t>
      </w:r>
    </w:p>
    <w:p w:rsidR="00B001B1" w:rsidRDefault="00B001B1" w:rsidP="007E5C2C">
      <w:pPr>
        <w:numPr>
          <w:ilvl w:val="0"/>
          <w:numId w:val="34"/>
        </w:numPr>
        <w:spacing w:before="240"/>
      </w:pPr>
      <w:r>
        <w:t xml:space="preserve">Singapore NMPG – Update (Daisy) </w:t>
      </w:r>
      <w:proofErr w:type="spellStart"/>
      <w:r w:rsidRPr="001F4245">
        <w:t>Cf</w:t>
      </w:r>
      <w:proofErr w:type="spellEnd"/>
      <w:r w:rsidRPr="001F4245">
        <w:t xml:space="preserve">  </w:t>
      </w:r>
      <w:proofErr w:type="spellStart"/>
      <w:r w:rsidRPr="001F4245">
        <w:t>ppt</w:t>
      </w:r>
      <w:proofErr w:type="spellEnd"/>
      <w:r w:rsidRPr="001F4245">
        <w:t xml:space="preserve"> slides</w:t>
      </w:r>
    </w:p>
    <w:p w:rsidR="00B001B1" w:rsidRDefault="00B001B1" w:rsidP="00B001B1">
      <w:pPr>
        <w:spacing w:before="240"/>
        <w:ind w:left="1080"/>
      </w:pPr>
    </w:p>
    <w:p w:rsidR="00B001B1" w:rsidRDefault="00B001B1"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Currently chaired by Tony Lewis (HSBC) and Co-Chaired by SCB</w:t>
      </w:r>
    </w:p>
    <w:p w:rsidR="00B001B1" w:rsidRPr="00562448" w:rsidRDefault="00B001B1" w:rsidP="00B001B1">
      <w:pPr>
        <w:pStyle w:val="ListParagraph"/>
        <w:rPr>
          <w:rFonts w:asciiTheme="majorHAnsi" w:hAnsiTheme="majorHAnsi" w:cstheme="majorHAnsi"/>
          <w:bCs/>
          <w:iCs/>
          <w:sz w:val="20"/>
          <w:szCs w:val="20"/>
        </w:rPr>
      </w:pPr>
    </w:p>
    <w:p w:rsidR="00B001B1" w:rsidRPr="00562448" w:rsidRDefault="00B001B1" w:rsidP="007E5C2C">
      <w:pPr>
        <w:numPr>
          <w:ilvl w:val="0"/>
          <w:numId w:val="16"/>
        </w:numPr>
        <w:jc w:val="left"/>
        <w:rPr>
          <w:rFonts w:asciiTheme="majorHAnsi" w:hAnsiTheme="majorHAnsi" w:cstheme="majorHAnsi"/>
          <w:bCs/>
          <w:iCs/>
          <w:sz w:val="20"/>
        </w:rPr>
      </w:pPr>
      <w:r w:rsidRPr="00562448">
        <w:rPr>
          <w:rFonts w:asciiTheme="majorHAnsi" w:hAnsiTheme="majorHAnsi" w:cstheme="majorHAnsi"/>
          <w:bCs/>
          <w:iCs/>
          <w:sz w:val="20"/>
        </w:rPr>
        <w:t>NMPG active participants - BNP, Citi, DBS, Deutsche Bank, HSBC, OCBC, SCB, UOB – relevant operational staff at the sub-custodian local market level</w:t>
      </w:r>
    </w:p>
    <w:p w:rsidR="00B001B1" w:rsidRPr="00562448" w:rsidRDefault="00B001B1" w:rsidP="007E5C2C">
      <w:pPr>
        <w:pStyle w:val="ListParagraph"/>
        <w:numPr>
          <w:ilvl w:val="0"/>
          <w:numId w:val="16"/>
        </w:numPr>
        <w:spacing w:before="240"/>
        <w:jc w:val="both"/>
        <w:rPr>
          <w:rFonts w:asciiTheme="majorHAnsi" w:hAnsiTheme="majorHAnsi" w:cstheme="majorHAnsi"/>
          <w:sz w:val="20"/>
          <w:szCs w:val="20"/>
        </w:rPr>
      </w:pPr>
      <w:r w:rsidRPr="00562448">
        <w:rPr>
          <w:rFonts w:asciiTheme="majorHAnsi" w:hAnsiTheme="majorHAnsi" w:cstheme="majorHAnsi"/>
          <w:sz w:val="20"/>
          <w:szCs w:val="20"/>
        </w:rPr>
        <w:t xml:space="preserve">Currently 3 sub-committees: Transactional (further split into </w:t>
      </w:r>
      <w:proofErr w:type="spellStart"/>
      <w:r w:rsidRPr="00562448">
        <w:rPr>
          <w:rFonts w:asciiTheme="majorHAnsi" w:hAnsiTheme="majorHAnsi" w:cstheme="majorHAnsi"/>
          <w:sz w:val="20"/>
          <w:szCs w:val="20"/>
        </w:rPr>
        <w:t>SnR</w:t>
      </w:r>
      <w:proofErr w:type="spellEnd"/>
      <w:r w:rsidRPr="00562448">
        <w:rPr>
          <w:rFonts w:asciiTheme="majorHAnsi" w:hAnsiTheme="majorHAnsi" w:cstheme="majorHAnsi"/>
          <w:sz w:val="20"/>
          <w:szCs w:val="20"/>
        </w:rPr>
        <w:t xml:space="preserve"> and CA), Advocacy and Communication.</w:t>
      </w:r>
    </w:p>
    <w:p w:rsidR="00B001B1" w:rsidRPr="00562448" w:rsidRDefault="00B001B1" w:rsidP="007E5C2C">
      <w:pPr>
        <w:pStyle w:val="ListParagraph"/>
        <w:numPr>
          <w:ilvl w:val="0"/>
          <w:numId w:val="16"/>
        </w:numPr>
        <w:spacing w:before="240"/>
        <w:jc w:val="both"/>
        <w:rPr>
          <w:rFonts w:asciiTheme="majorHAnsi" w:hAnsiTheme="majorHAnsi" w:cstheme="majorHAnsi"/>
          <w:sz w:val="20"/>
          <w:szCs w:val="20"/>
        </w:rPr>
      </w:pPr>
      <w:r w:rsidRPr="00562448">
        <w:rPr>
          <w:rFonts w:asciiTheme="majorHAnsi" w:hAnsiTheme="majorHAnsi" w:cstheme="majorHAnsi"/>
          <w:sz w:val="20"/>
          <w:szCs w:val="20"/>
        </w:rPr>
        <w:t>Jason added the need to include local asset managers to ensure quicker communication about market news</w:t>
      </w:r>
    </w:p>
    <w:p w:rsidR="00B001B1" w:rsidRPr="00562448" w:rsidRDefault="00B001B1" w:rsidP="007E5C2C">
      <w:pPr>
        <w:pStyle w:val="ListParagraph"/>
        <w:numPr>
          <w:ilvl w:val="0"/>
          <w:numId w:val="16"/>
        </w:numPr>
        <w:spacing w:before="240"/>
        <w:jc w:val="both"/>
        <w:rPr>
          <w:rFonts w:asciiTheme="majorHAnsi" w:hAnsiTheme="majorHAnsi" w:cstheme="majorHAnsi"/>
          <w:sz w:val="20"/>
          <w:szCs w:val="20"/>
        </w:rPr>
      </w:pPr>
      <w:r w:rsidRPr="00562448">
        <w:rPr>
          <w:rFonts w:asciiTheme="majorHAnsi" w:hAnsiTheme="majorHAnsi" w:cstheme="majorHAnsi"/>
          <w:sz w:val="20"/>
          <w:szCs w:val="20"/>
        </w:rPr>
        <w:t xml:space="preserve">The Transactional sub-committee works mainly on domestic issues. 1 big challenge is the local SGX fee changes. </w:t>
      </w:r>
      <w:r>
        <w:rPr>
          <w:rFonts w:asciiTheme="majorHAnsi" w:hAnsiTheme="majorHAnsi" w:cstheme="majorHAnsi"/>
          <w:sz w:val="20"/>
          <w:szCs w:val="20"/>
        </w:rPr>
        <w:t>Lots of operational issues are discussed with that group.</w:t>
      </w:r>
      <w:r w:rsidRPr="007A159D">
        <w:rPr>
          <w:rFonts w:asciiTheme="majorHAnsi" w:hAnsiTheme="majorHAnsi" w:cstheme="majorHAnsi"/>
          <w:sz w:val="20"/>
          <w:szCs w:val="20"/>
        </w:rPr>
        <w:t xml:space="preserve"> </w:t>
      </w:r>
      <w:r w:rsidR="00A37B4C">
        <w:rPr>
          <w:rFonts w:asciiTheme="majorHAnsi" w:hAnsiTheme="majorHAnsi" w:cstheme="majorHAnsi"/>
          <w:sz w:val="20"/>
          <w:szCs w:val="20"/>
        </w:rPr>
        <w:t>Another example is the</w:t>
      </w:r>
      <w:r>
        <w:rPr>
          <w:rFonts w:asciiTheme="majorHAnsi" w:hAnsiTheme="majorHAnsi" w:cstheme="majorHAnsi"/>
          <w:sz w:val="20"/>
          <w:szCs w:val="20"/>
        </w:rPr>
        <w:t xml:space="preserve"> </w:t>
      </w:r>
      <w:r w:rsidR="00A37B4C">
        <w:rPr>
          <w:rFonts w:asciiTheme="majorHAnsi" w:hAnsiTheme="majorHAnsi" w:cstheme="majorHAnsi"/>
          <w:sz w:val="20"/>
          <w:szCs w:val="20"/>
        </w:rPr>
        <w:t>“</w:t>
      </w:r>
      <w:r w:rsidRPr="007A159D">
        <w:rPr>
          <w:rFonts w:asciiTheme="majorHAnsi" w:hAnsiTheme="majorHAnsi" w:cstheme="majorHAnsi"/>
          <w:sz w:val="20"/>
          <w:szCs w:val="20"/>
        </w:rPr>
        <w:t xml:space="preserve">Beneficial </w:t>
      </w:r>
      <w:r w:rsidRPr="007A159D">
        <w:rPr>
          <w:rFonts w:asciiTheme="majorHAnsi" w:hAnsiTheme="majorHAnsi" w:cstheme="majorHAnsi"/>
          <w:sz w:val="20"/>
          <w:szCs w:val="20"/>
        </w:rPr>
        <w:lastRenderedPageBreak/>
        <w:t>ownership details</w:t>
      </w:r>
      <w:r w:rsidR="00A37B4C">
        <w:rPr>
          <w:rFonts w:asciiTheme="majorHAnsi" w:hAnsiTheme="majorHAnsi" w:cstheme="majorHAnsi"/>
          <w:sz w:val="20"/>
          <w:szCs w:val="20"/>
        </w:rPr>
        <w:t>”</w:t>
      </w:r>
      <w:r w:rsidRPr="007A159D">
        <w:rPr>
          <w:rFonts w:asciiTheme="majorHAnsi" w:hAnsiTheme="majorHAnsi" w:cstheme="majorHAnsi"/>
          <w:sz w:val="20"/>
          <w:szCs w:val="20"/>
        </w:rPr>
        <w:t xml:space="preserve"> matching for NCBO trades</w:t>
      </w:r>
      <w:r w:rsidRPr="00562448">
        <w:rPr>
          <w:rFonts w:asciiTheme="majorHAnsi" w:hAnsiTheme="majorHAnsi" w:cstheme="majorHAnsi"/>
          <w:sz w:val="20"/>
          <w:szCs w:val="20"/>
        </w:rPr>
        <w:t>. Jason suggested that the COEX code word would be a better choice.</w:t>
      </w:r>
    </w:p>
    <w:p w:rsidR="00B001B1" w:rsidRPr="00562448" w:rsidRDefault="00B001B1" w:rsidP="007E5C2C">
      <w:pPr>
        <w:pStyle w:val="ListParagraph"/>
        <w:numPr>
          <w:ilvl w:val="0"/>
          <w:numId w:val="16"/>
        </w:numPr>
        <w:spacing w:before="240"/>
        <w:jc w:val="both"/>
        <w:rPr>
          <w:rFonts w:asciiTheme="majorHAnsi" w:hAnsiTheme="majorHAnsi" w:cstheme="majorHAnsi"/>
          <w:sz w:val="20"/>
          <w:szCs w:val="20"/>
        </w:rPr>
      </w:pPr>
      <w:r w:rsidRPr="00562448">
        <w:rPr>
          <w:rFonts w:asciiTheme="majorHAnsi" w:hAnsiTheme="majorHAnsi" w:cstheme="majorHAnsi"/>
          <w:sz w:val="20"/>
          <w:szCs w:val="20"/>
        </w:rPr>
        <w:t xml:space="preserve">Paul shared some information clarified by SGX including the transitional grace period </w:t>
      </w:r>
      <w:r>
        <w:rPr>
          <w:rFonts w:asciiTheme="majorHAnsi" w:hAnsiTheme="majorHAnsi" w:cstheme="majorHAnsi"/>
          <w:sz w:val="20"/>
          <w:szCs w:val="20"/>
        </w:rPr>
        <w:t xml:space="preserve">(till July 2016) </w:t>
      </w:r>
      <w:r w:rsidRPr="00562448">
        <w:rPr>
          <w:rFonts w:asciiTheme="majorHAnsi" w:hAnsiTheme="majorHAnsi" w:cstheme="majorHAnsi"/>
          <w:sz w:val="20"/>
          <w:szCs w:val="20"/>
        </w:rPr>
        <w:t>provided by SGX when they will n</w:t>
      </w:r>
      <w:r>
        <w:rPr>
          <w:rFonts w:asciiTheme="majorHAnsi" w:hAnsiTheme="majorHAnsi" w:cstheme="majorHAnsi"/>
          <w:sz w:val="20"/>
          <w:szCs w:val="20"/>
        </w:rPr>
        <w:t>ot fail trades due to non-match.</w:t>
      </w:r>
    </w:p>
    <w:p w:rsidR="00B001B1" w:rsidRPr="00562448" w:rsidRDefault="00B001B1" w:rsidP="007E5C2C">
      <w:pPr>
        <w:pStyle w:val="ListParagraph"/>
        <w:numPr>
          <w:ilvl w:val="0"/>
          <w:numId w:val="16"/>
        </w:numPr>
        <w:spacing w:before="240"/>
        <w:jc w:val="both"/>
        <w:rPr>
          <w:rFonts w:asciiTheme="majorHAnsi" w:hAnsiTheme="majorHAnsi" w:cstheme="majorHAnsi"/>
          <w:sz w:val="20"/>
          <w:szCs w:val="20"/>
        </w:rPr>
      </w:pPr>
      <w:r w:rsidRPr="00562448">
        <w:rPr>
          <w:rFonts w:asciiTheme="majorHAnsi" w:hAnsiTheme="majorHAnsi" w:cstheme="majorHAnsi"/>
          <w:sz w:val="20"/>
          <w:szCs w:val="20"/>
        </w:rPr>
        <w:t xml:space="preserve">Jason emphasised that there should be better communication about market changes by the SMPG </w:t>
      </w:r>
      <w:proofErr w:type="spellStart"/>
      <w:r w:rsidRPr="00562448">
        <w:rPr>
          <w:rFonts w:asciiTheme="majorHAnsi" w:hAnsiTheme="majorHAnsi" w:cstheme="majorHAnsi"/>
          <w:sz w:val="20"/>
          <w:szCs w:val="20"/>
        </w:rPr>
        <w:t>ie</w:t>
      </w:r>
      <w:proofErr w:type="spellEnd"/>
      <w:r w:rsidRPr="00562448">
        <w:rPr>
          <w:rFonts w:asciiTheme="majorHAnsi" w:hAnsiTheme="majorHAnsi" w:cstheme="majorHAnsi"/>
          <w:sz w:val="20"/>
          <w:szCs w:val="20"/>
        </w:rPr>
        <w:t xml:space="preserve"> publication by NMPGs to SMPG. Evelyne added that such information should be a ‘</w:t>
      </w:r>
      <w:r w:rsidRPr="00A37B4C">
        <w:rPr>
          <w:rFonts w:asciiTheme="majorHAnsi" w:hAnsiTheme="majorHAnsi" w:cstheme="majorHAnsi"/>
          <w:sz w:val="20"/>
          <w:szCs w:val="20"/>
          <w:u w:val="single"/>
        </w:rPr>
        <w:t>push’</w:t>
      </w:r>
      <w:r w:rsidRPr="00562448">
        <w:rPr>
          <w:rFonts w:asciiTheme="majorHAnsi" w:hAnsiTheme="majorHAnsi" w:cstheme="majorHAnsi"/>
          <w:sz w:val="20"/>
          <w:szCs w:val="20"/>
        </w:rPr>
        <w:t xml:space="preserve"> by NMPGs instead of SMPG ‘</w:t>
      </w:r>
      <w:r w:rsidRPr="00A37B4C">
        <w:rPr>
          <w:rFonts w:asciiTheme="majorHAnsi" w:hAnsiTheme="majorHAnsi" w:cstheme="majorHAnsi"/>
          <w:sz w:val="20"/>
          <w:szCs w:val="20"/>
          <w:u w:val="single"/>
        </w:rPr>
        <w:t>pulling’</w:t>
      </w:r>
      <w:r w:rsidRPr="00562448">
        <w:rPr>
          <w:rFonts w:asciiTheme="majorHAnsi" w:hAnsiTheme="majorHAnsi" w:cstheme="majorHAnsi"/>
          <w:sz w:val="20"/>
          <w:szCs w:val="20"/>
        </w:rPr>
        <w:t xml:space="preserve"> such information from NMPGs.</w:t>
      </w:r>
    </w:p>
    <w:p w:rsidR="00B001B1" w:rsidRPr="007A159D" w:rsidRDefault="00B001B1" w:rsidP="007E5C2C">
      <w:pPr>
        <w:pStyle w:val="ListParagraph"/>
        <w:numPr>
          <w:ilvl w:val="0"/>
          <w:numId w:val="16"/>
        </w:numPr>
        <w:spacing w:before="240"/>
        <w:jc w:val="both"/>
        <w:rPr>
          <w:rFonts w:asciiTheme="majorHAnsi" w:hAnsiTheme="majorHAnsi" w:cstheme="majorHAnsi"/>
          <w:sz w:val="20"/>
          <w:szCs w:val="20"/>
        </w:rPr>
      </w:pPr>
      <w:r>
        <w:rPr>
          <w:rFonts w:asciiTheme="majorHAnsi" w:hAnsiTheme="majorHAnsi" w:cstheme="majorHAnsi"/>
          <w:sz w:val="20"/>
          <w:szCs w:val="20"/>
        </w:rPr>
        <w:t>Discussions about i</w:t>
      </w:r>
      <w:r w:rsidRPr="007A159D">
        <w:rPr>
          <w:rFonts w:asciiTheme="majorHAnsi" w:hAnsiTheme="majorHAnsi" w:cstheme="majorHAnsi"/>
          <w:sz w:val="20"/>
          <w:szCs w:val="20"/>
        </w:rPr>
        <w:t xml:space="preserve">mpacts of markets that require more detailed transaction type indicator </w:t>
      </w:r>
    </w:p>
    <w:p w:rsidR="00B001B1" w:rsidRPr="007A159D" w:rsidRDefault="00B001B1" w:rsidP="007E5C2C">
      <w:pPr>
        <w:pStyle w:val="ListParagraph"/>
        <w:numPr>
          <w:ilvl w:val="1"/>
          <w:numId w:val="16"/>
        </w:numPr>
        <w:spacing w:before="240"/>
        <w:jc w:val="both"/>
        <w:rPr>
          <w:rFonts w:asciiTheme="majorHAnsi" w:hAnsiTheme="majorHAnsi" w:cstheme="majorHAnsi"/>
          <w:sz w:val="20"/>
          <w:szCs w:val="20"/>
        </w:rPr>
      </w:pPr>
      <w:r w:rsidRPr="007A159D">
        <w:rPr>
          <w:rFonts w:asciiTheme="majorHAnsi" w:hAnsiTheme="majorHAnsi" w:cstheme="majorHAnsi"/>
          <w:sz w:val="20"/>
          <w:szCs w:val="20"/>
        </w:rPr>
        <w:t xml:space="preserve">Europe fail penalty requirement (CSDR) forcing </w:t>
      </w:r>
      <w:proofErr w:type="spellStart"/>
      <w:r w:rsidRPr="007A159D">
        <w:rPr>
          <w:rFonts w:asciiTheme="majorHAnsi" w:hAnsiTheme="majorHAnsi" w:cstheme="majorHAnsi"/>
          <w:sz w:val="20"/>
          <w:szCs w:val="20"/>
        </w:rPr>
        <w:t>Inv</w:t>
      </w:r>
      <w:proofErr w:type="spellEnd"/>
      <w:r w:rsidRPr="007A159D">
        <w:rPr>
          <w:rFonts w:asciiTheme="majorHAnsi" w:hAnsiTheme="majorHAnsi" w:cstheme="majorHAnsi"/>
          <w:sz w:val="20"/>
          <w:szCs w:val="20"/>
        </w:rPr>
        <w:t xml:space="preserve"> </w:t>
      </w:r>
      <w:proofErr w:type="spellStart"/>
      <w:r w:rsidRPr="007A159D">
        <w:rPr>
          <w:rFonts w:asciiTheme="majorHAnsi" w:hAnsiTheme="majorHAnsi" w:cstheme="majorHAnsi"/>
          <w:sz w:val="20"/>
          <w:szCs w:val="20"/>
        </w:rPr>
        <w:t>Mgr</w:t>
      </w:r>
      <w:proofErr w:type="spellEnd"/>
      <w:r w:rsidRPr="007A159D">
        <w:rPr>
          <w:rFonts w:asciiTheme="majorHAnsi" w:hAnsiTheme="majorHAnsi" w:cstheme="majorHAnsi"/>
          <w:sz w:val="20"/>
          <w:szCs w:val="20"/>
        </w:rPr>
        <w:t xml:space="preserve"> and global custodian to being including transfer type</w:t>
      </w:r>
    </w:p>
    <w:p w:rsidR="00B001B1" w:rsidRPr="007A159D" w:rsidRDefault="00B001B1" w:rsidP="007E5C2C">
      <w:pPr>
        <w:pStyle w:val="ListParagraph"/>
        <w:numPr>
          <w:ilvl w:val="1"/>
          <w:numId w:val="16"/>
        </w:numPr>
        <w:spacing w:before="240"/>
        <w:jc w:val="both"/>
        <w:rPr>
          <w:rFonts w:asciiTheme="majorHAnsi" w:hAnsiTheme="majorHAnsi" w:cstheme="majorHAnsi"/>
          <w:sz w:val="20"/>
          <w:szCs w:val="20"/>
        </w:rPr>
      </w:pPr>
      <w:r w:rsidRPr="007A159D">
        <w:rPr>
          <w:rFonts w:asciiTheme="majorHAnsi" w:hAnsiTheme="majorHAnsi" w:cstheme="majorHAnsi"/>
          <w:sz w:val="20"/>
          <w:szCs w:val="20"/>
        </w:rPr>
        <w:t>UK has required transfer type for a long time related to stamp duty</w:t>
      </w:r>
    </w:p>
    <w:p w:rsidR="00B001B1" w:rsidRPr="00CB5B6B" w:rsidRDefault="00B001B1" w:rsidP="007E5C2C">
      <w:pPr>
        <w:numPr>
          <w:ilvl w:val="0"/>
          <w:numId w:val="34"/>
        </w:numPr>
        <w:spacing w:before="240"/>
      </w:pPr>
      <w:r w:rsidRPr="00CB5B6B">
        <w:t>Updates on AU NMPG (Suresh)</w:t>
      </w:r>
      <w:r>
        <w:t xml:space="preserve"> </w:t>
      </w:r>
      <w:proofErr w:type="spellStart"/>
      <w:r w:rsidRPr="001F4245">
        <w:t>Cf</w:t>
      </w:r>
      <w:proofErr w:type="spellEnd"/>
      <w:r w:rsidRPr="001F4245">
        <w:t xml:space="preserve">  </w:t>
      </w:r>
      <w:proofErr w:type="spellStart"/>
      <w:r w:rsidRPr="001F4245">
        <w:t>ppt</w:t>
      </w:r>
      <w:proofErr w:type="spellEnd"/>
      <w:r w:rsidRPr="001F4245">
        <w:t xml:space="preserve"> slides</w:t>
      </w:r>
    </w:p>
    <w:p w:rsidR="00B001B1" w:rsidRDefault="00B001B1" w:rsidP="00B001B1">
      <w:pPr>
        <w:pStyle w:val="ListParagraph"/>
        <w:ind w:left="1800"/>
        <w:rPr>
          <w:rFonts w:cs="Arial"/>
          <w:bCs/>
          <w:iCs/>
          <w:sz w:val="18"/>
          <w:szCs w:val="18"/>
        </w:rPr>
      </w:pPr>
    </w:p>
    <w:p w:rsidR="00B001B1" w:rsidRPr="007A159D" w:rsidRDefault="00B001B1" w:rsidP="007E5C2C">
      <w:pPr>
        <w:pStyle w:val="ListParagraph"/>
        <w:numPr>
          <w:ilvl w:val="0"/>
          <w:numId w:val="32"/>
        </w:numPr>
        <w:rPr>
          <w:rFonts w:ascii="Arial" w:hAnsi="Arial" w:cs="Arial"/>
          <w:sz w:val="20"/>
        </w:rPr>
      </w:pPr>
      <w:proofErr w:type="spellStart"/>
      <w:r w:rsidRPr="007A159D">
        <w:rPr>
          <w:rFonts w:ascii="Arial" w:hAnsi="Arial" w:cs="Arial"/>
          <w:sz w:val="20"/>
        </w:rPr>
        <w:t>Austraclear</w:t>
      </w:r>
      <w:proofErr w:type="spellEnd"/>
      <w:r w:rsidRPr="007A159D">
        <w:rPr>
          <w:rFonts w:ascii="Arial" w:hAnsi="Arial" w:cs="Arial"/>
          <w:sz w:val="20"/>
        </w:rPr>
        <w:t xml:space="preserve"> is owned by ASX, but governed separately by National bank of Australia (NAB)</w:t>
      </w:r>
    </w:p>
    <w:p w:rsidR="00B001B1" w:rsidRPr="00CB5B6B" w:rsidRDefault="00B001B1" w:rsidP="007E5C2C">
      <w:pPr>
        <w:pStyle w:val="ListParagraph"/>
        <w:numPr>
          <w:ilvl w:val="0"/>
          <w:numId w:val="17"/>
        </w:numPr>
        <w:spacing w:before="240"/>
        <w:jc w:val="both"/>
        <w:rPr>
          <w:rFonts w:ascii="Arial" w:hAnsi="Arial" w:cs="Arial"/>
          <w:sz w:val="20"/>
          <w:szCs w:val="20"/>
        </w:rPr>
      </w:pPr>
      <w:r w:rsidRPr="00CB5B6B">
        <w:rPr>
          <w:rFonts w:ascii="Arial" w:hAnsi="Arial" w:cs="Arial"/>
          <w:sz w:val="20"/>
          <w:szCs w:val="20"/>
        </w:rPr>
        <w:t xml:space="preserve">The AU market is moving to T+2. </w:t>
      </w:r>
      <w:proofErr w:type="spellStart"/>
      <w:r w:rsidRPr="00CB5B6B">
        <w:rPr>
          <w:rFonts w:ascii="Arial" w:hAnsi="Arial" w:cs="Arial"/>
          <w:sz w:val="20"/>
          <w:szCs w:val="20"/>
        </w:rPr>
        <w:t>AustraClear</w:t>
      </w:r>
      <w:proofErr w:type="spellEnd"/>
      <w:r w:rsidRPr="00CB5B6B">
        <w:rPr>
          <w:rFonts w:ascii="Arial" w:hAnsi="Arial" w:cs="Arial"/>
          <w:sz w:val="20"/>
          <w:szCs w:val="20"/>
        </w:rPr>
        <w:t xml:space="preserve"> is handling the initiative for Fixed Interest and ASX/CHESS is handling it for Equities. </w:t>
      </w:r>
    </w:p>
    <w:p w:rsidR="00B001B1" w:rsidRPr="00CB5B6B" w:rsidRDefault="00B001B1" w:rsidP="00B001B1">
      <w:pPr>
        <w:numPr>
          <w:ilvl w:val="1"/>
          <w:numId w:val="10"/>
        </w:numPr>
        <w:jc w:val="left"/>
        <w:rPr>
          <w:rFonts w:cs="Arial"/>
          <w:bCs/>
          <w:iCs/>
          <w:sz w:val="20"/>
        </w:rPr>
      </w:pPr>
      <w:r w:rsidRPr="00CB5B6B">
        <w:rPr>
          <w:rFonts w:cs="Arial"/>
          <w:bCs/>
          <w:iCs/>
          <w:sz w:val="20"/>
        </w:rPr>
        <w:t>Both expected to migrate in March, 2016</w:t>
      </w:r>
    </w:p>
    <w:p w:rsidR="00B001B1" w:rsidRPr="00CB5B6B" w:rsidRDefault="00B001B1" w:rsidP="00B001B1">
      <w:pPr>
        <w:numPr>
          <w:ilvl w:val="2"/>
          <w:numId w:val="10"/>
        </w:numPr>
        <w:jc w:val="left"/>
        <w:rPr>
          <w:rFonts w:cs="Arial"/>
          <w:bCs/>
          <w:iCs/>
          <w:sz w:val="20"/>
        </w:rPr>
      </w:pPr>
      <w:proofErr w:type="spellStart"/>
      <w:r w:rsidRPr="00CB5B6B">
        <w:rPr>
          <w:rFonts w:cs="Arial"/>
          <w:bCs/>
          <w:iCs/>
          <w:sz w:val="20"/>
        </w:rPr>
        <w:t>Austraclear</w:t>
      </w:r>
      <w:proofErr w:type="spellEnd"/>
      <w:r w:rsidRPr="00CB5B6B">
        <w:rPr>
          <w:rFonts w:cs="Arial"/>
          <w:bCs/>
          <w:iCs/>
          <w:sz w:val="20"/>
        </w:rPr>
        <w:t xml:space="preserve"> delayed December migration to March to align with ASX/CHESS date for ease of </w:t>
      </w:r>
      <w:proofErr w:type="spellStart"/>
      <w:r w:rsidRPr="00CB5B6B">
        <w:rPr>
          <w:rFonts w:cs="Arial"/>
          <w:bCs/>
          <w:iCs/>
          <w:sz w:val="20"/>
        </w:rPr>
        <w:t>implemention</w:t>
      </w:r>
      <w:proofErr w:type="spellEnd"/>
    </w:p>
    <w:p w:rsidR="00B001B1" w:rsidRPr="00CB5B6B" w:rsidRDefault="00B001B1" w:rsidP="00B001B1">
      <w:pPr>
        <w:numPr>
          <w:ilvl w:val="2"/>
          <w:numId w:val="10"/>
        </w:numPr>
        <w:jc w:val="left"/>
        <w:rPr>
          <w:rFonts w:cs="Arial"/>
          <w:bCs/>
          <w:iCs/>
          <w:sz w:val="20"/>
        </w:rPr>
      </w:pPr>
      <w:r w:rsidRPr="00CB5B6B">
        <w:rPr>
          <w:rFonts w:cs="Arial"/>
          <w:bCs/>
          <w:iCs/>
          <w:sz w:val="20"/>
        </w:rPr>
        <w:t>New Zealand fixed income and equities migration of T+2 expected to align to same migration date</w:t>
      </w:r>
    </w:p>
    <w:p w:rsidR="00B001B1" w:rsidRPr="00CB5B6B" w:rsidRDefault="00B001B1" w:rsidP="00B001B1">
      <w:pPr>
        <w:numPr>
          <w:ilvl w:val="1"/>
          <w:numId w:val="10"/>
        </w:numPr>
        <w:jc w:val="left"/>
        <w:rPr>
          <w:rFonts w:cs="Arial"/>
          <w:bCs/>
          <w:iCs/>
          <w:sz w:val="20"/>
        </w:rPr>
      </w:pPr>
      <w:r w:rsidRPr="00CB5B6B">
        <w:rPr>
          <w:rFonts w:cs="Arial"/>
          <w:bCs/>
          <w:iCs/>
          <w:sz w:val="20"/>
        </w:rPr>
        <w:t xml:space="preserve">Regular readiness meetings being held to increase awareness to retail, brokers, fund </w:t>
      </w:r>
      <w:proofErr w:type="spellStart"/>
      <w:r w:rsidRPr="00CB5B6B">
        <w:rPr>
          <w:rFonts w:cs="Arial"/>
          <w:bCs/>
          <w:iCs/>
          <w:sz w:val="20"/>
        </w:rPr>
        <w:t>mgrs</w:t>
      </w:r>
      <w:proofErr w:type="spellEnd"/>
      <w:r w:rsidRPr="00CB5B6B">
        <w:rPr>
          <w:rFonts w:cs="Arial"/>
          <w:bCs/>
          <w:iCs/>
          <w:sz w:val="20"/>
        </w:rPr>
        <w:t>, global custodians, and sub-custodians</w:t>
      </w:r>
    </w:p>
    <w:p w:rsidR="00B001B1" w:rsidRPr="00CB5B6B" w:rsidRDefault="00B001B1" w:rsidP="007E5C2C">
      <w:pPr>
        <w:pStyle w:val="ListParagraph"/>
        <w:numPr>
          <w:ilvl w:val="0"/>
          <w:numId w:val="17"/>
        </w:numPr>
        <w:spacing w:before="240"/>
        <w:jc w:val="both"/>
        <w:rPr>
          <w:rFonts w:ascii="Arial" w:hAnsi="Arial" w:cs="Arial"/>
          <w:bCs/>
          <w:iCs/>
          <w:sz w:val="20"/>
          <w:szCs w:val="20"/>
        </w:rPr>
      </w:pPr>
      <w:r w:rsidRPr="00CB5B6B">
        <w:rPr>
          <w:rFonts w:ascii="Arial" w:hAnsi="Arial" w:cs="Arial"/>
          <w:sz w:val="20"/>
          <w:szCs w:val="20"/>
        </w:rPr>
        <w:t>ASX</w:t>
      </w:r>
      <w:r w:rsidRPr="00CB5B6B">
        <w:rPr>
          <w:rFonts w:ascii="Arial" w:hAnsi="Arial" w:cs="Arial"/>
          <w:bCs/>
          <w:iCs/>
          <w:sz w:val="20"/>
          <w:szCs w:val="20"/>
        </w:rPr>
        <w:t>/CHESS review</w:t>
      </w:r>
      <w:r>
        <w:rPr>
          <w:rFonts w:ascii="Arial" w:hAnsi="Arial" w:cs="Arial"/>
          <w:bCs/>
          <w:iCs/>
          <w:sz w:val="20"/>
          <w:szCs w:val="20"/>
        </w:rPr>
        <w:t xml:space="preserve"> (</w:t>
      </w:r>
      <w:r w:rsidRPr="00CB5B6B">
        <w:rPr>
          <w:rFonts w:ascii="Arial" w:hAnsi="Arial" w:cs="Arial"/>
          <w:sz w:val="20"/>
          <w:szCs w:val="20"/>
        </w:rPr>
        <w:t>CHESS is a sub-registrar</w:t>
      </w:r>
      <w:r w:rsidR="00A37B4C">
        <w:rPr>
          <w:rFonts w:ascii="Arial" w:hAnsi="Arial" w:cs="Arial"/>
          <w:sz w:val="20"/>
          <w:szCs w:val="20"/>
        </w:rPr>
        <w:t xml:space="preserve"> -</w:t>
      </w:r>
      <w:r w:rsidRPr="00CB5B6B">
        <w:rPr>
          <w:rFonts w:ascii="Arial" w:hAnsi="Arial" w:cs="Arial"/>
          <w:sz w:val="20"/>
          <w:szCs w:val="20"/>
        </w:rPr>
        <w:t xml:space="preserve"> CHESS is not real time but by batch process and using an own proprietary message)</w:t>
      </w:r>
    </w:p>
    <w:p w:rsidR="00B001B1" w:rsidRPr="00CB5B6B" w:rsidRDefault="00B001B1" w:rsidP="007E5C2C">
      <w:pPr>
        <w:numPr>
          <w:ilvl w:val="1"/>
          <w:numId w:val="11"/>
        </w:numPr>
        <w:jc w:val="left"/>
        <w:rPr>
          <w:rFonts w:cs="Arial"/>
          <w:bCs/>
          <w:iCs/>
          <w:sz w:val="20"/>
        </w:rPr>
      </w:pPr>
      <w:r w:rsidRPr="00CB5B6B">
        <w:rPr>
          <w:rFonts w:cs="Arial"/>
          <w:bCs/>
          <w:iCs/>
          <w:sz w:val="20"/>
        </w:rPr>
        <w:t xml:space="preserve"> MT101 DVP message with all components of an MT54x message is currently being used </w:t>
      </w:r>
    </w:p>
    <w:p w:rsidR="00B001B1" w:rsidRPr="00CB5B6B" w:rsidRDefault="00B001B1" w:rsidP="007E5C2C">
      <w:pPr>
        <w:numPr>
          <w:ilvl w:val="2"/>
          <w:numId w:val="11"/>
        </w:numPr>
        <w:jc w:val="left"/>
        <w:rPr>
          <w:rFonts w:cs="Arial"/>
          <w:bCs/>
          <w:iCs/>
          <w:sz w:val="20"/>
        </w:rPr>
      </w:pPr>
      <w:r w:rsidRPr="00CB5B6B">
        <w:rPr>
          <w:rFonts w:cs="Arial"/>
          <w:bCs/>
          <w:iCs/>
          <w:sz w:val="20"/>
        </w:rPr>
        <w:t>Global Custodian is instructing MT54x via SWIFT which NAB is converting to a MT101 format to be sent to CHESS</w:t>
      </w:r>
    </w:p>
    <w:p w:rsidR="00B001B1" w:rsidRPr="00CB5B6B" w:rsidRDefault="00B001B1" w:rsidP="007E5C2C">
      <w:pPr>
        <w:numPr>
          <w:ilvl w:val="1"/>
          <w:numId w:val="11"/>
        </w:numPr>
        <w:jc w:val="left"/>
        <w:rPr>
          <w:rFonts w:cs="Arial"/>
          <w:bCs/>
          <w:iCs/>
          <w:sz w:val="20"/>
        </w:rPr>
      </w:pPr>
      <w:r w:rsidRPr="00CB5B6B">
        <w:rPr>
          <w:rFonts w:cs="Arial"/>
          <w:bCs/>
          <w:iCs/>
          <w:sz w:val="20"/>
        </w:rPr>
        <w:t>Currently a batch process within CHESS with netting process with 10:30am cutoff – will move to a 11:30 cut-off</w:t>
      </w:r>
    </w:p>
    <w:p w:rsidR="00B001B1" w:rsidRPr="00CB5B6B" w:rsidRDefault="00B001B1" w:rsidP="007E5C2C">
      <w:pPr>
        <w:numPr>
          <w:ilvl w:val="1"/>
          <w:numId w:val="11"/>
        </w:numPr>
        <w:jc w:val="left"/>
        <w:rPr>
          <w:rFonts w:cs="Arial"/>
          <w:bCs/>
          <w:iCs/>
          <w:sz w:val="20"/>
        </w:rPr>
      </w:pPr>
      <w:r w:rsidRPr="00CB5B6B">
        <w:rPr>
          <w:rFonts w:cs="Arial"/>
          <w:bCs/>
          <w:iCs/>
          <w:sz w:val="20"/>
        </w:rPr>
        <w:t>Migration from MT101 will be to ISO20022 instead of MT54x ISO15022</w:t>
      </w:r>
    </w:p>
    <w:p w:rsidR="00B001B1" w:rsidRPr="00CB5B6B" w:rsidRDefault="00B001B1" w:rsidP="007E5C2C">
      <w:pPr>
        <w:numPr>
          <w:ilvl w:val="1"/>
          <w:numId w:val="11"/>
        </w:numPr>
        <w:jc w:val="left"/>
        <w:rPr>
          <w:rFonts w:cs="Arial"/>
          <w:bCs/>
          <w:iCs/>
          <w:sz w:val="20"/>
        </w:rPr>
      </w:pPr>
      <w:r w:rsidRPr="00CB5B6B">
        <w:rPr>
          <w:rFonts w:cs="Arial"/>
          <w:bCs/>
          <w:iCs/>
          <w:sz w:val="20"/>
        </w:rPr>
        <w:t>MT564 notification initiative documenting through MyStandards</w:t>
      </w:r>
    </w:p>
    <w:p w:rsidR="00B001B1" w:rsidRPr="00CB5B6B" w:rsidRDefault="00B001B1" w:rsidP="007E5C2C">
      <w:pPr>
        <w:pStyle w:val="ListParagraph"/>
        <w:numPr>
          <w:ilvl w:val="0"/>
          <w:numId w:val="17"/>
        </w:numPr>
        <w:spacing w:before="240"/>
        <w:jc w:val="both"/>
        <w:rPr>
          <w:rFonts w:ascii="Arial" w:hAnsi="Arial" w:cs="Arial"/>
          <w:bCs/>
          <w:iCs/>
          <w:sz w:val="20"/>
          <w:szCs w:val="20"/>
        </w:rPr>
      </w:pPr>
      <w:proofErr w:type="spellStart"/>
      <w:r w:rsidRPr="00CB5B6B">
        <w:rPr>
          <w:rFonts w:ascii="Arial" w:hAnsi="Arial" w:cs="Arial"/>
          <w:bCs/>
          <w:iCs/>
          <w:sz w:val="20"/>
          <w:szCs w:val="20"/>
        </w:rPr>
        <w:t>Austraclear</w:t>
      </w:r>
      <w:proofErr w:type="spellEnd"/>
      <w:r w:rsidRPr="00CB5B6B">
        <w:rPr>
          <w:rFonts w:ascii="Arial" w:hAnsi="Arial" w:cs="Arial"/>
          <w:bCs/>
          <w:iCs/>
          <w:sz w:val="20"/>
          <w:szCs w:val="20"/>
        </w:rPr>
        <w:t xml:space="preserve"> changes</w:t>
      </w:r>
    </w:p>
    <w:p w:rsidR="00B001B1" w:rsidRPr="00CB5B6B" w:rsidRDefault="00B001B1" w:rsidP="007E5C2C">
      <w:pPr>
        <w:numPr>
          <w:ilvl w:val="1"/>
          <w:numId w:val="11"/>
        </w:numPr>
        <w:jc w:val="left"/>
        <w:rPr>
          <w:rFonts w:cs="Arial"/>
          <w:bCs/>
          <w:iCs/>
          <w:sz w:val="20"/>
        </w:rPr>
      </w:pPr>
      <w:r w:rsidRPr="00CB5B6B">
        <w:rPr>
          <w:rFonts w:cs="Arial"/>
          <w:bCs/>
          <w:iCs/>
          <w:sz w:val="20"/>
        </w:rPr>
        <w:t xml:space="preserve">Very little consultation with industry groups on recent change in requirement to populate </w:t>
      </w:r>
      <w:proofErr w:type="spellStart"/>
      <w:r w:rsidRPr="00CB5B6B">
        <w:rPr>
          <w:rFonts w:cs="Arial"/>
          <w:bCs/>
          <w:iCs/>
          <w:sz w:val="20"/>
        </w:rPr>
        <w:t>Austraclear</w:t>
      </w:r>
      <w:proofErr w:type="spellEnd"/>
      <w:r w:rsidRPr="00CB5B6B">
        <w:rPr>
          <w:rFonts w:cs="Arial"/>
          <w:bCs/>
          <w:iCs/>
          <w:sz w:val="20"/>
        </w:rPr>
        <w:t xml:space="preserve"> ID in clearing agent field </w:t>
      </w:r>
      <w:r>
        <w:rPr>
          <w:rFonts w:cs="Arial"/>
          <w:bCs/>
          <w:iCs/>
          <w:sz w:val="20"/>
        </w:rPr>
        <w:t xml:space="preserve">using 95Q vs. 95R. </w:t>
      </w:r>
      <w:r w:rsidRPr="00CB5B6B">
        <w:rPr>
          <w:rFonts w:cs="Arial"/>
          <w:bCs/>
          <w:iCs/>
          <w:sz w:val="20"/>
        </w:rPr>
        <w:t xml:space="preserve">Suresh will urge </w:t>
      </w:r>
      <w:proofErr w:type="spellStart"/>
      <w:r w:rsidRPr="00CB5B6B">
        <w:rPr>
          <w:rFonts w:cs="Arial"/>
          <w:bCs/>
          <w:iCs/>
          <w:sz w:val="20"/>
        </w:rPr>
        <w:t>AustraClear</w:t>
      </w:r>
      <w:proofErr w:type="spellEnd"/>
      <w:r w:rsidRPr="00CB5B6B">
        <w:rPr>
          <w:rFonts w:cs="Arial"/>
          <w:bCs/>
          <w:iCs/>
          <w:sz w:val="20"/>
        </w:rPr>
        <w:t xml:space="preserve"> to participate to the SMPG/NMPG.</w:t>
      </w:r>
    </w:p>
    <w:p w:rsidR="00B001B1" w:rsidRPr="00CB5B6B" w:rsidRDefault="00B001B1" w:rsidP="007E5C2C">
      <w:pPr>
        <w:numPr>
          <w:ilvl w:val="1"/>
          <w:numId w:val="11"/>
        </w:numPr>
        <w:jc w:val="left"/>
        <w:rPr>
          <w:rFonts w:cs="Arial"/>
          <w:bCs/>
          <w:iCs/>
          <w:sz w:val="20"/>
        </w:rPr>
      </w:pPr>
      <w:r w:rsidRPr="00CB5B6B">
        <w:rPr>
          <w:rFonts w:cs="Arial"/>
          <w:bCs/>
          <w:iCs/>
          <w:sz w:val="20"/>
        </w:rPr>
        <w:t>Real time processing over batch currently</w:t>
      </w:r>
    </w:p>
    <w:p w:rsidR="00B001B1" w:rsidRPr="00CB5B6B" w:rsidRDefault="00B001B1" w:rsidP="007E5C2C">
      <w:pPr>
        <w:numPr>
          <w:ilvl w:val="1"/>
          <w:numId w:val="11"/>
        </w:numPr>
        <w:jc w:val="left"/>
        <w:rPr>
          <w:rFonts w:cs="Arial"/>
          <w:bCs/>
          <w:iCs/>
          <w:sz w:val="20"/>
        </w:rPr>
      </w:pPr>
      <w:r w:rsidRPr="00CB5B6B">
        <w:rPr>
          <w:rFonts w:cs="Arial"/>
          <w:bCs/>
          <w:iCs/>
          <w:sz w:val="20"/>
        </w:rPr>
        <w:t>MT548 initiative to replace MT598 narrative status process – engagement with local industry</w:t>
      </w:r>
      <w:r w:rsidR="00A37B4C">
        <w:rPr>
          <w:rFonts w:cs="Arial"/>
          <w:bCs/>
          <w:iCs/>
          <w:sz w:val="20"/>
        </w:rPr>
        <w:t xml:space="preserve"> </w:t>
      </w:r>
      <w:r w:rsidRPr="00CB5B6B">
        <w:rPr>
          <w:rFonts w:cs="Arial"/>
          <w:bCs/>
          <w:iCs/>
          <w:sz w:val="20"/>
        </w:rPr>
        <w:t>groups</w:t>
      </w:r>
    </w:p>
    <w:p w:rsidR="00B001B1" w:rsidRDefault="00B001B1" w:rsidP="007E5C2C">
      <w:pPr>
        <w:pStyle w:val="ListParagraph"/>
        <w:numPr>
          <w:ilvl w:val="0"/>
          <w:numId w:val="17"/>
        </w:numPr>
        <w:spacing w:before="240"/>
        <w:jc w:val="both"/>
        <w:rPr>
          <w:rFonts w:ascii="Arial" w:hAnsi="Arial" w:cs="Arial"/>
          <w:bCs/>
          <w:iCs/>
          <w:sz w:val="20"/>
          <w:szCs w:val="20"/>
        </w:rPr>
      </w:pPr>
      <w:r w:rsidRPr="00B76E0A">
        <w:rPr>
          <w:rFonts w:ascii="Arial" w:hAnsi="Arial" w:cs="Arial"/>
          <w:bCs/>
          <w:iCs/>
          <w:sz w:val="20"/>
          <w:szCs w:val="20"/>
        </w:rPr>
        <w:t>Rei-san shared that JP is also looking at moving into T+2</w:t>
      </w:r>
    </w:p>
    <w:p w:rsidR="00B001B1" w:rsidRDefault="00B001B1" w:rsidP="007E5C2C">
      <w:pPr>
        <w:numPr>
          <w:ilvl w:val="0"/>
          <w:numId w:val="34"/>
        </w:numPr>
        <w:spacing w:before="240"/>
      </w:pPr>
      <w:r>
        <w:t xml:space="preserve">SMPG Portfolio Transfer MP (Peter – CH initiative) </w:t>
      </w:r>
      <w:r w:rsidRPr="00D4225A">
        <w:t>and T2S Portfolio transfer MP (Paola)</w:t>
      </w:r>
      <w:r>
        <w:t xml:space="preserve"> - </w:t>
      </w:r>
      <w:proofErr w:type="spellStart"/>
      <w:r w:rsidRPr="001F4245">
        <w:t>Cf</w:t>
      </w:r>
      <w:proofErr w:type="spellEnd"/>
      <w:r w:rsidRPr="001F4245">
        <w:t xml:space="preserve">  </w:t>
      </w:r>
      <w:proofErr w:type="spellStart"/>
      <w:r w:rsidRPr="001F4245">
        <w:t>ppt</w:t>
      </w:r>
      <w:proofErr w:type="spellEnd"/>
      <w:r w:rsidRPr="001F4245">
        <w:t xml:space="preserve"> slides</w:t>
      </w:r>
    </w:p>
    <w:p w:rsidR="00B001B1" w:rsidRDefault="00B001B1" w:rsidP="007E5C2C">
      <w:pPr>
        <w:pStyle w:val="ListParagraph"/>
        <w:numPr>
          <w:ilvl w:val="0"/>
          <w:numId w:val="20"/>
        </w:numPr>
        <w:spacing w:before="240"/>
      </w:pPr>
      <w:r w:rsidRPr="0033344E">
        <w:rPr>
          <w:u w:val="single"/>
        </w:rPr>
        <w:t>SMPG Portfolio Transfer MP (Peter – CH initiative</w:t>
      </w:r>
      <w:r>
        <w:t>)</w:t>
      </w:r>
    </w:p>
    <w:p w:rsidR="00B001B1" w:rsidRDefault="00B001B1" w:rsidP="00B001B1">
      <w:pPr>
        <w:ind w:left="720"/>
        <w:jc w:val="left"/>
        <w:rPr>
          <w:rFonts w:eastAsia="Calibri" w:cs="Arial"/>
          <w:sz w:val="20"/>
          <w:lang w:val="en-GB"/>
        </w:rPr>
      </w:pPr>
    </w:p>
    <w:p w:rsidR="00B001B1" w:rsidRDefault="00B001B1" w:rsidP="007E5C2C">
      <w:pPr>
        <w:numPr>
          <w:ilvl w:val="0"/>
          <w:numId w:val="19"/>
        </w:numPr>
        <w:jc w:val="left"/>
        <w:rPr>
          <w:rFonts w:eastAsia="Calibri" w:cs="Arial"/>
          <w:sz w:val="20"/>
          <w:lang w:val="en-GB"/>
        </w:rPr>
      </w:pPr>
      <w:r w:rsidRPr="00C40D52">
        <w:rPr>
          <w:rFonts w:eastAsia="Calibri" w:cs="Arial"/>
          <w:sz w:val="20"/>
          <w:lang w:val="en-GB"/>
        </w:rPr>
        <w:lastRenderedPageBreak/>
        <w:t xml:space="preserve">MT586 portfolio transfer “global” market practice created by Switzerland for global custodian to global custodian portfolio reconciliation of positions and settlement instructions at the local market sub-custodians across multiple markets PSETs.  </w:t>
      </w:r>
    </w:p>
    <w:p w:rsidR="00B001B1" w:rsidRPr="00C40D52" w:rsidRDefault="00B001B1" w:rsidP="007E5C2C">
      <w:pPr>
        <w:numPr>
          <w:ilvl w:val="0"/>
          <w:numId w:val="19"/>
        </w:numPr>
        <w:jc w:val="left"/>
        <w:rPr>
          <w:rFonts w:eastAsia="Calibri" w:cs="Arial"/>
          <w:sz w:val="20"/>
          <w:lang w:val="en-GB"/>
        </w:rPr>
      </w:pPr>
      <w:r>
        <w:rPr>
          <w:rFonts w:eastAsia="Calibri" w:cs="Arial"/>
          <w:sz w:val="20"/>
          <w:lang w:val="en-GB"/>
        </w:rPr>
        <w:t xml:space="preserve">MT586 - </w:t>
      </w:r>
      <w:r w:rsidRPr="00C40D52">
        <w:rPr>
          <w:rFonts w:eastAsia="Calibri" w:cs="Arial"/>
          <w:sz w:val="20"/>
          <w:lang w:val="en-GB"/>
        </w:rPr>
        <w:t>Field 23G PORT indicates that the scope is a Portfolio Transfer.</w:t>
      </w:r>
    </w:p>
    <w:p w:rsidR="00B001B1" w:rsidRPr="00C40D52" w:rsidRDefault="00B001B1" w:rsidP="007E5C2C">
      <w:pPr>
        <w:numPr>
          <w:ilvl w:val="0"/>
          <w:numId w:val="19"/>
        </w:numPr>
        <w:jc w:val="left"/>
        <w:rPr>
          <w:rFonts w:eastAsia="Calibri" w:cs="Arial"/>
          <w:sz w:val="20"/>
          <w:lang w:val="en-GB"/>
        </w:rPr>
      </w:pPr>
      <w:r w:rsidRPr="00C40D52">
        <w:rPr>
          <w:rFonts w:eastAsia="Calibri" w:cs="Arial"/>
          <w:sz w:val="20"/>
          <w:lang w:val="en-GB"/>
        </w:rPr>
        <w:t>MT586 can also act as a directive to the custodian to create MT54x transfers to the sub-custodians once request/response is agreed via MT586 process.</w:t>
      </w:r>
    </w:p>
    <w:p w:rsidR="00B001B1" w:rsidRPr="00C40D52" w:rsidRDefault="00B001B1" w:rsidP="007E5C2C">
      <w:pPr>
        <w:numPr>
          <w:ilvl w:val="0"/>
          <w:numId w:val="19"/>
        </w:numPr>
        <w:jc w:val="left"/>
        <w:rPr>
          <w:rFonts w:eastAsia="Calibri" w:cs="Arial"/>
          <w:sz w:val="20"/>
          <w:lang w:val="en-GB"/>
        </w:rPr>
      </w:pPr>
      <w:r w:rsidRPr="00C40D52">
        <w:rPr>
          <w:rFonts w:eastAsia="Calibri" w:cs="Arial"/>
          <w:sz w:val="20"/>
          <w:lang w:val="en-GB"/>
        </w:rPr>
        <w:t>CH (FCFS) P</w:t>
      </w:r>
      <w:r>
        <w:rPr>
          <w:rFonts w:eastAsia="Calibri" w:cs="Arial"/>
          <w:sz w:val="20"/>
          <w:lang w:val="en-GB"/>
        </w:rPr>
        <w:t xml:space="preserve">ortfolio transfer WG- </w:t>
      </w:r>
      <w:proofErr w:type="spellStart"/>
      <w:r w:rsidRPr="00C40D52">
        <w:rPr>
          <w:rFonts w:eastAsia="Calibri" w:cs="Arial"/>
          <w:sz w:val="20"/>
          <w:lang w:val="en-GB"/>
        </w:rPr>
        <w:t>Zurcher</w:t>
      </w:r>
      <w:proofErr w:type="spellEnd"/>
      <w:r w:rsidRPr="00C40D52">
        <w:rPr>
          <w:rFonts w:eastAsia="Calibri" w:cs="Arial"/>
          <w:sz w:val="20"/>
          <w:lang w:val="en-GB"/>
        </w:rPr>
        <w:t xml:space="preserve"> </w:t>
      </w:r>
      <w:proofErr w:type="spellStart"/>
      <w:r w:rsidRPr="00C40D52">
        <w:rPr>
          <w:rFonts w:eastAsia="Calibri" w:cs="Arial"/>
          <w:sz w:val="20"/>
          <w:lang w:val="en-GB"/>
        </w:rPr>
        <w:t>Kantonalbank</w:t>
      </w:r>
      <w:proofErr w:type="spellEnd"/>
      <w:r w:rsidRPr="00C40D52">
        <w:rPr>
          <w:rFonts w:eastAsia="Calibri" w:cs="Arial"/>
          <w:sz w:val="20"/>
          <w:lang w:val="en-GB"/>
        </w:rPr>
        <w:t xml:space="preserve">, UBS, Credit Suisse, Julius Baer and other CH players involved. But, originally proposed by Netherlands with support of other European markets </w:t>
      </w:r>
    </w:p>
    <w:p w:rsidR="00B001B1" w:rsidRPr="00C40D52" w:rsidRDefault="00B001B1" w:rsidP="007E5C2C">
      <w:pPr>
        <w:numPr>
          <w:ilvl w:val="0"/>
          <w:numId w:val="19"/>
        </w:numPr>
        <w:jc w:val="left"/>
        <w:rPr>
          <w:rFonts w:eastAsia="Calibri" w:cs="Arial"/>
          <w:sz w:val="20"/>
          <w:lang w:val="en-GB"/>
        </w:rPr>
      </w:pPr>
      <w:r w:rsidRPr="00C40D52">
        <w:rPr>
          <w:rFonts w:eastAsia="Calibri" w:cs="Arial"/>
          <w:sz w:val="20"/>
          <w:lang w:val="en-GB"/>
        </w:rPr>
        <w:t xml:space="preserve">Request/Response process: </w:t>
      </w:r>
    </w:p>
    <w:p w:rsidR="00B001B1" w:rsidRPr="00C40D52" w:rsidRDefault="00B001B1" w:rsidP="007E5C2C">
      <w:pPr>
        <w:numPr>
          <w:ilvl w:val="1"/>
          <w:numId w:val="18"/>
        </w:numPr>
        <w:jc w:val="left"/>
        <w:rPr>
          <w:rFonts w:eastAsia="Calibri" w:cs="Arial"/>
          <w:sz w:val="20"/>
          <w:lang w:val="en-GB"/>
        </w:rPr>
      </w:pPr>
      <w:r w:rsidRPr="00C40D52">
        <w:rPr>
          <w:rFonts w:eastAsia="Calibri" w:cs="Arial"/>
          <w:sz w:val="20"/>
          <w:lang w:val="en-GB"/>
        </w:rPr>
        <w:t xml:space="preserve">Messaging: </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Initial MT586 - Sending of SSIs per position with C/P SSIs optional</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Initial MT586 - Recommendation of settlement date</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Response MT586 – Answer with all positions, pending or rejected – standards release change request for SR2016 to be able to support</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Response MT586 – SSIs and fixing of settlement date</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Cancel MT586 ability</w:t>
      </w:r>
    </w:p>
    <w:p w:rsidR="00B001B1" w:rsidRPr="00C40D52" w:rsidRDefault="00B001B1" w:rsidP="007E5C2C">
      <w:pPr>
        <w:numPr>
          <w:ilvl w:val="1"/>
          <w:numId w:val="18"/>
        </w:numPr>
        <w:jc w:val="left"/>
        <w:rPr>
          <w:rFonts w:eastAsia="Calibri" w:cs="Arial"/>
          <w:sz w:val="20"/>
          <w:lang w:val="en-GB"/>
        </w:rPr>
      </w:pPr>
      <w:r w:rsidRPr="00C40D52">
        <w:rPr>
          <w:rFonts w:eastAsia="Calibri" w:cs="Arial"/>
          <w:sz w:val="20"/>
          <w:lang w:val="en-GB"/>
        </w:rPr>
        <w:t xml:space="preserve"> Custodian request via MT586:</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Seq. A (General Information) – Beneficiary custodian and account information</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Seq. B (</w:t>
      </w:r>
      <w:proofErr w:type="spellStart"/>
      <w:r w:rsidRPr="00C40D52">
        <w:rPr>
          <w:rFonts w:eastAsia="Calibri" w:cs="Arial"/>
          <w:sz w:val="20"/>
          <w:lang w:val="en-GB"/>
        </w:rPr>
        <w:t>Allegement</w:t>
      </w:r>
      <w:proofErr w:type="spellEnd"/>
      <w:r w:rsidRPr="00C40D52">
        <w:rPr>
          <w:rFonts w:eastAsia="Calibri" w:cs="Arial"/>
          <w:sz w:val="20"/>
          <w:lang w:val="en-GB"/>
        </w:rPr>
        <w:t xml:space="preserve"> Information) – detail of each position (ISIN) with a reference to each position at each location (in scenario of split position ISIN) including settlement instructions details</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Seq. C – Additional information – contact information of receiving custodian</w:t>
      </w:r>
    </w:p>
    <w:p w:rsidR="00B001B1" w:rsidRPr="00C40D52" w:rsidRDefault="00B001B1" w:rsidP="007E5C2C">
      <w:pPr>
        <w:numPr>
          <w:ilvl w:val="1"/>
          <w:numId w:val="18"/>
        </w:numPr>
        <w:jc w:val="left"/>
        <w:rPr>
          <w:rFonts w:eastAsia="Calibri" w:cs="Arial"/>
          <w:sz w:val="20"/>
          <w:lang w:val="en-GB"/>
        </w:rPr>
      </w:pPr>
      <w:r w:rsidRPr="00C40D52">
        <w:rPr>
          <w:rFonts w:eastAsia="Calibri" w:cs="Arial"/>
          <w:sz w:val="20"/>
          <w:lang w:val="en-GB"/>
        </w:rPr>
        <w:t xml:space="preserve">Custodian Response via MT586: </w:t>
      </w:r>
    </w:p>
    <w:p w:rsidR="00B001B1" w:rsidRPr="00C40D52" w:rsidRDefault="00B001B1" w:rsidP="007E5C2C">
      <w:pPr>
        <w:numPr>
          <w:ilvl w:val="2"/>
          <w:numId w:val="18"/>
        </w:numPr>
        <w:jc w:val="left"/>
        <w:rPr>
          <w:rFonts w:eastAsia="Calibri" w:cs="Arial"/>
          <w:sz w:val="20"/>
          <w:lang w:val="en-GB"/>
        </w:rPr>
      </w:pPr>
      <w:r w:rsidRPr="00C40D52">
        <w:rPr>
          <w:rFonts w:eastAsia="Calibri" w:cs="Arial"/>
          <w:sz w:val="20"/>
          <w:lang w:val="en-GB"/>
        </w:rPr>
        <w:t>Include response/acknowledgement of validation of information received in custodian request MT586 including reference IDs, position details and settlement instructions</w:t>
      </w:r>
    </w:p>
    <w:p w:rsidR="00B001B1" w:rsidRDefault="00B001B1" w:rsidP="007E5C2C">
      <w:pPr>
        <w:numPr>
          <w:ilvl w:val="0"/>
          <w:numId w:val="19"/>
        </w:numPr>
        <w:jc w:val="left"/>
        <w:rPr>
          <w:rFonts w:eastAsia="Calibri" w:cs="Arial"/>
          <w:sz w:val="20"/>
          <w:lang w:val="en-GB"/>
        </w:rPr>
      </w:pPr>
      <w:r w:rsidRPr="00C40D52">
        <w:rPr>
          <w:rFonts w:eastAsia="Calibri" w:cs="Arial"/>
          <w:sz w:val="20"/>
          <w:lang w:val="en-GB"/>
        </w:rPr>
        <w:t xml:space="preserve">Recent feedback to exclude the Funds asset class from the MT586 </w:t>
      </w:r>
      <w:proofErr w:type="spellStart"/>
      <w:r w:rsidRPr="00C40D52">
        <w:rPr>
          <w:rFonts w:eastAsia="Calibri" w:cs="Arial"/>
          <w:sz w:val="20"/>
          <w:lang w:val="en-GB"/>
        </w:rPr>
        <w:t>holdings.</w:t>
      </w:r>
      <w:r>
        <w:rPr>
          <w:rFonts w:eastAsia="Calibri" w:cs="Arial"/>
          <w:sz w:val="20"/>
          <w:lang w:val="en-GB"/>
        </w:rPr>
        <w:t>This</w:t>
      </w:r>
      <w:proofErr w:type="spellEnd"/>
      <w:r>
        <w:rPr>
          <w:rFonts w:eastAsia="Calibri" w:cs="Arial"/>
          <w:sz w:val="20"/>
          <w:lang w:val="en-GB"/>
        </w:rPr>
        <w:t xml:space="preserve"> has been discussed with the Funds group and the agreement was to not mentioned “Investment Funds” or Funds” in the document.</w:t>
      </w:r>
    </w:p>
    <w:p w:rsidR="00B001B1" w:rsidRPr="0033344E" w:rsidRDefault="00B001B1" w:rsidP="007E5C2C">
      <w:pPr>
        <w:pStyle w:val="ListParagraph"/>
        <w:numPr>
          <w:ilvl w:val="0"/>
          <w:numId w:val="19"/>
        </w:numPr>
        <w:rPr>
          <w:rFonts w:eastAsia="Calibri" w:cs="Arial"/>
          <w:sz w:val="20"/>
        </w:rPr>
      </w:pPr>
      <w:r w:rsidRPr="0033344E">
        <w:rPr>
          <w:rFonts w:ascii="Arial" w:eastAsia="Calibri" w:hAnsi="Arial" w:cs="Arial"/>
          <w:sz w:val="20"/>
          <w:szCs w:val="20"/>
          <w:lang w:eastAsia="en-US"/>
        </w:rPr>
        <w:t xml:space="preserve">Paola commented instead of differentiation by Asset Class, it should be by CSD-eligible securities. Also, should study and consider all markets to see if this process fits all markets. Denise disagreed because this proposed MP can be easily implementable in any market. </w:t>
      </w:r>
      <w:r>
        <w:rPr>
          <w:rFonts w:ascii="Arial" w:eastAsia="Calibri" w:hAnsi="Arial" w:cs="Arial"/>
          <w:sz w:val="20"/>
          <w:szCs w:val="20"/>
          <w:lang w:eastAsia="en-US"/>
        </w:rPr>
        <w:t>Proposal is to add a note in the MP that states:</w:t>
      </w:r>
    </w:p>
    <w:p w:rsidR="00B001B1" w:rsidRDefault="00B001B1" w:rsidP="00B001B1">
      <w:pPr>
        <w:pStyle w:val="ListParagraph"/>
        <w:rPr>
          <w:rFonts w:ascii="Arial" w:eastAsia="Calibri" w:hAnsi="Arial" w:cs="Arial"/>
          <w:sz w:val="20"/>
          <w:szCs w:val="20"/>
          <w:lang w:eastAsia="en-US"/>
        </w:rPr>
      </w:pPr>
      <w:r>
        <w:rPr>
          <w:rFonts w:ascii="Arial" w:eastAsia="Calibri" w:hAnsi="Arial" w:cs="Arial"/>
          <w:sz w:val="20"/>
          <w:szCs w:val="20"/>
          <w:lang w:eastAsia="en-US"/>
        </w:rPr>
        <w:t>“In markets that already apply other tools/application for this process this MP does not apply” or similar.</w:t>
      </w:r>
    </w:p>
    <w:p w:rsidR="00B001B1" w:rsidRDefault="00B001B1" w:rsidP="00B001B1">
      <w:pPr>
        <w:pStyle w:val="ListParagraph"/>
        <w:rPr>
          <w:rFonts w:eastAsia="Calibri" w:cs="Arial"/>
          <w:sz w:val="20"/>
        </w:rPr>
      </w:pPr>
    </w:p>
    <w:p w:rsidR="00B001B1" w:rsidRPr="00664630" w:rsidRDefault="00B001B1" w:rsidP="007E5C2C">
      <w:pPr>
        <w:pStyle w:val="ListParagraph"/>
        <w:numPr>
          <w:ilvl w:val="0"/>
          <w:numId w:val="18"/>
        </w:numPr>
        <w:rPr>
          <w:rFonts w:ascii="Arial" w:eastAsia="Calibri" w:hAnsi="Arial" w:cs="Arial"/>
          <w:b/>
          <w:color w:val="00B050"/>
        </w:rPr>
      </w:pPr>
      <w:r w:rsidRPr="00664630">
        <w:rPr>
          <w:rFonts w:eastAsia="Calibri" w:cs="Arial"/>
          <w:b/>
          <w:color w:val="00B050"/>
        </w:rPr>
        <w:t>Action item: Peter to send an updated version of the document</w:t>
      </w:r>
      <w:r w:rsidR="00801F6F">
        <w:rPr>
          <w:rFonts w:eastAsia="Calibri" w:cs="Arial"/>
          <w:b/>
          <w:color w:val="00B050"/>
        </w:rPr>
        <w:t xml:space="preserve"> (done)</w:t>
      </w:r>
    </w:p>
    <w:p w:rsidR="00B001B1" w:rsidRPr="00801F6F" w:rsidRDefault="00B001B1" w:rsidP="00B001B1">
      <w:pPr>
        <w:pStyle w:val="ListParagraph"/>
        <w:numPr>
          <w:ilvl w:val="0"/>
          <w:numId w:val="18"/>
        </w:numPr>
        <w:rPr>
          <w:rFonts w:eastAsia="Calibri" w:cs="Arial"/>
          <w:b/>
          <w:color w:val="FF0000"/>
        </w:rPr>
      </w:pPr>
      <w:r w:rsidRPr="00801F6F">
        <w:rPr>
          <w:rFonts w:eastAsia="Calibri" w:cs="Arial"/>
          <w:b/>
          <w:color w:val="00B050"/>
        </w:rPr>
        <w:t>Action item: Evelyne to circulate for final review</w:t>
      </w:r>
      <w:r w:rsidR="00801F6F" w:rsidRPr="00801F6F">
        <w:rPr>
          <w:rFonts w:eastAsia="Calibri" w:cs="Arial"/>
          <w:b/>
          <w:color w:val="00B050"/>
        </w:rPr>
        <w:t xml:space="preserve"> and approval. Deadline: end of November 2015</w:t>
      </w:r>
    </w:p>
    <w:p w:rsidR="00B001B1" w:rsidRDefault="00B001B1" w:rsidP="007E5C2C">
      <w:pPr>
        <w:pStyle w:val="ListParagraph"/>
        <w:numPr>
          <w:ilvl w:val="0"/>
          <w:numId w:val="20"/>
        </w:numPr>
        <w:spacing w:before="240"/>
        <w:rPr>
          <w:u w:val="single"/>
        </w:rPr>
      </w:pPr>
      <w:r w:rsidRPr="0033344E">
        <w:rPr>
          <w:u w:val="single"/>
        </w:rPr>
        <w:t>T2S Portfolio transfer MP (Paola</w:t>
      </w:r>
      <w:r>
        <w:rPr>
          <w:u w:val="single"/>
        </w:rPr>
        <w:t>)</w:t>
      </w:r>
    </w:p>
    <w:p w:rsidR="00B001B1" w:rsidRDefault="00B001B1" w:rsidP="00B001B1">
      <w:pPr>
        <w:pStyle w:val="ListParagraph"/>
        <w:spacing w:before="240"/>
        <w:ind w:left="1440"/>
        <w:rPr>
          <w:u w:val="single"/>
        </w:rPr>
      </w:pPr>
    </w:p>
    <w:p w:rsidR="00B001B1" w:rsidRPr="0033344E" w:rsidRDefault="00B001B1" w:rsidP="007E5C2C">
      <w:pPr>
        <w:pStyle w:val="ListParagraph"/>
        <w:numPr>
          <w:ilvl w:val="0"/>
          <w:numId w:val="21"/>
        </w:numPr>
        <w:rPr>
          <w:rFonts w:ascii="Arial" w:eastAsia="Calibri" w:hAnsi="Arial" w:cs="Arial"/>
          <w:sz w:val="20"/>
        </w:rPr>
      </w:pPr>
      <w:r w:rsidRPr="0033344E">
        <w:rPr>
          <w:rFonts w:ascii="Arial" w:eastAsia="Calibri" w:hAnsi="Arial" w:cs="Arial"/>
          <w:sz w:val="20"/>
          <w:lang w:eastAsia="en-US"/>
        </w:rPr>
        <w:t>Market</w:t>
      </w:r>
      <w:r w:rsidRPr="0033344E">
        <w:rPr>
          <w:rFonts w:ascii="Arial" w:eastAsia="Calibri" w:hAnsi="Arial" w:cs="Arial"/>
          <w:sz w:val="20"/>
        </w:rPr>
        <w:t xml:space="preserve"> practice specific to T2S </w:t>
      </w:r>
      <w:r w:rsidR="00A23252">
        <w:rPr>
          <w:rFonts w:ascii="Arial" w:eastAsia="Calibri" w:hAnsi="Arial" w:cs="Arial"/>
          <w:sz w:val="20"/>
        </w:rPr>
        <w:t xml:space="preserve">- </w:t>
      </w:r>
      <w:r w:rsidRPr="0033344E">
        <w:rPr>
          <w:rFonts w:ascii="Arial" w:eastAsia="Calibri" w:hAnsi="Arial" w:cs="Arial"/>
          <w:sz w:val="20"/>
        </w:rPr>
        <w:t xml:space="preserve">distributed/reviewed at April meetings </w:t>
      </w:r>
      <w:r w:rsidR="00A23252">
        <w:rPr>
          <w:rFonts w:ascii="Arial" w:eastAsia="Calibri" w:hAnsi="Arial" w:cs="Arial"/>
          <w:sz w:val="20"/>
        </w:rPr>
        <w:t xml:space="preserve">and it </w:t>
      </w:r>
      <w:r w:rsidRPr="0033344E">
        <w:rPr>
          <w:rFonts w:ascii="Arial" w:eastAsia="Calibri" w:hAnsi="Arial" w:cs="Arial"/>
          <w:sz w:val="20"/>
        </w:rPr>
        <w:t>has been updated in June and will be distributed post October SMPG conference with meeting minutes</w:t>
      </w:r>
    </w:p>
    <w:p w:rsidR="00B001B1" w:rsidRDefault="00B001B1" w:rsidP="007E5C2C">
      <w:pPr>
        <w:pStyle w:val="ListParagraph"/>
        <w:numPr>
          <w:ilvl w:val="0"/>
          <w:numId w:val="21"/>
        </w:numPr>
        <w:rPr>
          <w:rFonts w:ascii="Arial" w:eastAsia="Calibri" w:hAnsi="Arial" w:cs="Arial"/>
          <w:sz w:val="20"/>
          <w:lang w:eastAsia="en-US"/>
        </w:rPr>
      </w:pPr>
      <w:r w:rsidRPr="0033344E">
        <w:rPr>
          <w:rFonts w:ascii="Arial" w:eastAsia="Calibri" w:hAnsi="Arial" w:cs="Arial"/>
          <w:sz w:val="20"/>
          <w:lang w:eastAsia="en-US"/>
        </w:rPr>
        <w:t>Focused on MX message formats that are not equivalents of the proposed MT586 SMPG portfolio transfer MP</w:t>
      </w:r>
    </w:p>
    <w:p w:rsidR="00B001B1" w:rsidRPr="0033344E" w:rsidRDefault="00B001B1" w:rsidP="007E5C2C">
      <w:pPr>
        <w:pStyle w:val="ListParagraph"/>
        <w:numPr>
          <w:ilvl w:val="0"/>
          <w:numId w:val="21"/>
        </w:numPr>
        <w:rPr>
          <w:rFonts w:ascii="Arial" w:eastAsia="Calibri" w:hAnsi="Arial" w:cs="Arial"/>
          <w:sz w:val="20"/>
          <w:lang w:eastAsia="en-US"/>
        </w:rPr>
      </w:pPr>
      <w:r>
        <w:rPr>
          <w:rFonts w:ascii="Arial" w:eastAsia="Calibri" w:hAnsi="Arial" w:cs="Arial"/>
          <w:sz w:val="20"/>
          <w:lang w:eastAsia="en-US"/>
        </w:rPr>
        <w:t>Proposal is to post the document (when final) in the NMPG Italy folder. The document is actually a local MP in the context of T2S that is for now only applicable to Italy. To be checked whether France is also impacted (</w:t>
      </w:r>
      <w:proofErr w:type="spellStart"/>
      <w:r>
        <w:rPr>
          <w:rFonts w:ascii="Arial" w:eastAsia="Calibri" w:hAnsi="Arial" w:cs="Arial"/>
          <w:sz w:val="20"/>
          <w:lang w:eastAsia="en-US"/>
        </w:rPr>
        <w:t>Axelle</w:t>
      </w:r>
      <w:proofErr w:type="spellEnd"/>
      <w:r>
        <w:rPr>
          <w:rFonts w:ascii="Arial" w:eastAsia="Calibri" w:hAnsi="Arial" w:cs="Arial"/>
          <w:sz w:val="20"/>
          <w:lang w:eastAsia="en-US"/>
        </w:rPr>
        <w:t>?)</w:t>
      </w:r>
    </w:p>
    <w:p w:rsidR="00B001B1" w:rsidRPr="00664630" w:rsidRDefault="00B001B1" w:rsidP="007E5C2C">
      <w:pPr>
        <w:pStyle w:val="ListParagraph"/>
        <w:numPr>
          <w:ilvl w:val="0"/>
          <w:numId w:val="18"/>
        </w:numPr>
        <w:rPr>
          <w:rFonts w:ascii="Arial" w:eastAsia="Calibri" w:hAnsi="Arial" w:cs="Arial"/>
          <w:b/>
          <w:color w:val="00B050"/>
        </w:rPr>
      </w:pPr>
      <w:r w:rsidRPr="00664630">
        <w:rPr>
          <w:rFonts w:eastAsia="Calibri" w:cs="Arial"/>
          <w:b/>
          <w:color w:val="00B050"/>
        </w:rPr>
        <w:t>Action item: Evelyne to circulate for final review</w:t>
      </w:r>
    </w:p>
    <w:p w:rsidR="004775C6" w:rsidRDefault="004775C6" w:rsidP="00372594">
      <w:pPr>
        <w:spacing w:before="240"/>
        <w:ind w:left="720"/>
        <w:jc w:val="left"/>
        <w:rPr>
          <w:rFonts w:eastAsia="Calibri" w:cs="Arial"/>
          <w:sz w:val="20"/>
          <w:lang w:val="en-GB"/>
        </w:rPr>
      </w:pPr>
    </w:p>
    <w:p w:rsidR="006051F9" w:rsidRDefault="006051F9" w:rsidP="00372594">
      <w:pPr>
        <w:spacing w:before="240"/>
        <w:ind w:left="720"/>
        <w:jc w:val="left"/>
        <w:rPr>
          <w:rFonts w:eastAsia="Calibri" w:cs="Arial"/>
          <w:sz w:val="20"/>
          <w:lang w:val="en-GB"/>
        </w:rPr>
      </w:pPr>
    </w:p>
    <w:p w:rsidR="006051F9" w:rsidRPr="004775C6" w:rsidRDefault="006051F9" w:rsidP="00372594">
      <w:pPr>
        <w:spacing w:before="240"/>
        <w:ind w:left="720"/>
        <w:jc w:val="left"/>
        <w:rPr>
          <w:rFonts w:eastAsia="Calibri" w:cs="Arial"/>
          <w:sz w:val="20"/>
          <w:lang w:val="en-GB"/>
        </w:rPr>
      </w:pPr>
    </w:p>
    <w:p w:rsidR="00916981" w:rsidRDefault="00916981" w:rsidP="007E5C2C">
      <w:pPr>
        <w:numPr>
          <w:ilvl w:val="0"/>
          <w:numId w:val="34"/>
        </w:numPr>
        <w:spacing w:before="240"/>
      </w:pPr>
      <w:r>
        <w:lastRenderedPageBreak/>
        <w:t xml:space="preserve">T2S </w:t>
      </w:r>
      <w:r w:rsidR="00D4225A">
        <w:t>is live</w:t>
      </w:r>
      <w:r w:rsidR="009645AD">
        <w:t>!</w:t>
      </w:r>
      <w:r w:rsidR="00D3060D">
        <w:t xml:space="preserve"> (</w:t>
      </w:r>
      <w:proofErr w:type="spellStart"/>
      <w:r w:rsidR="00D3060D">
        <w:t>Fabrizio</w:t>
      </w:r>
      <w:proofErr w:type="spellEnd"/>
      <w:r w:rsidR="00D3060D">
        <w:t>)</w:t>
      </w:r>
      <w:r w:rsidR="00A05F7B">
        <w:t xml:space="preserve"> </w:t>
      </w:r>
      <w:proofErr w:type="spellStart"/>
      <w:r w:rsidR="00A05F7B" w:rsidRPr="001F4245">
        <w:t>Cf</w:t>
      </w:r>
      <w:proofErr w:type="spellEnd"/>
      <w:r w:rsidR="00A05F7B" w:rsidRPr="001F4245">
        <w:t xml:space="preserve">  </w:t>
      </w:r>
      <w:proofErr w:type="spellStart"/>
      <w:r w:rsidR="00A05F7B" w:rsidRPr="001F4245">
        <w:t>ppt</w:t>
      </w:r>
      <w:proofErr w:type="spellEnd"/>
      <w:r w:rsidR="00A05F7B" w:rsidRPr="001F4245">
        <w:t xml:space="preserve"> slides</w:t>
      </w:r>
    </w:p>
    <w:p w:rsidR="00C73670" w:rsidRDefault="00C73670" w:rsidP="00C73670">
      <w:pPr>
        <w:spacing w:before="240"/>
        <w:ind w:left="1080"/>
      </w:pPr>
    </w:p>
    <w:p w:rsidR="00A05F7B" w:rsidRPr="00A05F7B" w:rsidRDefault="00A05F7B" w:rsidP="007E5C2C">
      <w:pPr>
        <w:numPr>
          <w:ilvl w:val="0"/>
          <w:numId w:val="22"/>
        </w:numPr>
        <w:jc w:val="left"/>
        <w:rPr>
          <w:rFonts w:eastAsia="Calibri" w:cs="Arial"/>
          <w:sz w:val="20"/>
          <w:lang w:val="en-GB"/>
        </w:rPr>
      </w:pPr>
      <w:r w:rsidRPr="00A05F7B">
        <w:rPr>
          <w:rFonts w:eastAsia="Calibri" w:cs="Arial"/>
          <w:sz w:val="20"/>
          <w:lang w:val="en-GB"/>
        </w:rPr>
        <w:t xml:space="preserve">Addressing fragmentation across European landscape – trading, clearing, securities settlement and asset servicing and cash settlement </w:t>
      </w:r>
    </w:p>
    <w:p w:rsidR="00A05F7B" w:rsidRPr="00A05F7B" w:rsidRDefault="00A05F7B" w:rsidP="007E5C2C">
      <w:pPr>
        <w:numPr>
          <w:ilvl w:val="0"/>
          <w:numId w:val="22"/>
        </w:numPr>
        <w:jc w:val="left"/>
        <w:rPr>
          <w:rFonts w:eastAsia="Calibri" w:cs="Arial"/>
          <w:sz w:val="20"/>
          <w:lang w:val="en-GB"/>
        </w:rPr>
      </w:pPr>
      <w:r w:rsidRPr="00A05F7B">
        <w:rPr>
          <w:rFonts w:eastAsia="Calibri" w:cs="Arial"/>
          <w:sz w:val="20"/>
          <w:lang w:val="en-GB"/>
        </w:rPr>
        <w:t>All countries within European Union regardless if within the Euro currency settlement as well as non EU CSD (Switzerland Euro business).  Greece only covers government bonds CSD. 99% of Euro settlements covered</w:t>
      </w:r>
    </w:p>
    <w:p w:rsidR="00A05F7B" w:rsidRPr="00A05F7B" w:rsidRDefault="00A05F7B" w:rsidP="007E5C2C">
      <w:pPr>
        <w:numPr>
          <w:ilvl w:val="0"/>
          <w:numId w:val="22"/>
        </w:numPr>
        <w:jc w:val="left"/>
        <w:rPr>
          <w:rFonts w:eastAsia="Calibri" w:cs="Arial"/>
          <w:sz w:val="20"/>
          <w:lang w:val="en-GB"/>
        </w:rPr>
      </w:pPr>
      <w:r w:rsidRPr="00A05F7B">
        <w:rPr>
          <w:rFonts w:eastAsia="Calibri" w:cs="Arial"/>
          <w:sz w:val="20"/>
          <w:lang w:val="en-GB"/>
        </w:rPr>
        <w:t>Non Euro RTGS planned – Denmark Krona cash settlement  migration expected for 2018</w:t>
      </w:r>
    </w:p>
    <w:p w:rsidR="00A05F7B" w:rsidRPr="00A05F7B" w:rsidRDefault="00A05F7B" w:rsidP="007E5C2C">
      <w:pPr>
        <w:numPr>
          <w:ilvl w:val="1"/>
          <w:numId w:val="22"/>
        </w:numPr>
        <w:jc w:val="left"/>
        <w:rPr>
          <w:rFonts w:eastAsia="Calibri" w:cs="Arial"/>
          <w:sz w:val="20"/>
          <w:lang w:val="en-GB"/>
        </w:rPr>
      </w:pPr>
      <w:r w:rsidRPr="00A05F7B">
        <w:rPr>
          <w:rFonts w:eastAsia="Calibri" w:cs="Arial"/>
          <w:sz w:val="20"/>
          <w:lang w:val="en-GB"/>
        </w:rPr>
        <w:t>Zero share cash movements can also exist though limited to specific scenarios (claim cash movement)</w:t>
      </w:r>
    </w:p>
    <w:p w:rsidR="00A05F7B" w:rsidRPr="00A05F7B" w:rsidRDefault="00A05F7B" w:rsidP="007E5C2C">
      <w:pPr>
        <w:numPr>
          <w:ilvl w:val="0"/>
          <w:numId w:val="22"/>
        </w:numPr>
        <w:jc w:val="left"/>
        <w:rPr>
          <w:rFonts w:eastAsia="Calibri" w:cs="Arial"/>
          <w:sz w:val="20"/>
          <w:lang w:val="en-GB"/>
        </w:rPr>
      </w:pPr>
      <w:r w:rsidRPr="00A05F7B">
        <w:rPr>
          <w:rFonts w:eastAsia="Calibri" w:cs="Arial"/>
          <w:sz w:val="20"/>
          <w:lang w:val="en-GB"/>
        </w:rPr>
        <w:t xml:space="preserve">Each wave was designed to have one major market and some smaller market migrations grouped together  </w:t>
      </w:r>
    </w:p>
    <w:p w:rsidR="00A05F7B" w:rsidRPr="00A05F7B" w:rsidRDefault="00A05F7B" w:rsidP="007E5C2C">
      <w:pPr>
        <w:numPr>
          <w:ilvl w:val="1"/>
          <w:numId w:val="22"/>
        </w:numPr>
        <w:jc w:val="left"/>
        <w:rPr>
          <w:rFonts w:eastAsia="Calibri" w:cs="Arial"/>
          <w:sz w:val="20"/>
          <w:lang w:val="en-GB"/>
        </w:rPr>
      </w:pPr>
      <w:r w:rsidRPr="00A05F7B">
        <w:rPr>
          <w:rFonts w:eastAsia="Calibri" w:cs="Arial"/>
          <w:sz w:val="20"/>
          <w:lang w:val="en-GB"/>
        </w:rPr>
        <w:t>Wave 1 – Italy</w:t>
      </w:r>
    </w:p>
    <w:p w:rsidR="00A05F7B" w:rsidRPr="00A05F7B" w:rsidRDefault="00A05F7B" w:rsidP="007E5C2C">
      <w:pPr>
        <w:numPr>
          <w:ilvl w:val="1"/>
          <w:numId w:val="22"/>
        </w:numPr>
        <w:jc w:val="left"/>
        <w:rPr>
          <w:rFonts w:eastAsia="Calibri" w:cs="Arial"/>
          <w:sz w:val="20"/>
          <w:lang w:val="en-GB"/>
        </w:rPr>
      </w:pPr>
      <w:r w:rsidRPr="00A05F7B">
        <w:rPr>
          <w:rFonts w:eastAsia="Calibri" w:cs="Arial"/>
          <w:sz w:val="20"/>
          <w:lang w:val="en-GB"/>
        </w:rPr>
        <w:t xml:space="preserve">Wave 2 – </w:t>
      </w:r>
      <w:proofErr w:type="spellStart"/>
      <w:r w:rsidRPr="00A05F7B">
        <w:rPr>
          <w:rFonts w:eastAsia="Calibri" w:cs="Arial"/>
          <w:sz w:val="20"/>
          <w:lang w:val="en-GB"/>
        </w:rPr>
        <w:t>Euroclear</w:t>
      </w:r>
      <w:proofErr w:type="spellEnd"/>
    </w:p>
    <w:p w:rsidR="00A05F7B" w:rsidRPr="00A05F7B" w:rsidRDefault="00A05F7B" w:rsidP="007E5C2C">
      <w:pPr>
        <w:numPr>
          <w:ilvl w:val="1"/>
          <w:numId w:val="22"/>
        </w:numPr>
        <w:jc w:val="left"/>
        <w:rPr>
          <w:rFonts w:eastAsia="Calibri" w:cs="Arial"/>
          <w:sz w:val="20"/>
          <w:lang w:val="en-GB"/>
        </w:rPr>
      </w:pPr>
      <w:r w:rsidRPr="00A05F7B">
        <w:rPr>
          <w:rFonts w:eastAsia="Calibri" w:cs="Arial"/>
          <w:sz w:val="20"/>
          <w:lang w:val="en-GB"/>
        </w:rPr>
        <w:t xml:space="preserve">Wave 3 – </w:t>
      </w:r>
      <w:proofErr w:type="spellStart"/>
      <w:r w:rsidRPr="00A05F7B">
        <w:rPr>
          <w:rFonts w:eastAsia="Calibri" w:cs="Arial"/>
          <w:sz w:val="20"/>
          <w:lang w:val="en-GB"/>
        </w:rPr>
        <w:t>Clearstream</w:t>
      </w:r>
      <w:proofErr w:type="spellEnd"/>
    </w:p>
    <w:p w:rsidR="00A05F7B" w:rsidRPr="00A05F7B" w:rsidRDefault="00A05F7B" w:rsidP="007E5C2C">
      <w:pPr>
        <w:numPr>
          <w:ilvl w:val="1"/>
          <w:numId w:val="22"/>
        </w:numPr>
        <w:jc w:val="left"/>
        <w:rPr>
          <w:rFonts w:eastAsia="Calibri" w:cs="Arial"/>
          <w:sz w:val="20"/>
          <w:lang w:val="en-GB"/>
        </w:rPr>
      </w:pPr>
      <w:r w:rsidRPr="00A05F7B">
        <w:rPr>
          <w:rFonts w:eastAsia="Calibri" w:cs="Arial"/>
          <w:sz w:val="20"/>
          <w:lang w:val="en-GB"/>
        </w:rPr>
        <w:t>Wave 4 – Spain</w:t>
      </w:r>
    </w:p>
    <w:p w:rsidR="00A05F7B" w:rsidRPr="00A05F7B" w:rsidRDefault="00A05F7B" w:rsidP="007E5C2C">
      <w:pPr>
        <w:numPr>
          <w:ilvl w:val="0"/>
          <w:numId w:val="22"/>
        </w:numPr>
        <w:jc w:val="left"/>
        <w:rPr>
          <w:rFonts w:eastAsia="Calibri" w:cs="Arial"/>
          <w:sz w:val="20"/>
          <w:lang w:val="en-GB"/>
        </w:rPr>
      </w:pPr>
      <w:r w:rsidRPr="00A05F7B">
        <w:rPr>
          <w:rFonts w:eastAsia="Calibri" w:cs="Arial"/>
          <w:sz w:val="20"/>
          <w:lang w:val="en-GB"/>
        </w:rPr>
        <w:t>Detailed migration storyline (DMS) sets the rules and principles for the migration activities from pre-migration through migration weekend through post-migration</w:t>
      </w:r>
    </w:p>
    <w:p w:rsidR="00A05F7B" w:rsidRPr="00A05F7B" w:rsidRDefault="00A05F7B" w:rsidP="007E5C2C">
      <w:pPr>
        <w:numPr>
          <w:ilvl w:val="1"/>
          <w:numId w:val="22"/>
        </w:numPr>
        <w:jc w:val="left"/>
        <w:rPr>
          <w:rFonts w:eastAsia="Calibri" w:cs="Arial"/>
          <w:sz w:val="20"/>
          <w:lang w:val="en-GB"/>
        </w:rPr>
      </w:pPr>
      <w:r w:rsidRPr="00A05F7B">
        <w:rPr>
          <w:rFonts w:eastAsia="Calibri" w:cs="Arial"/>
          <w:sz w:val="20"/>
          <w:lang w:val="en-GB"/>
        </w:rPr>
        <w:t>Data migration tool</w:t>
      </w:r>
    </w:p>
    <w:p w:rsidR="00D33ADF" w:rsidRPr="00D33ADF" w:rsidRDefault="00A05F7B" w:rsidP="007E5C2C">
      <w:pPr>
        <w:numPr>
          <w:ilvl w:val="1"/>
          <w:numId w:val="22"/>
        </w:numPr>
        <w:jc w:val="left"/>
        <w:rPr>
          <w:rFonts w:eastAsia="Calibri" w:cs="Arial"/>
          <w:sz w:val="20"/>
          <w:lang w:val="en-GB"/>
        </w:rPr>
      </w:pPr>
      <w:r w:rsidRPr="00A05F7B">
        <w:rPr>
          <w:rFonts w:eastAsia="Calibri" w:cs="Arial"/>
          <w:sz w:val="20"/>
          <w:lang w:val="en-GB"/>
        </w:rPr>
        <w:t>Contingency scenarios</w:t>
      </w:r>
      <w:r w:rsidR="00D33ADF">
        <w:rPr>
          <w:rFonts w:eastAsia="Calibri" w:cs="Arial"/>
          <w:sz w:val="20"/>
          <w:lang w:val="en-GB"/>
        </w:rPr>
        <w:t xml:space="preserve"> - </w:t>
      </w:r>
      <w:r w:rsidR="00D33ADF" w:rsidRPr="00D33ADF">
        <w:rPr>
          <w:rFonts w:eastAsia="Calibri" w:cs="Arial"/>
          <w:sz w:val="20"/>
          <w:lang w:val="en-GB"/>
        </w:rPr>
        <w:t>Point Of Non Return however exists.</w:t>
      </w:r>
    </w:p>
    <w:p w:rsidR="00A05F7B" w:rsidRPr="00A05F7B" w:rsidRDefault="00A05F7B" w:rsidP="007E5C2C">
      <w:pPr>
        <w:numPr>
          <w:ilvl w:val="1"/>
          <w:numId w:val="22"/>
        </w:numPr>
        <w:jc w:val="left"/>
        <w:rPr>
          <w:rFonts w:eastAsia="Calibri" w:cs="Arial"/>
          <w:sz w:val="20"/>
          <w:lang w:val="en-GB"/>
        </w:rPr>
      </w:pPr>
      <w:r w:rsidRPr="00A05F7B">
        <w:rPr>
          <w:rFonts w:eastAsia="Calibri" w:cs="Arial"/>
          <w:sz w:val="20"/>
          <w:lang w:val="en-GB"/>
        </w:rPr>
        <w:t>Migration toolkit</w:t>
      </w:r>
    </w:p>
    <w:p w:rsidR="009645AD" w:rsidRDefault="009645AD" w:rsidP="007E5C2C">
      <w:pPr>
        <w:numPr>
          <w:ilvl w:val="0"/>
          <w:numId w:val="34"/>
        </w:numPr>
        <w:spacing w:before="240"/>
      </w:pPr>
      <w:r w:rsidRPr="001F35B5">
        <w:t>CR SR2017</w:t>
      </w:r>
      <w:r w:rsidR="001F35B5" w:rsidRPr="001F35B5">
        <w:t xml:space="preserve"> : </w:t>
      </w:r>
      <w:r w:rsidR="00D4225A">
        <w:t>T</w:t>
      </w:r>
      <w:r w:rsidR="001F35B5" w:rsidRPr="001F35B5">
        <w:t>2S Statement of Transactions in case of partial settlement</w:t>
      </w:r>
      <w:r w:rsidR="00D4225A">
        <w:t xml:space="preserve"> (</w:t>
      </w:r>
      <w:proofErr w:type="spellStart"/>
      <w:r w:rsidR="00D4225A">
        <w:t>Fabrizio</w:t>
      </w:r>
      <w:proofErr w:type="spellEnd"/>
      <w:r w:rsidR="00D4225A">
        <w:t>)</w:t>
      </w:r>
    </w:p>
    <w:p w:rsidR="00D33ADF" w:rsidRDefault="00D33ADF" w:rsidP="00D33ADF">
      <w:pPr>
        <w:spacing w:before="240"/>
        <w:ind w:left="1080"/>
      </w:pPr>
      <w:proofErr w:type="spellStart"/>
      <w:proofErr w:type="gramStart"/>
      <w:r w:rsidRPr="001F4245">
        <w:t>Cf</w:t>
      </w:r>
      <w:proofErr w:type="spellEnd"/>
      <w:r w:rsidRPr="001F4245">
        <w:t xml:space="preserve">  </w:t>
      </w:r>
      <w:proofErr w:type="spellStart"/>
      <w:r w:rsidRPr="001F4245">
        <w:t>ppt</w:t>
      </w:r>
      <w:proofErr w:type="spellEnd"/>
      <w:proofErr w:type="gramEnd"/>
      <w:r w:rsidRPr="001F4245">
        <w:t xml:space="preserve"> slides</w:t>
      </w:r>
    </w:p>
    <w:p w:rsidR="00D33ADF" w:rsidRDefault="00D33ADF" w:rsidP="00D33ADF">
      <w:pPr>
        <w:spacing w:before="240"/>
      </w:pPr>
    </w:p>
    <w:p w:rsidR="00D33ADF" w:rsidRPr="00C73670" w:rsidRDefault="00D33ADF" w:rsidP="007E5C2C">
      <w:pPr>
        <w:numPr>
          <w:ilvl w:val="0"/>
          <w:numId w:val="22"/>
        </w:numPr>
        <w:jc w:val="left"/>
        <w:rPr>
          <w:rFonts w:eastAsia="Calibri" w:cs="Arial"/>
          <w:sz w:val="20"/>
          <w:lang w:val="en-GB"/>
        </w:rPr>
      </w:pPr>
      <w:r w:rsidRPr="00C73670">
        <w:rPr>
          <w:rFonts w:eastAsia="Calibri" w:cs="Arial"/>
          <w:sz w:val="20"/>
          <w:lang w:val="en-GB"/>
        </w:rPr>
        <w:t>Description of the difference between SMPG MP and T2S MP.</w:t>
      </w:r>
    </w:p>
    <w:p w:rsidR="00D33ADF" w:rsidRPr="00C73670" w:rsidRDefault="00D33ADF" w:rsidP="007E5C2C">
      <w:pPr>
        <w:numPr>
          <w:ilvl w:val="0"/>
          <w:numId w:val="22"/>
        </w:numPr>
        <w:jc w:val="left"/>
        <w:rPr>
          <w:rFonts w:eastAsia="Calibri" w:cs="Arial"/>
          <w:sz w:val="20"/>
          <w:lang w:val="en-GB"/>
        </w:rPr>
      </w:pPr>
      <w:r w:rsidRPr="00C73670">
        <w:rPr>
          <w:rFonts w:eastAsia="Calibri" w:cs="Arial"/>
          <w:sz w:val="20"/>
          <w:lang w:val="en-GB"/>
        </w:rPr>
        <w:t>Question of interpretation of SMPG market practice on MT536 recommendations on providing settled transaction total on a partial settlement</w:t>
      </w:r>
    </w:p>
    <w:p w:rsidR="00D33ADF" w:rsidRPr="00C73670" w:rsidRDefault="00D33ADF" w:rsidP="007E5C2C">
      <w:pPr>
        <w:numPr>
          <w:ilvl w:val="0"/>
          <w:numId w:val="22"/>
        </w:numPr>
        <w:jc w:val="left"/>
        <w:rPr>
          <w:rFonts w:eastAsia="Calibri" w:cs="Arial"/>
          <w:sz w:val="20"/>
          <w:lang w:val="en-GB"/>
        </w:rPr>
      </w:pPr>
      <w:r w:rsidRPr="00C73670">
        <w:rPr>
          <w:rFonts w:eastAsia="Calibri" w:cs="Arial"/>
          <w:sz w:val="20"/>
          <w:lang w:val="en-GB"/>
        </w:rPr>
        <w:t xml:space="preserve">SWIFT handbooks are clear on definition of statement frequency: </w:t>
      </w:r>
    </w:p>
    <w:p w:rsidR="00D33ADF" w:rsidRPr="00C73670" w:rsidRDefault="00D33ADF" w:rsidP="007E5C2C">
      <w:pPr>
        <w:numPr>
          <w:ilvl w:val="1"/>
          <w:numId w:val="22"/>
        </w:numPr>
        <w:jc w:val="left"/>
        <w:rPr>
          <w:rFonts w:eastAsia="Calibri" w:cs="Arial"/>
          <w:sz w:val="20"/>
          <w:lang w:val="en-GB"/>
        </w:rPr>
      </w:pPr>
      <w:r w:rsidRPr="00C73670">
        <w:rPr>
          <w:rFonts w:eastAsia="Calibri" w:cs="Arial"/>
          <w:sz w:val="20"/>
          <w:lang w:val="en-GB"/>
        </w:rPr>
        <w:t xml:space="preserve">Intra-day statement frequency (22F::SFRE//INDA) for a point in time during the day of the settled partial trades </w:t>
      </w:r>
    </w:p>
    <w:p w:rsidR="00D33ADF" w:rsidRPr="00C73670" w:rsidRDefault="00D33ADF" w:rsidP="007E5C2C">
      <w:pPr>
        <w:numPr>
          <w:ilvl w:val="1"/>
          <w:numId w:val="22"/>
        </w:numPr>
        <w:jc w:val="left"/>
        <w:rPr>
          <w:rFonts w:eastAsia="Calibri" w:cs="Arial"/>
          <w:sz w:val="20"/>
          <w:lang w:val="en-GB"/>
        </w:rPr>
      </w:pPr>
      <w:r w:rsidRPr="00C73670">
        <w:rPr>
          <w:rFonts w:eastAsia="Calibri" w:cs="Arial"/>
          <w:sz w:val="20"/>
          <w:lang w:val="en-GB"/>
        </w:rPr>
        <w:t>End of Day statement frequency (22F::SFRE//DAIL) for the entire days settled trades</w:t>
      </w:r>
    </w:p>
    <w:p w:rsidR="00D33ADF" w:rsidRPr="00C73670" w:rsidRDefault="00D33ADF" w:rsidP="007E5C2C">
      <w:pPr>
        <w:numPr>
          <w:ilvl w:val="1"/>
          <w:numId w:val="22"/>
        </w:numPr>
        <w:jc w:val="left"/>
        <w:rPr>
          <w:rFonts w:eastAsia="Calibri" w:cs="Arial"/>
          <w:sz w:val="20"/>
          <w:lang w:val="en-GB"/>
        </w:rPr>
      </w:pPr>
      <w:r w:rsidRPr="00C73670">
        <w:rPr>
          <w:rFonts w:eastAsia="Calibri" w:cs="Arial"/>
          <w:sz w:val="20"/>
          <w:lang w:val="en-GB"/>
        </w:rPr>
        <w:t>Delta report vs. Complete report indicator (22F::CODE//DELT</w:t>
      </w:r>
    </w:p>
    <w:p w:rsidR="00D33ADF" w:rsidRPr="00C73670" w:rsidRDefault="00D33ADF" w:rsidP="007E5C2C">
      <w:pPr>
        <w:numPr>
          <w:ilvl w:val="0"/>
          <w:numId w:val="22"/>
        </w:numPr>
        <w:jc w:val="left"/>
        <w:rPr>
          <w:rFonts w:eastAsia="Calibri" w:cs="Arial"/>
          <w:sz w:val="20"/>
          <w:lang w:val="en-GB"/>
        </w:rPr>
      </w:pPr>
      <w:r w:rsidRPr="00C73670">
        <w:rPr>
          <w:rFonts w:eastAsia="Calibri" w:cs="Arial"/>
          <w:sz w:val="20"/>
          <w:lang w:val="en-GB"/>
        </w:rPr>
        <w:t>Question 1 - Agreed that it does not mean REAL TIME</w:t>
      </w:r>
    </w:p>
    <w:p w:rsidR="00D33ADF" w:rsidRPr="00C73670" w:rsidRDefault="00D33ADF" w:rsidP="007E5C2C">
      <w:pPr>
        <w:numPr>
          <w:ilvl w:val="0"/>
          <w:numId w:val="22"/>
        </w:numPr>
        <w:jc w:val="left"/>
        <w:rPr>
          <w:rFonts w:eastAsia="Calibri" w:cs="Arial"/>
          <w:sz w:val="20"/>
          <w:lang w:val="en-GB"/>
        </w:rPr>
      </w:pPr>
      <w:r w:rsidRPr="00C73670">
        <w:rPr>
          <w:rFonts w:eastAsia="Calibri" w:cs="Arial"/>
          <w:sz w:val="20"/>
          <w:lang w:val="en-GB"/>
        </w:rPr>
        <w:t>Question 2 - Consensus in the Group for separate booking</w:t>
      </w:r>
      <w:r w:rsidR="00664630">
        <w:rPr>
          <w:rFonts w:eastAsia="Calibri" w:cs="Arial"/>
          <w:sz w:val="20"/>
          <w:lang w:val="en-GB"/>
        </w:rPr>
        <w:t xml:space="preserve"> but the group agreed that aggregate amounts can be accepted to avoid implementation impacts on T2S.</w:t>
      </w:r>
    </w:p>
    <w:p w:rsidR="00D33ADF" w:rsidRPr="00C73670" w:rsidRDefault="00234E90" w:rsidP="007E5C2C">
      <w:pPr>
        <w:numPr>
          <w:ilvl w:val="0"/>
          <w:numId w:val="22"/>
        </w:numPr>
        <w:jc w:val="left"/>
        <w:rPr>
          <w:rFonts w:eastAsia="Calibri" w:cs="Arial"/>
          <w:sz w:val="20"/>
          <w:lang w:val="en-GB"/>
        </w:rPr>
      </w:pPr>
      <w:r w:rsidRPr="00C73670">
        <w:rPr>
          <w:rFonts w:eastAsia="Calibri" w:cs="Arial"/>
          <w:sz w:val="20"/>
          <w:lang w:val="en-GB"/>
        </w:rPr>
        <w:t xml:space="preserve">Question 3 - </w:t>
      </w:r>
      <w:r w:rsidR="00664630">
        <w:rPr>
          <w:sz w:val="20"/>
        </w:rPr>
        <w:t>SMPG answered that with the requested change, T2S would be in line with the SMPG recommendations.</w:t>
      </w:r>
    </w:p>
    <w:p w:rsidR="00234E90" w:rsidRPr="00C73670" w:rsidRDefault="00234E90" w:rsidP="007E5C2C">
      <w:pPr>
        <w:numPr>
          <w:ilvl w:val="0"/>
          <w:numId w:val="22"/>
        </w:numPr>
        <w:jc w:val="left"/>
        <w:rPr>
          <w:rFonts w:eastAsia="Calibri" w:cs="Arial"/>
          <w:sz w:val="20"/>
          <w:lang w:val="en-GB"/>
        </w:rPr>
      </w:pPr>
      <w:r w:rsidRPr="00C73670">
        <w:rPr>
          <w:rFonts w:eastAsia="Calibri" w:cs="Arial"/>
          <w:sz w:val="20"/>
          <w:lang w:val="en-GB"/>
        </w:rPr>
        <w:t>Question 4 - Option 1 is the logical explanation of delta report – The group believes that the UHB clearly explains the meaning of delta report.</w:t>
      </w:r>
    </w:p>
    <w:p w:rsidR="00234E90" w:rsidRPr="00C73670" w:rsidRDefault="00234E90" w:rsidP="007E5C2C">
      <w:pPr>
        <w:numPr>
          <w:ilvl w:val="0"/>
          <w:numId w:val="22"/>
        </w:numPr>
        <w:jc w:val="left"/>
        <w:rPr>
          <w:rFonts w:eastAsia="Calibri" w:cs="Arial"/>
          <w:sz w:val="20"/>
          <w:lang w:val="en-GB"/>
        </w:rPr>
      </w:pPr>
      <w:r w:rsidRPr="00C73670">
        <w:rPr>
          <w:rFonts w:eastAsia="Calibri" w:cs="Arial"/>
          <w:sz w:val="20"/>
          <w:lang w:val="en-GB"/>
        </w:rPr>
        <w:t>Question 5 - SMPG group is not supportive of the change.</w:t>
      </w:r>
    </w:p>
    <w:p w:rsidR="00234E90" w:rsidRDefault="00234E90" w:rsidP="007E5C2C">
      <w:pPr>
        <w:numPr>
          <w:ilvl w:val="0"/>
          <w:numId w:val="22"/>
        </w:numPr>
        <w:jc w:val="left"/>
        <w:rPr>
          <w:rFonts w:eastAsia="Calibri" w:cs="Arial"/>
          <w:sz w:val="20"/>
          <w:lang w:val="en-GB"/>
        </w:rPr>
      </w:pPr>
      <w:r w:rsidRPr="00C73670">
        <w:rPr>
          <w:rFonts w:eastAsia="Calibri" w:cs="Arial"/>
          <w:sz w:val="20"/>
          <w:lang w:val="en-GB"/>
        </w:rPr>
        <w:t xml:space="preserve">Question 6 - SMPG group agreed to add a section to the MP. It would be good to have a proposal (from </w:t>
      </w:r>
      <w:r w:rsidR="00664630">
        <w:rPr>
          <w:rFonts w:eastAsia="Calibri" w:cs="Arial"/>
          <w:sz w:val="20"/>
          <w:lang w:val="en-GB"/>
        </w:rPr>
        <w:t xml:space="preserve">the </w:t>
      </w:r>
      <w:proofErr w:type="spellStart"/>
      <w:r w:rsidR="00664630">
        <w:rPr>
          <w:rFonts w:eastAsia="Calibri" w:cs="Arial"/>
          <w:sz w:val="20"/>
          <w:lang w:val="en-GB"/>
        </w:rPr>
        <w:t>Eurosystem</w:t>
      </w:r>
      <w:proofErr w:type="spellEnd"/>
      <w:r w:rsidRPr="00C73670">
        <w:rPr>
          <w:rFonts w:eastAsia="Calibri" w:cs="Arial"/>
          <w:sz w:val="20"/>
          <w:lang w:val="en-GB"/>
        </w:rPr>
        <w:t>) and SMPG wi</w:t>
      </w:r>
      <w:r w:rsidR="003F044A" w:rsidRPr="00C73670">
        <w:rPr>
          <w:rFonts w:eastAsia="Calibri" w:cs="Arial"/>
          <w:sz w:val="20"/>
          <w:lang w:val="en-GB"/>
        </w:rPr>
        <w:t>ll discuss the update to MT536</w:t>
      </w:r>
      <w:r w:rsidR="00372594">
        <w:rPr>
          <w:rFonts w:eastAsia="Calibri" w:cs="Arial"/>
          <w:sz w:val="20"/>
          <w:lang w:val="en-GB"/>
        </w:rPr>
        <w:t>.</w:t>
      </w:r>
    </w:p>
    <w:p w:rsidR="009A2234" w:rsidRDefault="009A2234" w:rsidP="009A2234">
      <w:pPr>
        <w:jc w:val="left"/>
        <w:rPr>
          <w:rFonts w:eastAsia="Calibri" w:cs="Arial"/>
          <w:sz w:val="20"/>
          <w:lang w:val="en-GB"/>
        </w:rPr>
      </w:pPr>
    </w:p>
    <w:p w:rsidR="009A2234" w:rsidRPr="00372594" w:rsidRDefault="00372594" w:rsidP="007E5C2C">
      <w:pPr>
        <w:pStyle w:val="ListParagraph"/>
        <w:numPr>
          <w:ilvl w:val="0"/>
          <w:numId w:val="18"/>
        </w:numPr>
        <w:rPr>
          <w:rFonts w:eastAsia="Calibri" w:cs="Arial"/>
          <w:b/>
          <w:color w:val="00B050"/>
        </w:rPr>
      </w:pPr>
      <w:r w:rsidRPr="00340CA2">
        <w:rPr>
          <w:rFonts w:ascii="Arial" w:eastAsia="Calibri" w:hAnsi="Arial" w:cs="Arial"/>
          <w:b/>
          <w:color w:val="00B050"/>
          <w:sz w:val="20"/>
          <w:szCs w:val="20"/>
        </w:rPr>
        <w:t xml:space="preserve">Action item: </w:t>
      </w:r>
      <w:proofErr w:type="spellStart"/>
      <w:r w:rsidRPr="00340CA2">
        <w:rPr>
          <w:rFonts w:ascii="Arial" w:eastAsia="Calibri" w:hAnsi="Arial" w:cs="Arial"/>
          <w:b/>
          <w:color w:val="00B050"/>
          <w:sz w:val="20"/>
          <w:szCs w:val="20"/>
        </w:rPr>
        <w:t>Eurosystem</w:t>
      </w:r>
      <w:proofErr w:type="spellEnd"/>
      <w:r w:rsidRPr="00340CA2">
        <w:rPr>
          <w:rFonts w:ascii="Arial" w:eastAsia="Calibri" w:hAnsi="Arial" w:cs="Arial"/>
          <w:b/>
          <w:color w:val="00B050"/>
          <w:sz w:val="20"/>
          <w:szCs w:val="20"/>
        </w:rPr>
        <w:t xml:space="preserve"> to make a proposal to SMPG for update to MT536 (Next SMPG meeting</w:t>
      </w:r>
      <w:r>
        <w:rPr>
          <w:rFonts w:eastAsia="Calibri" w:cs="Arial"/>
          <w:b/>
          <w:color w:val="00B050"/>
        </w:rPr>
        <w:t>)</w:t>
      </w:r>
    </w:p>
    <w:p w:rsidR="00841973" w:rsidRDefault="00841973" w:rsidP="007E5C2C">
      <w:pPr>
        <w:numPr>
          <w:ilvl w:val="0"/>
          <w:numId w:val="34"/>
        </w:numPr>
        <w:spacing w:before="240"/>
      </w:pPr>
      <w:r>
        <w:t xml:space="preserve">Malaysian GST Impacts on matching (Paul </w:t>
      </w:r>
      <w:proofErr w:type="spellStart"/>
      <w:r>
        <w:t>Marchant</w:t>
      </w:r>
      <w:proofErr w:type="spellEnd"/>
      <w:r>
        <w:t xml:space="preserve"> – </w:t>
      </w:r>
      <w:proofErr w:type="spellStart"/>
      <w:r>
        <w:t>Omgeo</w:t>
      </w:r>
      <w:proofErr w:type="spellEnd"/>
      <w:r>
        <w:t>)</w:t>
      </w:r>
    </w:p>
    <w:p w:rsidR="009A2234" w:rsidRPr="00C73670" w:rsidRDefault="009A2234" w:rsidP="009A2234">
      <w:pPr>
        <w:pStyle w:val="ListParagraph"/>
        <w:spacing w:before="240"/>
        <w:ind w:left="1080"/>
        <w:rPr>
          <w:rFonts w:ascii="Arial" w:hAnsi="Arial" w:cs="Arial"/>
          <w:sz w:val="20"/>
          <w:szCs w:val="20"/>
        </w:rPr>
      </w:pPr>
      <w:proofErr w:type="spellStart"/>
      <w:proofErr w:type="gramStart"/>
      <w:r w:rsidRPr="00C73670">
        <w:rPr>
          <w:rFonts w:ascii="Arial" w:hAnsi="Arial" w:cs="Arial"/>
          <w:sz w:val="20"/>
          <w:szCs w:val="20"/>
        </w:rPr>
        <w:t>Cf</w:t>
      </w:r>
      <w:proofErr w:type="spellEnd"/>
      <w:r w:rsidRPr="00C73670">
        <w:rPr>
          <w:rFonts w:ascii="Arial" w:hAnsi="Arial" w:cs="Arial"/>
          <w:sz w:val="20"/>
          <w:szCs w:val="20"/>
        </w:rPr>
        <w:t xml:space="preserve">  </w:t>
      </w:r>
      <w:proofErr w:type="spellStart"/>
      <w:r w:rsidRPr="00C73670">
        <w:rPr>
          <w:rFonts w:ascii="Arial" w:hAnsi="Arial" w:cs="Arial"/>
          <w:sz w:val="20"/>
          <w:szCs w:val="20"/>
        </w:rPr>
        <w:t>ppt</w:t>
      </w:r>
      <w:proofErr w:type="spellEnd"/>
      <w:proofErr w:type="gramEnd"/>
      <w:r w:rsidRPr="00C73670">
        <w:rPr>
          <w:rFonts w:ascii="Arial" w:hAnsi="Arial" w:cs="Arial"/>
          <w:sz w:val="20"/>
          <w:szCs w:val="20"/>
        </w:rPr>
        <w:t xml:space="preserve"> slides</w:t>
      </w:r>
    </w:p>
    <w:p w:rsidR="005F19A3" w:rsidRPr="00C73670" w:rsidRDefault="003F044A" w:rsidP="007E5C2C">
      <w:pPr>
        <w:numPr>
          <w:ilvl w:val="0"/>
          <w:numId w:val="23"/>
        </w:numPr>
        <w:jc w:val="left"/>
        <w:rPr>
          <w:rFonts w:eastAsia="Calibri" w:cs="Arial"/>
          <w:color w:val="000000" w:themeColor="text1"/>
          <w:sz w:val="20"/>
          <w:lang w:val="en-GB"/>
        </w:rPr>
      </w:pPr>
      <w:r w:rsidRPr="00C73670">
        <w:rPr>
          <w:rFonts w:eastAsia="Calibri" w:cs="Arial"/>
          <w:color w:val="000000" w:themeColor="text1"/>
          <w:sz w:val="20"/>
          <w:lang w:val="en-GB"/>
        </w:rPr>
        <w:t xml:space="preserve">Description of the </w:t>
      </w:r>
      <w:r w:rsidR="000A0F99" w:rsidRPr="00C73670">
        <w:rPr>
          <w:rFonts w:eastAsia="Calibri" w:cs="Arial"/>
          <w:color w:val="000000" w:themeColor="text1"/>
          <w:sz w:val="20"/>
          <w:lang w:val="en-GB"/>
        </w:rPr>
        <w:t xml:space="preserve">full </w:t>
      </w:r>
      <w:proofErr w:type="spellStart"/>
      <w:r w:rsidR="000A0F99" w:rsidRPr="00C73670">
        <w:rPr>
          <w:rFonts w:eastAsia="Calibri" w:cs="Arial"/>
          <w:color w:val="000000" w:themeColor="text1"/>
          <w:sz w:val="20"/>
          <w:lang w:val="en-GB"/>
        </w:rPr>
        <w:t>Omgeo</w:t>
      </w:r>
      <w:proofErr w:type="spellEnd"/>
      <w:r w:rsidR="000A0F99" w:rsidRPr="00C73670">
        <w:rPr>
          <w:rFonts w:eastAsia="Calibri" w:cs="Arial"/>
          <w:color w:val="000000" w:themeColor="text1"/>
          <w:sz w:val="20"/>
          <w:lang w:val="en-GB"/>
        </w:rPr>
        <w:t xml:space="preserve"> workflow.</w:t>
      </w:r>
    </w:p>
    <w:p w:rsidR="003F044A" w:rsidRPr="00C73670" w:rsidRDefault="003F044A" w:rsidP="007E5C2C">
      <w:pPr>
        <w:numPr>
          <w:ilvl w:val="0"/>
          <w:numId w:val="23"/>
        </w:numPr>
        <w:jc w:val="left"/>
        <w:rPr>
          <w:rFonts w:eastAsia="Calibri" w:cs="Arial"/>
          <w:color w:val="000000" w:themeColor="text1"/>
          <w:sz w:val="20"/>
          <w:lang w:val="en-GB"/>
        </w:rPr>
      </w:pPr>
      <w:r w:rsidRPr="00C73670">
        <w:rPr>
          <w:rFonts w:eastAsia="Calibri" w:cs="Arial"/>
          <w:color w:val="000000" w:themeColor="text1"/>
          <w:sz w:val="20"/>
          <w:lang w:val="en-GB"/>
        </w:rPr>
        <w:t>SMPG recommendation was to use LADT</w:t>
      </w:r>
    </w:p>
    <w:p w:rsidR="003F044A" w:rsidRPr="00C73670" w:rsidRDefault="003F044A" w:rsidP="007E5C2C">
      <w:pPr>
        <w:numPr>
          <w:ilvl w:val="1"/>
          <w:numId w:val="23"/>
        </w:numPr>
        <w:jc w:val="left"/>
        <w:rPr>
          <w:rFonts w:eastAsia="Calibri" w:cs="Arial"/>
          <w:sz w:val="20"/>
          <w:lang w:val="en-GB"/>
        </w:rPr>
      </w:pPr>
      <w:proofErr w:type="spellStart"/>
      <w:r w:rsidRPr="00C73670">
        <w:rPr>
          <w:rFonts w:eastAsia="Calibri" w:cs="Arial"/>
          <w:sz w:val="20"/>
          <w:lang w:val="en-GB"/>
        </w:rPr>
        <w:lastRenderedPageBreak/>
        <w:t>Omgeo</w:t>
      </w:r>
      <w:proofErr w:type="spellEnd"/>
      <w:r w:rsidRPr="00C73670">
        <w:rPr>
          <w:rFonts w:eastAsia="Calibri" w:cs="Arial"/>
          <w:sz w:val="20"/>
          <w:lang w:val="en-GB"/>
        </w:rPr>
        <w:t xml:space="preserve"> </w:t>
      </w:r>
      <w:r w:rsidR="00372594">
        <w:rPr>
          <w:rFonts w:eastAsia="Calibri" w:cs="Arial"/>
          <w:sz w:val="20"/>
          <w:lang w:val="en-GB"/>
        </w:rPr>
        <w:t>checked the</w:t>
      </w:r>
      <w:r w:rsidRPr="00C73670">
        <w:rPr>
          <w:rFonts w:eastAsia="Calibri" w:cs="Arial"/>
          <w:sz w:val="20"/>
          <w:lang w:val="en-GB"/>
        </w:rPr>
        <w:t xml:space="preserve"> </w:t>
      </w:r>
      <w:r w:rsidR="00372594">
        <w:rPr>
          <w:rFonts w:eastAsia="Calibri" w:cs="Arial"/>
          <w:sz w:val="20"/>
          <w:lang w:val="en-GB"/>
        </w:rPr>
        <w:t xml:space="preserve">usage of that </w:t>
      </w:r>
      <w:r w:rsidRPr="00C73670">
        <w:rPr>
          <w:rFonts w:eastAsia="Calibri" w:cs="Arial"/>
          <w:sz w:val="20"/>
          <w:lang w:val="en-GB"/>
        </w:rPr>
        <w:t xml:space="preserve">qualifier with various markets and determined </w:t>
      </w:r>
      <w:r w:rsidR="00372594">
        <w:rPr>
          <w:rFonts w:eastAsia="Calibri" w:cs="Arial"/>
          <w:sz w:val="20"/>
          <w:lang w:val="en-GB"/>
        </w:rPr>
        <w:t>some</w:t>
      </w:r>
      <w:r w:rsidRPr="00C73670">
        <w:rPr>
          <w:rFonts w:eastAsia="Calibri" w:cs="Arial"/>
          <w:sz w:val="20"/>
          <w:lang w:val="en-GB"/>
        </w:rPr>
        <w:t xml:space="preserve"> vendors were not able to support LADT. However, </w:t>
      </w:r>
      <w:proofErr w:type="spellStart"/>
      <w:r w:rsidRPr="00C73670">
        <w:rPr>
          <w:rFonts w:eastAsia="Calibri" w:cs="Arial"/>
          <w:sz w:val="20"/>
          <w:lang w:val="en-GB"/>
        </w:rPr>
        <w:t>Omgeo</w:t>
      </w:r>
      <w:proofErr w:type="spellEnd"/>
      <w:r w:rsidRPr="00C73670">
        <w:rPr>
          <w:rFonts w:eastAsia="Calibri" w:cs="Arial"/>
          <w:sz w:val="20"/>
          <w:lang w:val="en-GB"/>
        </w:rPr>
        <w:t xml:space="preserve"> pushed for usage based on SMPG recommendation</w:t>
      </w:r>
    </w:p>
    <w:p w:rsidR="003F044A" w:rsidRPr="00C73670" w:rsidRDefault="003F044A" w:rsidP="007E5C2C">
      <w:pPr>
        <w:numPr>
          <w:ilvl w:val="0"/>
          <w:numId w:val="23"/>
        </w:numPr>
        <w:jc w:val="left"/>
        <w:rPr>
          <w:rFonts w:eastAsia="Calibri" w:cs="Arial"/>
          <w:sz w:val="20"/>
          <w:lang w:val="en-GB"/>
        </w:rPr>
      </w:pPr>
      <w:r w:rsidRPr="00C73670">
        <w:rPr>
          <w:rFonts w:eastAsia="Calibri" w:cs="Arial"/>
          <w:sz w:val="20"/>
          <w:lang w:val="en-GB"/>
        </w:rPr>
        <w:t xml:space="preserve">Managing Market Change slide highlights </w:t>
      </w:r>
      <w:proofErr w:type="spellStart"/>
      <w:r w:rsidRPr="00C73670">
        <w:rPr>
          <w:rFonts w:eastAsia="Calibri" w:cs="Arial"/>
          <w:sz w:val="20"/>
          <w:lang w:val="en-GB"/>
        </w:rPr>
        <w:t>Omgeo’s</w:t>
      </w:r>
      <w:proofErr w:type="spellEnd"/>
      <w:r w:rsidRPr="00C73670">
        <w:rPr>
          <w:rFonts w:eastAsia="Calibri" w:cs="Arial"/>
          <w:sz w:val="20"/>
          <w:lang w:val="en-GB"/>
        </w:rPr>
        <w:t xml:space="preserve"> process for documenting changes in the industry – refer to slide on their process</w:t>
      </w:r>
    </w:p>
    <w:p w:rsidR="003F044A" w:rsidRDefault="003F044A" w:rsidP="003F044A">
      <w:pPr>
        <w:ind w:left="1440"/>
        <w:jc w:val="left"/>
        <w:rPr>
          <w:rFonts w:eastAsia="Calibri" w:cs="Arial"/>
          <w:sz w:val="18"/>
          <w:szCs w:val="18"/>
          <w:lang w:val="en-GB"/>
        </w:rPr>
      </w:pPr>
    </w:p>
    <w:p w:rsidR="00071C03" w:rsidRPr="00C73670" w:rsidRDefault="00AF177C" w:rsidP="003F044A">
      <w:pPr>
        <w:jc w:val="left"/>
        <w:rPr>
          <w:rFonts w:cs="Arial"/>
          <w:color w:val="000000" w:themeColor="text1"/>
          <w:sz w:val="20"/>
        </w:rPr>
      </w:pPr>
      <w:r w:rsidRPr="00C73670">
        <w:rPr>
          <w:rFonts w:eastAsia="Calibri" w:cs="Arial"/>
          <w:color w:val="000000" w:themeColor="text1"/>
          <w:sz w:val="20"/>
          <w:lang w:val="en-GB"/>
        </w:rPr>
        <w:t>Paul</w:t>
      </w:r>
      <w:r w:rsidRPr="00C73670">
        <w:rPr>
          <w:rFonts w:cs="Arial"/>
          <w:color w:val="000000" w:themeColor="text1"/>
          <w:sz w:val="20"/>
        </w:rPr>
        <w:t xml:space="preserve"> also shared SGX’s discussion on</w:t>
      </w:r>
      <w:r w:rsidR="00440835" w:rsidRPr="00C73670">
        <w:rPr>
          <w:rFonts w:cs="Arial"/>
          <w:color w:val="000000" w:themeColor="text1"/>
          <w:sz w:val="20"/>
        </w:rPr>
        <w:t xml:space="preserve"> SGX On and Off Exchange Trades. </w:t>
      </w:r>
    </w:p>
    <w:p w:rsidR="003F044A" w:rsidRPr="00C73670" w:rsidRDefault="003F044A" w:rsidP="003F044A">
      <w:pPr>
        <w:pStyle w:val="ListParagraph"/>
        <w:rPr>
          <w:rFonts w:ascii="Arial" w:hAnsi="Arial" w:cs="Arial"/>
          <w:color w:val="000000" w:themeColor="text1"/>
          <w:sz w:val="20"/>
          <w:szCs w:val="20"/>
        </w:rPr>
      </w:pPr>
    </w:p>
    <w:p w:rsidR="003F044A" w:rsidRPr="00C73670" w:rsidRDefault="003F044A" w:rsidP="007E5C2C">
      <w:pPr>
        <w:numPr>
          <w:ilvl w:val="0"/>
          <w:numId w:val="23"/>
        </w:numPr>
        <w:jc w:val="left"/>
        <w:rPr>
          <w:rFonts w:eastAsia="Calibri" w:cs="Arial"/>
          <w:sz w:val="20"/>
          <w:lang w:val="en-GB"/>
        </w:rPr>
      </w:pPr>
      <w:r w:rsidRPr="00C73670">
        <w:rPr>
          <w:rFonts w:eastAsia="Calibri" w:cs="Arial"/>
          <w:sz w:val="20"/>
          <w:lang w:val="en-GB"/>
        </w:rPr>
        <w:t>Workflow impact flows highlighting a block trade required to be declared as off-exchange even though only a small percentage of the block share amount was off-exchange</w:t>
      </w:r>
    </w:p>
    <w:p w:rsidR="003F044A" w:rsidRPr="00C73670" w:rsidRDefault="003F044A" w:rsidP="007E5C2C">
      <w:pPr>
        <w:numPr>
          <w:ilvl w:val="1"/>
          <w:numId w:val="23"/>
        </w:numPr>
        <w:jc w:val="left"/>
        <w:rPr>
          <w:rFonts w:eastAsia="Calibri" w:cs="Arial"/>
          <w:sz w:val="20"/>
          <w:lang w:val="en-GB"/>
        </w:rPr>
      </w:pPr>
      <w:r w:rsidRPr="00C73670">
        <w:rPr>
          <w:rFonts w:eastAsia="Calibri" w:cs="Arial"/>
          <w:sz w:val="20"/>
          <w:lang w:val="en-GB"/>
        </w:rPr>
        <w:t>Ideally the block would have been split into two to identify one as off-exchange and one as on-exchange. But, this would require the entire industry to change to address the splitting of the block</w:t>
      </w:r>
    </w:p>
    <w:p w:rsidR="00841973" w:rsidRDefault="00841973" w:rsidP="007E5C2C">
      <w:pPr>
        <w:numPr>
          <w:ilvl w:val="0"/>
          <w:numId w:val="34"/>
        </w:numPr>
        <w:spacing w:before="240"/>
      </w:pPr>
      <w:r>
        <w:t>ISITC Updates (Jason)</w:t>
      </w:r>
    </w:p>
    <w:p w:rsidR="00841973" w:rsidRPr="00C73670" w:rsidRDefault="00841973" w:rsidP="00B842BA">
      <w:pPr>
        <w:numPr>
          <w:ilvl w:val="1"/>
          <w:numId w:val="9"/>
        </w:numPr>
        <w:spacing w:before="240" w:line="360" w:lineRule="auto"/>
        <w:rPr>
          <w:sz w:val="20"/>
        </w:rPr>
      </w:pPr>
      <w:r w:rsidRPr="00C73670">
        <w:rPr>
          <w:sz w:val="20"/>
        </w:rPr>
        <w:t>Updated Third Party FX Market Practice (MYR requirement) – MP attached</w:t>
      </w:r>
    </w:p>
    <w:p w:rsidR="00ED3AC4" w:rsidRPr="00B842BA" w:rsidRDefault="00ED3AC4" w:rsidP="007E5C2C">
      <w:pPr>
        <w:pStyle w:val="ListParagraph"/>
        <w:numPr>
          <w:ilvl w:val="0"/>
          <w:numId w:val="24"/>
        </w:numPr>
        <w:tabs>
          <w:tab w:val="left" w:pos="1440"/>
        </w:tabs>
        <w:spacing w:before="240" w:after="200" w:line="276" w:lineRule="auto"/>
        <w:contextualSpacing/>
        <w:rPr>
          <w:rFonts w:ascii="Arial" w:eastAsia="Calibri" w:hAnsi="Arial" w:cs="Arial"/>
          <w:sz w:val="20"/>
          <w:szCs w:val="20"/>
        </w:rPr>
      </w:pPr>
      <w:r w:rsidRPr="00B842BA">
        <w:rPr>
          <w:rFonts w:ascii="Arial" w:eastAsia="Calibri" w:hAnsi="Arial" w:cs="Arial"/>
          <w:sz w:val="20"/>
          <w:szCs w:val="20"/>
        </w:rPr>
        <w:t xml:space="preserve">MT304 message. </w:t>
      </w:r>
    </w:p>
    <w:p w:rsidR="00ED3AC4" w:rsidRPr="00B842BA" w:rsidRDefault="00ED3AC4" w:rsidP="007E5C2C">
      <w:pPr>
        <w:pStyle w:val="ListParagraph"/>
        <w:numPr>
          <w:ilvl w:val="0"/>
          <w:numId w:val="24"/>
        </w:numPr>
        <w:tabs>
          <w:tab w:val="left" w:pos="1440"/>
        </w:tabs>
        <w:spacing w:before="240" w:after="200" w:line="276" w:lineRule="auto"/>
        <w:contextualSpacing/>
        <w:rPr>
          <w:rFonts w:ascii="Arial" w:eastAsia="Calibri" w:hAnsi="Arial" w:cs="Arial"/>
          <w:sz w:val="20"/>
          <w:szCs w:val="20"/>
        </w:rPr>
      </w:pPr>
      <w:r w:rsidRPr="00B842BA">
        <w:rPr>
          <w:rFonts w:ascii="Arial" w:eastAsia="Calibri" w:hAnsi="Arial" w:cs="Arial"/>
          <w:sz w:val="20"/>
          <w:szCs w:val="20"/>
        </w:rPr>
        <w:t xml:space="preserve">MY: If </w:t>
      </w:r>
      <w:proofErr w:type="gramStart"/>
      <w:r w:rsidRPr="00B842BA">
        <w:rPr>
          <w:rFonts w:ascii="Arial" w:eastAsia="Calibri" w:hAnsi="Arial" w:cs="Arial"/>
          <w:sz w:val="20"/>
          <w:szCs w:val="20"/>
        </w:rPr>
        <w:t>CBO,</w:t>
      </w:r>
      <w:proofErr w:type="gramEnd"/>
      <w:r w:rsidRPr="00B842BA">
        <w:rPr>
          <w:rFonts w:ascii="Arial" w:eastAsia="Calibri" w:hAnsi="Arial" w:cs="Arial"/>
          <w:sz w:val="20"/>
          <w:szCs w:val="20"/>
        </w:rPr>
        <w:t xml:space="preserve"> requires purpose of payment. Document is posted on the website.</w:t>
      </w:r>
      <w:r w:rsidR="003F0BDD" w:rsidRPr="00B842BA">
        <w:rPr>
          <w:rFonts w:ascii="Arial" w:eastAsia="Calibri" w:hAnsi="Arial" w:cs="Arial"/>
          <w:sz w:val="20"/>
          <w:szCs w:val="20"/>
        </w:rPr>
        <w:t xml:space="preserve"> Cindy has provided contacts for MY RENTAS Payments to Jason.</w:t>
      </w:r>
    </w:p>
    <w:p w:rsidR="00841973" w:rsidRPr="00C73670" w:rsidRDefault="00841973" w:rsidP="00841B85">
      <w:pPr>
        <w:numPr>
          <w:ilvl w:val="1"/>
          <w:numId w:val="9"/>
        </w:numPr>
        <w:spacing w:before="240"/>
        <w:rPr>
          <w:sz w:val="20"/>
        </w:rPr>
      </w:pPr>
      <w:r w:rsidRPr="00C73670">
        <w:rPr>
          <w:sz w:val="20"/>
        </w:rPr>
        <w:t>Bi-lateral Repo SMPG MP – ISITC to present summary sheet of all changes/consolidations of US and Global market practices for review/comments – Alignment discussion doc and updated - draft MP attached</w:t>
      </w:r>
    </w:p>
    <w:p w:rsidR="00F30894" w:rsidRPr="00C73670" w:rsidRDefault="00F30894" w:rsidP="007E5C2C">
      <w:pPr>
        <w:pStyle w:val="ListParagraph"/>
        <w:numPr>
          <w:ilvl w:val="0"/>
          <w:numId w:val="24"/>
        </w:numPr>
        <w:tabs>
          <w:tab w:val="left" w:pos="1440"/>
        </w:tabs>
        <w:spacing w:before="240" w:after="200" w:line="276" w:lineRule="auto"/>
        <w:contextualSpacing/>
        <w:rPr>
          <w:rFonts w:ascii="Arial" w:eastAsia="Calibri" w:hAnsi="Arial" w:cs="Arial"/>
          <w:sz w:val="20"/>
          <w:szCs w:val="20"/>
        </w:rPr>
      </w:pPr>
      <w:r w:rsidRPr="00C73670">
        <w:rPr>
          <w:rFonts w:ascii="Arial" w:eastAsia="Calibri" w:hAnsi="Arial" w:cs="Arial"/>
          <w:sz w:val="20"/>
          <w:szCs w:val="20"/>
        </w:rPr>
        <w:t xml:space="preserve">Review of business case discussion between ISITC and FR on differences in CALL, ROLP and renewal scenario </w:t>
      </w:r>
      <w:proofErr w:type="spellStart"/>
      <w:r w:rsidRPr="00C73670">
        <w:rPr>
          <w:rFonts w:ascii="Arial" w:eastAsia="Calibri" w:hAnsi="Arial" w:cs="Arial"/>
          <w:sz w:val="20"/>
          <w:szCs w:val="20"/>
        </w:rPr>
        <w:t>codeword</w:t>
      </w:r>
      <w:proofErr w:type="spellEnd"/>
      <w:r w:rsidRPr="00C73670">
        <w:rPr>
          <w:rFonts w:ascii="Arial" w:eastAsia="Calibri" w:hAnsi="Arial" w:cs="Arial"/>
          <w:sz w:val="20"/>
          <w:szCs w:val="20"/>
        </w:rPr>
        <w:t xml:space="preserve"> usage.   </w:t>
      </w:r>
    </w:p>
    <w:p w:rsidR="00841973" w:rsidRPr="00C73670" w:rsidRDefault="00841973" w:rsidP="00841B85">
      <w:pPr>
        <w:numPr>
          <w:ilvl w:val="1"/>
          <w:numId w:val="9"/>
        </w:numPr>
        <w:spacing w:before="240"/>
        <w:rPr>
          <w:sz w:val="20"/>
        </w:rPr>
      </w:pPr>
      <w:r w:rsidRPr="00C73670">
        <w:rPr>
          <w:sz w:val="20"/>
        </w:rPr>
        <w:t>Tri-party Repo ISITC (US) MP – re-write of market practice aligns with European best practice of splitting wire nettings from repo contract instruction to custodian/fund accountant. Consider SMPG endorsement – finalized ISITC MP attached</w:t>
      </w:r>
    </w:p>
    <w:p w:rsidR="00F30894" w:rsidRPr="00C73670" w:rsidRDefault="00F30894" w:rsidP="007E5C2C">
      <w:pPr>
        <w:pStyle w:val="ListParagraph"/>
        <w:numPr>
          <w:ilvl w:val="0"/>
          <w:numId w:val="24"/>
        </w:numPr>
        <w:tabs>
          <w:tab w:val="left" w:pos="1440"/>
        </w:tabs>
        <w:spacing w:before="240" w:after="200" w:line="276" w:lineRule="auto"/>
        <w:contextualSpacing/>
        <w:rPr>
          <w:rFonts w:ascii="Arial" w:eastAsia="Calibri" w:hAnsi="Arial" w:cs="Arial"/>
          <w:color w:val="000000" w:themeColor="text1"/>
          <w:sz w:val="20"/>
          <w:szCs w:val="20"/>
        </w:rPr>
      </w:pPr>
      <w:r w:rsidRPr="00C73670">
        <w:rPr>
          <w:rFonts w:ascii="Arial" w:eastAsia="Calibri" w:hAnsi="Arial" w:cs="Arial"/>
          <w:color w:val="000000" w:themeColor="text1"/>
          <w:sz w:val="20"/>
          <w:szCs w:val="20"/>
        </w:rPr>
        <w:t>Jason to setup call with Rob</w:t>
      </w:r>
      <w:r w:rsidR="00B842BA">
        <w:rPr>
          <w:rFonts w:ascii="Arial" w:eastAsia="Calibri" w:hAnsi="Arial" w:cs="Arial"/>
          <w:color w:val="000000" w:themeColor="text1"/>
          <w:sz w:val="20"/>
          <w:szCs w:val="20"/>
        </w:rPr>
        <w:t>i</w:t>
      </w:r>
      <w:r w:rsidRPr="00C73670">
        <w:rPr>
          <w:rFonts w:ascii="Arial" w:eastAsia="Calibri" w:hAnsi="Arial" w:cs="Arial"/>
          <w:color w:val="000000" w:themeColor="text1"/>
          <w:sz w:val="20"/>
          <w:szCs w:val="20"/>
        </w:rPr>
        <w:t>n (UK NMPG) and any other markets interested in reviewing tri party repo MP</w:t>
      </w:r>
    </w:p>
    <w:p w:rsidR="00841973" w:rsidRPr="00C73670" w:rsidRDefault="00841973" w:rsidP="00841B85">
      <w:pPr>
        <w:numPr>
          <w:ilvl w:val="1"/>
          <w:numId w:val="9"/>
        </w:numPr>
        <w:spacing w:before="240"/>
        <w:rPr>
          <w:sz w:val="20"/>
        </w:rPr>
      </w:pPr>
      <w:r w:rsidRPr="00C73670">
        <w:rPr>
          <w:sz w:val="20"/>
        </w:rPr>
        <w:t>Tri-party Agent (MT527) best practice – identify commonalities and differences between formats of tri party agents. Consider SMPG endorsement again.</w:t>
      </w:r>
    </w:p>
    <w:p w:rsidR="000A1E7A" w:rsidRPr="00C73670" w:rsidRDefault="000A1E7A" w:rsidP="007E5C2C">
      <w:pPr>
        <w:pStyle w:val="ListParagraph"/>
        <w:numPr>
          <w:ilvl w:val="0"/>
          <w:numId w:val="24"/>
        </w:numPr>
        <w:tabs>
          <w:tab w:val="left" w:pos="1440"/>
        </w:tabs>
        <w:spacing w:before="240" w:after="200" w:line="276" w:lineRule="auto"/>
        <w:contextualSpacing/>
        <w:rPr>
          <w:rFonts w:ascii="Arial" w:eastAsia="Calibri" w:hAnsi="Arial" w:cs="Arial"/>
          <w:color w:val="000000" w:themeColor="text1"/>
          <w:sz w:val="20"/>
          <w:szCs w:val="20"/>
        </w:rPr>
      </w:pPr>
      <w:r w:rsidRPr="00C73670">
        <w:rPr>
          <w:rFonts w:ascii="Arial" w:eastAsia="Calibri" w:hAnsi="Arial" w:cs="Arial"/>
          <w:color w:val="000000" w:themeColor="text1"/>
          <w:sz w:val="20"/>
          <w:szCs w:val="20"/>
        </w:rPr>
        <w:t>Jason has prepared a spreadsheet that highlights the differences and commonalities across TPAs – will share at next meeting</w:t>
      </w:r>
    </w:p>
    <w:p w:rsidR="000A1E7A" w:rsidRDefault="00841973" w:rsidP="007E5C2C">
      <w:pPr>
        <w:numPr>
          <w:ilvl w:val="0"/>
          <w:numId w:val="34"/>
        </w:numPr>
        <w:spacing w:before="240"/>
      </w:pPr>
      <w:r w:rsidRPr="00916981">
        <w:t>Market/CSD Impacts impacting global custodians and Inv</w:t>
      </w:r>
      <w:r>
        <w:t>estment</w:t>
      </w:r>
      <w:r w:rsidRPr="00916981">
        <w:t xml:space="preserve"> M</w:t>
      </w:r>
      <w:r>
        <w:t>anager</w:t>
      </w:r>
      <w:r w:rsidRPr="00916981">
        <w:t>s</w:t>
      </w:r>
      <w:r>
        <w:t xml:space="preserve"> (Jason)</w:t>
      </w:r>
    </w:p>
    <w:p w:rsidR="000A1E7A" w:rsidRDefault="000A1E7A" w:rsidP="000A1E7A">
      <w:pPr>
        <w:spacing w:before="240"/>
        <w:ind w:left="1080"/>
      </w:pPr>
    </w:p>
    <w:p w:rsidR="000A1E7A" w:rsidRPr="000A1E7A" w:rsidRDefault="000A1E7A" w:rsidP="007E5C2C">
      <w:pPr>
        <w:numPr>
          <w:ilvl w:val="0"/>
          <w:numId w:val="25"/>
        </w:numPr>
        <w:jc w:val="left"/>
        <w:rPr>
          <w:rFonts w:eastAsia="Calibri" w:cs="Arial"/>
          <w:sz w:val="20"/>
          <w:lang w:val="en-GB"/>
        </w:rPr>
      </w:pPr>
      <w:r w:rsidRPr="000A1E7A">
        <w:rPr>
          <w:rFonts w:eastAsia="Calibri" w:cs="Arial"/>
          <w:sz w:val="20"/>
          <w:lang w:val="en-GB"/>
        </w:rPr>
        <w:t xml:space="preserve">Review of matrix with </w:t>
      </w:r>
      <w:proofErr w:type="spellStart"/>
      <w:r w:rsidRPr="000A1E7A">
        <w:rPr>
          <w:rFonts w:eastAsia="Calibri" w:cs="Arial"/>
          <w:sz w:val="20"/>
          <w:lang w:val="en-GB"/>
        </w:rPr>
        <w:t>SnR</w:t>
      </w:r>
      <w:proofErr w:type="spellEnd"/>
      <w:r w:rsidRPr="000A1E7A">
        <w:rPr>
          <w:rFonts w:eastAsia="Calibri" w:cs="Arial"/>
          <w:sz w:val="20"/>
          <w:lang w:val="en-GB"/>
        </w:rPr>
        <w:t xml:space="preserve"> WG highlighting </w:t>
      </w:r>
      <w:r w:rsidR="00A23252">
        <w:rPr>
          <w:rFonts w:eastAsia="Calibri" w:cs="Arial"/>
          <w:sz w:val="20"/>
          <w:lang w:val="en-GB"/>
        </w:rPr>
        <w:t>-</w:t>
      </w:r>
      <w:r w:rsidRPr="000A1E7A">
        <w:rPr>
          <w:rFonts w:eastAsia="Calibri" w:cs="Arial"/>
          <w:sz w:val="20"/>
          <w:lang w:val="en-GB"/>
        </w:rPr>
        <w:t xml:space="preserve"> not intended to be all encompassing, but to be used for tracking of market/CSD changes that have been raised within ISITC for discussion/clarification as to impacts to the upstream Inv. </w:t>
      </w:r>
      <w:proofErr w:type="spellStart"/>
      <w:r w:rsidRPr="000A1E7A">
        <w:rPr>
          <w:rFonts w:eastAsia="Calibri" w:cs="Arial"/>
          <w:sz w:val="20"/>
          <w:lang w:val="en-GB"/>
        </w:rPr>
        <w:t>Mgr</w:t>
      </w:r>
      <w:proofErr w:type="spellEnd"/>
      <w:r w:rsidRPr="000A1E7A">
        <w:rPr>
          <w:rFonts w:eastAsia="Calibri" w:cs="Arial"/>
          <w:sz w:val="20"/>
          <w:lang w:val="en-GB"/>
        </w:rPr>
        <w:t xml:space="preserve"> and global custodian</w:t>
      </w:r>
    </w:p>
    <w:p w:rsidR="000A1E7A" w:rsidRPr="000A1E7A" w:rsidRDefault="000A1E7A" w:rsidP="007E5C2C">
      <w:pPr>
        <w:numPr>
          <w:ilvl w:val="0"/>
          <w:numId w:val="25"/>
        </w:numPr>
        <w:jc w:val="left"/>
        <w:rPr>
          <w:rFonts w:eastAsia="Calibri" w:cs="Arial"/>
          <w:sz w:val="20"/>
          <w:lang w:val="en-GB"/>
        </w:rPr>
      </w:pPr>
      <w:r w:rsidRPr="000A1E7A">
        <w:rPr>
          <w:rFonts w:eastAsia="Calibri" w:cs="Arial"/>
          <w:sz w:val="20"/>
          <w:lang w:val="en-GB"/>
        </w:rPr>
        <w:t xml:space="preserve">SMPG </w:t>
      </w:r>
      <w:proofErr w:type="spellStart"/>
      <w:r w:rsidRPr="000A1E7A">
        <w:rPr>
          <w:rFonts w:eastAsia="Calibri" w:cs="Arial"/>
          <w:sz w:val="20"/>
          <w:lang w:val="en-GB"/>
        </w:rPr>
        <w:t>SnR</w:t>
      </w:r>
      <w:proofErr w:type="spellEnd"/>
      <w:r w:rsidRPr="000A1E7A">
        <w:rPr>
          <w:rFonts w:eastAsia="Calibri" w:cs="Arial"/>
          <w:sz w:val="20"/>
          <w:lang w:val="en-GB"/>
        </w:rPr>
        <w:t xml:space="preserve"> WG agreed better coordination within local NMPGs to push information to the SMPG when market/CSD impacts are announced instead of SMPG frequently ne</w:t>
      </w:r>
      <w:r>
        <w:rPr>
          <w:rFonts w:eastAsia="Calibri" w:cs="Arial"/>
          <w:sz w:val="20"/>
          <w:lang w:val="en-GB"/>
        </w:rPr>
        <w:t xml:space="preserve">eding to pull information from </w:t>
      </w:r>
      <w:r w:rsidRPr="000A1E7A">
        <w:rPr>
          <w:rFonts w:eastAsia="Calibri" w:cs="Arial"/>
          <w:sz w:val="20"/>
          <w:lang w:val="en-GB"/>
        </w:rPr>
        <w:t>the markets which are often well past the date of announcement.</w:t>
      </w:r>
    </w:p>
    <w:p w:rsidR="000A1E7A" w:rsidRPr="000A1E7A" w:rsidRDefault="000A1E7A" w:rsidP="007E5C2C">
      <w:pPr>
        <w:numPr>
          <w:ilvl w:val="0"/>
          <w:numId w:val="25"/>
        </w:numPr>
        <w:jc w:val="left"/>
        <w:rPr>
          <w:rFonts w:eastAsia="Calibri" w:cs="Arial"/>
          <w:sz w:val="20"/>
          <w:lang w:val="en-GB"/>
        </w:rPr>
      </w:pPr>
      <w:r w:rsidRPr="000A1E7A">
        <w:rPr>
          <w:rFonts w:eastAsia="Calibri" w:cs="Arial"/>
          <w:sz w:val="20"/>
          <w:lang w:val="en-GB"/>
        </w:rPr>
        <w:t>Well received by WG and agreed better coordination/communication through the SMPG WG would be helpful for overall group to keep informed.</w:t>
      </w:r>
    </w:p>
    <w:p w:rsidR="000A1E7A" w:rsidRDefault="000A1E7A" w:rsidP="000A1E7A">
      <w:pPr>
        <w:spacing w:before="240"/>
        <w:ind w:left="1080"/>
      </w:pPr>
    </w:p>
    <w:p w:rsidR="00841973" w:rsidRDefault="00841973" w:rsidP="007E5C2C">
      <w:pPr>
        <w:numPr>
          <w:ilvl w:val="0"/>
          <w:numId w:val="34"/>
        </w:numPr>
        <w:spacing w:before="240"/>
      </w:pPr>
      <w:r>
        <w:lastRenderedPageBreak/>
        <w:t>Local Markets Practices – Status (All)</w:t>
      </w:r>
    </w:p>
    <w:p w:rsidR="00841973" w:rsidRDefault="00841973" w:rsidP="00841973">
      <w:pPr>
        <w:ind w:left="360"/>
        <w:rPr>
          <w:i/>
          <w:iCs/>
        </w:rPr>
      </w:pPr>
    </w:p>
    <w:p w:rsidR="00841973" w:rsidRPr="003B1465" w:rsidRDefault="00841973" w:rsidP="00841973">
      <w:pPr>
        <w:ind w:left="360"/>
        <w:rPr>
          <w:i/>
          <w:iCs/>
        </w:rPr>
      </w:pPr>
      <w:r w:rsidRPr="003B1465">
        <w:rPr>
          <w:i/>
          <w:iCs/>
        </w:rPr>
        <w:t>“SMPG Steering Committee has proposed to generalize a more formal way for NMPGs to report on the status of their MPs documents and of their implementation of MPs in the MyStandards platform as it is already done today by the IF WG at each physical meeting.</w:t>
      </w:r>
    </w:p>
    <w:p w:rsidR="00841973" w:rsidRDefault="00841973" w:rsidP="00841973">
      <w:pPr>
        <w:ind w:left="360"/>
        <w:rPr>
          <w:i/>
          <w:iCs/>
        </w:rPr>
      </w:pPr>
      <w:r w:rsidRPr="003B1465">
        <w:rPr>
          <w:i/>
          <w:iCs/>
        </w:rPr>
        <w:t xml:space="preserve">The idea is to have a better knowledge of the status of the local MPs published under the auspices of the SMPG (on both </w:t>
      </w:r>
      <w:hyperlink r:id="rId15" w:history="1">
        <w:r w:rsidRPr="003B1465">
          <w:rPr>
            <w:rStyle w:val="Hyperlink"/>
            <w:i/>
            <w:iCs/>
          </w:rPr>
          <w:t>www.smpg.info</w:t>
        </w:r>
      </w:hyperlink>
      <w:r w:rsidRPr="003B1465">
        <w:rPr>
          <w:i/>
          <w:iCs/>
        </w:rPr>
        <w:t xml:space="preserve"> and on </w:t>
      </w:r>
      <w:hyperlink r:id="rId16" w:history="1">
        <w:r w:rsidRPr="003B1465">
          <w:rPr>
            <w:rStyle w:val="Hyperlink"/>
            <w:i/>
            <w:iCs/>
          </w:rPr>
          <w:t>www.swift.com/mystandards</w:t>
        </w:r>
      </w:hyperlink>
      <w:r w:rsidRPr="003B1465">
        <w:rPr>
          <w:i/>
          <w:iCs/>
        </w:rPr>
        <w:t xml:space="preserve"> ) and at the same time it gives the opportunity to the other NMPGs to look at those new MPs and verify potentially SMPG compliance.</w:t>
      </w:r>
      <w:r>
        <w:rPr>
          <w:i/>
          <w:iCs/>
        </w:rPr>
        <w:t xml:space="preserve"> </w:t>
      </w:r>
      <w:r w:rsidRPr="003B1465">
        <w:rPr>
          <w:i/>
          <w:iCs/>
        </w:rPr>
        <w:t>This might help in highlighting, perhaps even removing, local MP which deviates from global MP”</w:t>
      </w:r>
    </w:p>
    <w:p w:rsidR="000A5A60" w:rsidRDefault="000A5A60" w:rsidP="00841973">
      <w:pPr>
        <w:ind w:left="360"/>
        <w:rPr>
          <w:i/>
          <w:iCs/>
        </w:rPr>
      </w:pPr>
    </w:p>
    <w:p w:rsidR="000A1E7A" w:rsidRPr="000A1E7A" w:rsidRDefault="000A1E7A" w:rsidP="007E5C2C">
      <w:pPr>
        <w:numPr>
          <w:ilvl w:val="0"/>
          <w:numId w:val="25"/>
        </w:numPr>
        <w:jc w:val="left"/>
        <w:rPr>
          <w:rFonts w:eastAsia="Calibri" w:cs="Arial"/>
          <w:sz w:val="20"/>
          <w:lang w:val="en-GB"/>
        </w:rPr>
      </w:pPr>
      <w:r w:rsidRPr="000A1E7A">
        <w:rPr>
          <w:rFonts w:eastAsia="Calibri" w:cs="Arial"/>
          <w:sz w:val="20"/>
          <w:lang w:val="en-GB"/>
        </w:rPr>
        <w:t>Kenya and Mauritius – Local NMPGs are being created</w:t>
      </w:r>
    </w:p>
    <w:p w:rsidR="000A1E7A" w:rsidRPr="000A1E7A" w:rsidRDefault="000A1E7A" w:rsidP="007E5C2C">
      <w:pPr>
        <w:numPr>
          <w:ilvl w:val="0"/>
          <w:numId w:val="25"/>
        </w:numPr>
        <w:jc w:val="left"/>
        <w:rPr>
          <w:rFonts w:eastAsia="Calibri" w:cs="Arial"/>
          <w:sz w:val="20"/>
          <w:lang w:val="en-GB"/>
        </w:rPr>
      </w:pPr>
      <w:r w:rsidRPr="000A1E7A">
        <w:rPr>
          <w:rFonts w:eastAsia="Calibri" w:cs="Arial"/>
          <w:sz w:val="20"/>
          <w:lang w:val="en-GB"/>
        </w:rPr>
        <w:t xml:space="preserve">Nigeria and Ghana – Looking to create NMPGs in 2016 </w:t>
      </w:r>
    </w:p>
    <w:p w:rsidR="000A5A60" w:rsidRPr="000A5A60" w:rsidRDefault="000A5A60" w:rsidP="00841973">
      <w:pPr>
        <w:ind w:left="360"/>
        <w:rPr>
          <w:i/>
          <w:iCs/>
          <w:color w:val="7030A0"/>
        </w:rPr>
      </w:pPr>
    </w:p>
    <w:p w:rsidR="00B001B1" w:rsidRDefault="00B001B1" w:rsidP="007E5C2C">
      <w:pPr>
        <w:numPr>
          <w:ilvl w:val="0"/>
          <w:numId w:val="34"/>
        </w:numPr>
        <w:spacing w:before="240"/>
      </w:pPr>
      <w:r>
        <w:t>CSDR impact (Update) – (Armin)</w:t>
      </w:r>
      <w:r w:rsidR="003B00D1">
        <w:t xml:space="preserve"> -&gt; </w:t>
      </w:r>
      <w:proofErr w:type="spellStart"/>
      <w:r w:rsidR="003B00D1">
        <w:t>cf</w:t>
      </w:r>
      <w:proofErr w:type="spellEnd"/>
      <w:r w:rsidR="003B00D1">
        <w:t xml:space="preserve"> ECSDA report</w:t>
      </w:r>
    </w:p>
    <w:p w:rsidR="00B001B1" w:rsidRPr="00372594" w:rsidRDefault="00B001B1" w:rsidP="007E5C2C">
      <w:pPr>
        <w:pStyle w:val="ListParagraph"/>
        <w:numPr>
          <w:ilvl w:val="0"/>
          <w:numId w:val="26"/>
        </w:numPr>
        <w:spacing w:before="240" w:line="180" w:lineRule="auto"/>
        <w:rPr>
          <w:rFonts w:eastAsia="Calibri" w:cs="Arial"/>
          <w:sz w:val="20"/>
        </w:rPr>
      </w:pPr>
      <w:r w:rsidRPr="00372594">
        <w:rPr>
          <w:rFonts w:eastAsia="Calibri" w:cs="Arial"/>
          <w:sz w:val="20"/>
        </w:rPr>
        <w:t>Updated ESMA technical standards document has been published (Sept 28th)</w:t>
      </w:r>
    </w:p>
    <w:p w:rsidR="00B001B1" w:rsidRPr="00372594" w:rsidRDefault="00B001B1" w:rsidP="007E5C2C">
      <w:pPr>
        <w:numPr>
          <w:ilvl w:val="0"/>
          <w:numId w:val="19"/>
        </w:numPr>
        <w:spacing w:before="240"/>
        <w:jc w:val="left"/>
        <w:rPr>
          <w:rFonts w:eastAsia="Calibri" w:cs="Arial"/>
          <w:sz w:val="20"/>
          <w:lang w:val="en-GB"/>
        </w:rPr>
      </w:pPr>
      <w:r w:rsidRPr="00372594">
        <w:rPr>
          <w:rFonts w:eastAsia="Calibri" w:cs="Arial"/>
          <w:sz w:val="20"/>
          <w:lang w:val="en-GB"/>
        </w:rPr>
        <w:t>Commission -&gt; 3months to adopt the standards</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CSD Regulation has more than a 100 pages. 2 topics that were discussed. Settlement discipline. And also role of buyers.</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 xml:space="preserve">Penalties for those who deliver late the securities </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BUY IN // most CSD have no brokerage arm. Comes to the point of insolvency.</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Rules for the BUY IN are to be published end of November.</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Document on Capital requirements to be published soon also.</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Segregation of accounts // not harmonized in Europe // big and huge debate // why do we need to segregate // as a bank do I need to segregate my own accounts from the customer</w:t>
      </w:r>
      <w:r>
        <w:rPr>
          <w:rFonts w:ascii="Arial" w:eastAsia="Calibri" w:hAnsi="Arial" w:cs="Arial"/>
          <w:sz w:val="20"/>
          <w:szCs w:val="20"/>
          <w:lang w:eastAsia="en-US"/>
        </w:rPr>
        <w:t>’</w:t>
      </w:r>
      <w:r w:rsidRPr="00054ABE">
        <w:rPr>
          <w:rFonts w:ascii="Arial" w:eastAsia="Calibri" w:hAnsi="Arial" w:cs="Arial"/>
          <w:sz w:val="20"/>
          <w:szCs w:val="20"/>
          <w:lang w:eastAsia="en-US"/>
        </w:rPr>
        <w:t>s account.</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 xml:space="preserve">Mellon </w:t>
      </w:r>
      <w:proofErr w:type="spellStart"/>
      <w:r w:rsidRPr="00054ABE">
        <w:rPr>
          <w:rFonts w:ascii="Arial" w:eastAsia="Calibri" w:hAnsi="Arial" w:cs="Arial"/>
          <w:sz w:val="20"/>
          <w:szCs w:val="20"/>
          <w:lang w:eastAsia="en-US"/>
        </w:rPr>
        <w:t>BoNY</w:t>
      </w:r>
      <w:proofErr w:type="spellEnd"/>
      <w:r w:rsidRPr="00054ABE">
        <w:rPr>
          <w:rFonts w:ascii="Arial" w:eastAsia="Calibri" w:hAnsi="Arial" w:cs="Arial"/>
          <w:sz w:val="20"/>
          <w:szCs w:val="20"/>
          <w:lang w:eastAsia="en-US"/>
        </w:rPr>
        <w:t xml:space="preserve"> abandoned the idea of creating a CSD in Belgium.</w:t>
      </w:r>
    </w:p>
    <w:p w:rsidR="00B001B1" w:rsidRPr="00054ABE"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 xml:space="preserve">Already now we have seen many CSDs have changed their pricing model. </w:t>
      </w:r>
    </w:p>
    <w:p w:rsidR="00B001B1" w:rsidRPr="00054ABE" w:rsidRDefault="00B001B1" w:rsidP="007E5C2C">
      <w:pPr>
        <w:pStyle w:val="ListParagraph"/>
        <w:numPr>
          <w:ilvl w:val="0"/>
          <w:numId w:val="26"/>
        </w:numPr>
        <w:spacing w:before="240" w:line="180" w:lineRule="auto"/>
        <w:rPr>
          <w:rFonts w:ascii="Arial" w:eastAsia="Calibri" w:hAnsi="Arial" w:cs="Arial"/>
          <w:sz w:val="20"/>
          <w:szCs w:val="20"/>
          <w:lang w:eastAsia="en-US"/>
        </w:rPr>
      </w:pPr>
      <w:r w:rsidRPr="00054ABE">
        <w:rPr>
          <w:rFonts w:ascii="Arial" w:eastAsia="Calibri" w:hAnsi="Arial" w:cs="Arial"/>
          <w:sz w:val="20"/>
          <w:szCs w:val="20"/>
          <w:lang w:eastAsia="en-US"/>
        </w:rPr>
        <w:t>Update on Financial Transaction Tax</w:t>
      </w:r>
    </w:p>
    <w:p w:rsidR="00D7103C"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D7103C">
        <w:rPr>
          <w:rFonts w:ascii="Arial" w:eastAsia="Calibri" w:hAnsi="Arial" w:cs="Arial"/>
          <w:sz w:val="20"/>
          <w:szCs w:val="20"/>
          <w:lang w:eastAsia="en-US"/>
        </w:rPr>
        <w:t>Discussion that the FTT should not apply to trades that have background to a ‘</w:t>
      </w:r>
      <w:r w:rsidR="00D7103C" w:rsidRPr="00D7103C">
        <w:rPr>
          <w:rFonts w:ascii="Arial" w:eastAsia="Calibri" w:hAnsi="Arial" w:cs="Arial"/>
          <w:sz w:val="20"/>
          <w:szCs w:val="20"/>
          <w:lang w:eastAsia="en-US"/>
        </w:rPr>
        <w:t xml:space="preserve">real life’ </w:t>
      </w:r>
    </w:p>
    <w:p w:rsidR="00B001B1" w:rsidRPr="00D7103C" w:rsidRDefault="00B001B1" w:rsidP="007E5C2C">
      <w:pPr>
        <w:pStyle w:val="ListParagraph"/>
        <w:numPr>
          <w:ilvl w:val="0"/>
          <w:numId w:val="19"/>
        </w:numPr>
        <w:spacing w:before="240" w:line="180" w:lineRule="auto"/>
        <w:rPr>
          <w:rFonts w:ascii="Arial" w:eastAsia="Calibri" w:hAnsi="Arial" w:cs="Arial"/>
          <w:sz w:val="20"/>
          <w:szCs w:val="20"/>
          <w:lang w:eastAsia="en-US"/>
        </w:rPr>
      </w:pPr>
      <w:r w:rsidRPr="00D7103C">
        <w:rPr>
          <w:rFonts w:ascii="Arial" w:eastAsia="Calibri" w:hAnsi="Arial" w:cs="Arial"/>
          <w:sz w:val="20"/>
          <w:szCs w:val="20"/>
          <w:lang w:eastAsia="en-US"/>
        </w:rPr>
        <w:t>EU foresees a text</w:t>
      </w:r>
    </w:p>
    <w:p w:rsidR="00B001B1" w:rsidRDefault="00B001B1" w:rsidP="007E5C2C">
      <w:pPr>
        <w:pStyle w:val="ListParagraph"/>
        <w:numPr>
          <w:ilvl w:val="0"/>
          <w:numId w:val="19"/>
        </w:numPr>
        <w:spacing w:before="240" w:line="180" w:lineRule="auto"/>
        <w:rPr>
          <w:rFonts w:ascii="Arial" w:eastAsia="Calibri" w:hAnsi="Arial" w:cs="Arial"/>
          <w:sz w:val="20"/>
          <w:szCs w:val="20"/>
          <w:lang w:eastAsia="en-US"/>
        </w:rPr>
      </w:pPr>
      <w:r>
        <w:rPr>
          <w:rFonts w:ascii="Arial" w:eastAsia="Calibri" w:hAnsi="Arial" w:cs="Arial"/>
          <w:sz w:val="20"/>
          <w:szCs w:val="20"/>
          <w:lang w:eastAsia="en-US"/>
        </w:rPr>
        <w:t>Meeting postponed till November (11 countries participating)</w:t>
      </w:r>
    </w:p>
    <w:p w:rsidR="003B00D1" w:rsidRDefault="003B00D1" w:rsidP="003B00D1">
      <w:pPr>
        <w:spacing w:before="240" w:line="180" w:lineRule="auto"/>
        <w:rPr>
          <w:rFonts w:eastAsia="Calibri" w:cs="Arial"/>
          <w:sz w:val="20"/>
        </w:rPr>
      </w:pPr>
    </w:p>
    <w:p w:rsidR="003B00D1" w:rsidRDefault="003B00D1" w:rsidP="003B00D1">
      <w:pPr>
        <w:spacing w:before="240" w:line="180" w:lineRule="auto"/>
        <w:rPr>
          <w:rFonts w:eastAsia="Calibri" w:cs="Arial"/>
          <w:sz w:val="20"/>
        </w:rPr>
      </w:pPr>
    </w:p>
    <w:p w:rsidR="003B00D1" w:rsidRDefault="003B00D1" w:rsidP="003B00D1">
      <w:pPr>
        <w:spacing w:before="240" w:line="180" w:lineRule="auto"/>
        <w:rPr>
          <w:rFonts w:eastAsia="Calibri" w:cs="Arial"/>
          <w:sz w:val="20"/>
        </w:rPr>
      </w:pPr>
    </w:p>
    <w:p w:rsidR="003B00D1" w:rsidRDefault="003B00D1" w:rsidP="003B00D1">
      <w:pPr>
        <w:spacing w:before="240" w:line="180" w:lineRule="auto"/>
        <w:rPr>
          <w:rFonts w:eastAsia="Calibri" w:cs="Arial"/>
          <w:sz w:val="20"/>
        </w:rPr>
      </w:pPr>
    </w:p>
    <w:p w:rsidR="003B00D1" w:rsidRDefault="003B00D1" w:rsidP="003B00D1">
      <w:pPr>
        <w:spacing w:before="240" w:line="180" w:lineRule="auto"/>
        <w:rPr>
          <w:rFonts w:eastAsia="Calibri" w:cs="Arial"/>
          <w:sz w:val="20"/>
        </w:rPr>
      </w:pPr>
    </w:p>
    <w:p w:rsidR="003B00D1" w:rsidRDefault="003B00D1" w:rsidP="003B00D1">
      <w:pPr>
        <w:spacing w:before="240" w:line="180" w:lineRule="auto"/>
        <w:rPr>
          <w:rFonts w:eastAsia="Calibri" w:cs="Arial"/>
          <w:sz w:val="20"/>
        </w:rPr>
      </w:pPr>
    </w:p>
    <w:p w:rsidR="003B00D1" w:rsidRPr="003B00D1" w:rsidRDefault="003B00D1" w:rsidP="003B00D1">
      <w:pPr>
        <w:spacing w:before="240" w:line="180" w:lineRule="auto"/>
        <w:rPr>
          <w:rFonts w:eastAsia="Calibri" w:cs="Arial"/>
          <w:sz w:val="20"/>
        </w:rPr>
      </w:pPr>
    </w:p>
    <w:p w:rsidR="00D46300" w:rsidRDefault="00D46300" w:rsidP="00175080">
      <w:pPr>
        <w:ind w:left="1080"/>
        <w:rPr>
          <w:rFonts w:eastAsia="Calibri" w:cs="Arial"/>
          <w:b/>
          <w:color w:val="FF0000"/>
          <w:sz w:val="20"/>
          <w:lang w:val="en-GB" w:eastAsia="en-GB"/>
        </w:rPr>
      </w:pPr>
    </w:p>
    <w:p w:rsidR="00841973" w:rsidRDefault="00841973" w:rsidP="00841973">
      <w:pPr>
        <w:spacing w:before="240"/>
        <w:ind w:left="1080"/>
        <w:rPr>
          <w:b/>
          <w:sz w:val="32"/>
          <w:szCs w:val="32"/>
        </w:rPr>
      </w:pPr>
      <w:r>
        <w:rPr>
          <w:b/>
          <w:sz w:val="32"/>
          <w:szCs w:val="32"/>
        </w:rPr>
        <w:lastRenderedPageBreak/>
        <w:t>Friday</w:t>
      </w:r>
      <w:r w:rsidRPr="00841973">
        <w:rPr>
          <w:b/>
          <w:sz w:val="32"/>
          <w:szCs w:val="32"/>
        </w:rPr>
        <w:t xml:space="preserve"> –</w:t>
      </w:r>
      <w:r>
        <w:rPr>
          <w:b/>
          <w:sz w:val="32"/>
          <w:szCs w:val="32"/>
        </w:rPr>
        <w:t xml:space="preserve"> 9</w:t>
      </w:r>
      <w:r w:rsidRPr="00841973">
        <w:rPr>
          <w:b/>
          <w:sz w:val="32"/>
          <w:szCs w:val="32"/>
        </w:rPr>
        <w:t>th October</w:t>
      </w:r>
    </w:p>
    <w:p w:rsidR="00D7103C" w:rsidRDefault="00D7103C" w:rsidP="007E5C2C">
      <w:pPr>
        <w:numPr>
          <w:ilvl w:val="0"/>
          <w:numId w:val="35"/>
        </w:numPr>
        <w:spacing w:before="240"/>
      </w:pPr>
      <w:r w:rsidRPr="00D4225A">
        <w:t>Thailand - Foreign/ Domestic share conversion M</w:t>
      </w:r>
      <w:r>
        <w:t xml:space="preserve">arket </w:t>
      </w:r>
      <w:r w:rsidRPr="00D4225A">
        <w:t>P</w:t>
      </w:r>
      <w:r>
        <w:t>ractice</w:t>
      </w:r>
      <w:r w:rsidRPr="00D4225A">
        <w:t xml:space="preserve"> (</w:t>
      </w:r>
      <w:r>
        <w:t>Cindy</w:t>
      </w:r>
      <w:r w:rsidRPr="00D4225A">
        <w:t>)</w:t>
      </w:r>
    </w:p>
    <w:p w:rsidR="00D7103C" w:rsidRDefault="00D7103C" w:rsidP="00D7103C">
      <w:pPr>
        <w:spacing w:before="240"/>
        <w:ind w:left="360"/>
      </w:pPr>
    </w:p>
    <w:p w:rsidR="00D7103C" w:rsidRDefault="00D7103C"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No representation from TH. Cindy provided a quick update on SWIFT’s recent meeting with representatives of TH Custodian Club at end of September.</w:t>
      </w:r>
    </w:p>
    <w:p w:rsidR="00D7103C" w:rsidRPr="00054ABE" w:rsidRDefault="00D7103C" w:rsidP="007E5C2C">
      <w:pPr>
        <w:numPr>
          <w:ilvl w:val="0"/>
          <w:numId w:val="15"/>
        </w:numPr>
        <w:spacing w:before="240" w:after="200" w:line="276" w:lineRule="auto"/>
        <w:contextualSpacing/>
        <w:jc w:val="left"/>
        <w:rPr>
          <w:rFonts w:eastAsia="Calibri" w:cs="Arial"/>
          <w:sz w:val="20"/>
          <w:lang w:val="en-GB"/>
        </w:rPr>
      </w:pPr>
      <w:r w:rsidRPr="00054ABE">
        <w:rPr>
          <w:rFonts w:eastAsia="Calibri" w:cs="Arial"/>
          <w:sz w:val="20"/>
          <w:lang w:val="en-GB"/>
        </w:rPr>
        <w:t xml:space="preserve">Messaging flow: </w:t>
      </w:r>
    </w:p>
    <w:p w:rsidR="00D7103C" w:rsidRPr="00054ABE" w:rsidRDefault="00D7103C" w:rsidP="007E5C2C">
      <w:pPr>
        <w:numPr>
          <w:ilvl w:val="1"/>
          <w:numId w:val="15"/>
        </w:numPr>
        <w:spacing w:before="240" w:after="200" w:line="276" w:lineRule="auto"/>
        <w:contextualSpacing/>
        <w:jc w:val="left"/>
        <w:rPr>
          <w:rFonts w:eastAsia="Calibri" w:cs="Arial"/>
          <w:sz w:val="20"/>
          <w:lang w:val="en-GB"/>
        </w:rPr>
      </w:pPr>
      <w:r w:rsidRPr="00054ABE">
        <w:rPr>
          <w:rFonts w:eastAsia="Calibri" w:cs="Arial"/>
          <w:sz w:val="20"/>
          <w:lang w:val="en-GB"/>
        </w:rPr>
        <w:t>Instruction of local shares and conversion to foreign shares and vice versa via MT54x with 22F::STCO/SMPG/COVF and COVL code</w:t>
      </w:r>
      <w:r w:rsidR="00340CA2">
        <w:rPr>
          <w:rFonts w:eastAsia="Calibri" w:cs="Arial"/>
          <w:sz w:val="20"/>
          <w:lang w:val="en-GB"/>
        </w:rPr>
        <w:t xml:space="preserve"> </w:t>
      </w:r>
      <w:r w:rsidRPr="00054ABE">
        <w:rPr>
          <w:rFonts w:eastAsia="Calibri" w:cs="Arial"/>
          <w:sz w:val="20"/>
          <w:lang w:val="en-GB"/>
        </w:rPr>
        <w:t xml:space="preserve">words – SR2017 maintenance change request </w:t>
      </w:r>
      <w:r w:rsidR="00340CA2">
        <w:rPr>
          <w:rFonts w:eastAsia="Calibri" w:cs="Arial"/>
          <w:sz w:val="20"/>
          <w:lang w:val="en-GB"/>
        </w:rPr>
        <w:t xml:space="preserve">might be </w:t>
      </w:r>
      <w:r w:rsidRPr="00054ABE">
        <w:rPr>
          <w:rFonts w:eastAsia="Calibri" w:cs="Arial"/>
          <w:sz w:val="20"/>
          <w:lang w:val="en-GB"/>
        </w:rPr>
        <w:t>expected</w:t>
      </w:r>
    </w:p>
    <w:p w:rsidR="00D7103C" w:rsidRPr="00054ABE" w:rsidRDefault="00D7103C" w:rsidP="007E5C2C">
      <w:pPr>
        <w:numPr>
          <w:ilvl w:val="1"/>
          <w:numId w:val="15"/>
        </w:numPr>
        <w:spacing w:before="240" w:after="200" w:line="276" w:lineRule="auto"/>
        <w:contextualSpacing/>
        <w:jc w:val="left"/>
        <w:rPr>
          <w:rFonts w:eastAsia="Calibri" w:cs="Arial"/>
          <w:sz w:val="20"/>
          <w:lang w:val="en-GB"/>
        </w:rPr>
      </w:pPr>
      <w:r w:rsidRPr="00054ABE">
        <w:rPr>
          <w:rFonts w:eastAsia="Calibri" w:cs="Arial"/>
          <w:sz w:val="20"/>
          <w:lang w:val="en-GB"/>
        </w:rPr>
        <w:t>Status MT548 messaging on initial delivery or receipt as well as status on each (local vs. foreign) share conversion</w:t>
      </w:r>
    </w:p>
    <w:p w:rsidR="00D7103C" w:rsidRPr="00054ABE" w:rsidRDefault="00D7103C" w:rsidP="007E5C2C">
      <w:pPr>
        <w:numPr>
          <w:ilvl w:val="1"/>
          <w:numId w:val="15"/>
        </w:numPr>
        <w:spacing w:before="240" w:after="200" w:line="276" w:lineRule="auto"/>
        <w:contextualSpacing/>
        <w:jc w:val="left"/>
        <w:rPr>
          <w:rFonts w:eastAsia="Calibri" w:cs="Arial"/>
          <w:sz w:val="20"/>
          <w:lang w:val="en-GB"/>
        </w:rPr>
      </w:pPr>
      <w:r w:rsidRPr="00054ABE">
        <w:rPr>
          <w:rFonts w:eastAsia="Calibri" w:cs="Arial"/>
          <w:sz w:val="20"/>
          <w:lang w:val="en-GB"/>
        </w:rPr>
        <w:t>Confirmation of settlement for both local shares and foreign shares sent by custodian</w:t>
      </w:r>
    </w:p>
    <w:p w:rsidR="00D7103C" w:rsidRDefault="00D7103C"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 xml:space="preserve">Cindy explained the TH Asset Conversion MP on 9 Oct. There is pending information from the major custodian banks in TH on their current process for Asset Conversion. </w:t>
      </w:r>
    </w:p>
    <w:p w:rsidR="00D7103C" w:rsidRDefault="00D7103C" w:rsidP="00D7103C">
      <w:pPr>
        <w:pStyle w:val="ListParagraph"/>
        <w:rPr>
          <w:rFonts w:asciiTheme="majorHAnsi" w:hAnsiTheme="majorHAnsi" w:cstheme="majorHAnsi"/>
          <w:bCs/>
          <w:iCs/>
          <w:sz w:val="20"/>
          <w:szCs w:val="20"/>
        </w:rPr>
      </w:pPr>
    </w:p>
    <w:p w:rsidR="00D7103C" w:rsidRPr="00054ABE" w:rsidRDefault="00D7103C" w:rsidP="007E5C2C">
      <w:pPr>
        <w:pStyle w:val="ListParagraph"/>
        <w:numPr>
          <w:ilvl w:val="0"/>
          <w:numId w:val="15"/>
        </w:numPr>
        <w:rPr>
          <w:rFonts w:asciiTheme="majorHAnsi" w:hAnsiTheme="majorHAnsi" w:cstheme="majorHAnsi"/>
          <w:bCs/>
          <w:iCs/>
          <w:sz w:val="20"/>
          <w:szCs w:val="20"/>
        </w:rPr>
      </w:pPr>
      <w:r w:rsidRPr="00054ABE">
        <w:rPr>
          <w:rFonts w:asciiTheme="majorHAnsi" w:hAnsiTheme="majorHAnsi" w:cstheme="majorHAnsi"/>
          <w:bCs/>
          <w:iCs/>
          <w:sz w:val="20"/>
          <w:szCs w:val="20"/>
        </w:rPr>
        <w:t>Germany, Switzerland, Norway, Australia, Japan and Vietnam also have similar conversion of shares requirements that are handled in different ways</w:t>
      </w:r>
    </w:p>
    <w:p w:rsidR="00D7103C" w:rsidRPr="00054ABE" w:rsidRDefault="00D7103C" w:rsidP="007E5C2C">
      <w:pPr>
        <w:pStyle w:val="ListParagraph"/>
        <w:numPr>
          <w:ilvl w:val="1"/>
          <w:numId w:val="15"/>
        </w:numPr>
        <w:rPr>
          <w:rFonts w:asciiTheme="majorHAnsi" w:hAnsiTheme="majorHAnsi" w:cstheme="majorHAnsi"/>
          <w:bCs/>
          <w:iCs/>
          <w:sz w:val="20"/>
          <w:szCs w:val="20"/>
        </w:rPr>
      </w:pPr>
      <w:r w:rsidRPr="00054ABE">
        <w:rPr>
          <w:rFonts w:asciiTheme="majorHAnsi" w:hAnsiTheme="majorHAnsi" w:cstheme="majorHAnsi"/>
          <w:bCs/>
          <w:iCs/>
          <w:sz w:val="20"/>
          <w:szCs w:val="20"/>
        </w:rPr>
        <w:t>Vietnam – automatic conversion of shares happens</w:t>
      </w:r>
    </w:p>
    <w:p w:rsidR="00D7103C" w:rsidRPr="00054ABE" w:rsidRDefault="00D7103C" w:rsidP="007E5C2C">
      <w:pPr>
        <w:pStyle w:val="ListParagraph"/>
        <w:numPr>
          <w:ilvl w:val="1"/>
          <w:numId w:val="15"/>
        </w:numPr>
        <w:rPr>
          <w:rFonts w:asciiTheme="majorHAnsi" w:hAnsiTheme="majorHAnsi" w:cstheme="majorHAnsi"/>
          <w:bCs/>
          <w:iCs/>
          <w:sz w:val="20"/>
          <w:szCs w:val="20"/>
        </w:rPr>
      </w:pPr>
      <w:r w:rsidRPr="00054ABE">
        <w:rPr>
          <w:rFonts w:asciiTheme="majorHAnsi" w:hAnsiTheme="majorHAnsi" w:cstheme="majorHAnsi"/>
          <w:bCs/>
          <w:iCs/>
          <w:sz w:val="20"/>
          <w:szCs w:val="20"/>
        </w:rPr>
        <w:t>Ca</w:t>
      </w:r>
      <w:r>
        <w:rPr>
          <w:rFonts w:asciiTheme="majorHAnsi" w:hAnsiTheme="majorHAnsi" w:cstheme="majorHAnsi"/>
          <w:bCs/>
          <w:iCs/>
          <w:sz w:val="20"/>
          <w:szCs w:val="20"/>
        </w:rPr>
        <w:t>nada has a conversion process</w:t>
      </w:r>
    </w:p>
    <w:p w:rsidR="00D7103C" w:rsidRPr="00562448" w:rsidRDefault="00D7103C" w:rsidP="00D7103C">
      <w:pPr>
        <w:pStyle w:val="ListParagraph"/>
        <w:rPr>
          <w:rFonts w:asciiTheme="majorHAnsi" w:hAnsiTheme="majorHAnsi" w:cstheme="majorHAnsi"/>
          <w:bCs/>
          <w:iCs/>
          <w:sz w:val="20"/>
          <w:szCs w:val="20"/>
        </w:rPr>
      </w:pPr>
    </w:p>
    <w:p w:rsidR="00D7103C" w:rsidRDefault="00D7103C" w:rsidP="007E5C2C">
      <w:pPr>
        <w:pStyle w:val="ListParagraph"/>
        <w:numPr>
          <w:ilvl w:val="0"/>
          <w:numId w:val="15"/>
        </w:numPr>
        <w:rPr>
          <w:rFonts w:asciiTheme="majorHAnsi" w:hAnsiTheme="majorHAnsi" w:cstheme="majorHAnsi"/>
          <w:bCs/>
          <w:iCs/>
          <w:sz w:val="20"/>
          <w:szCs w:val="20"/>
        </w:rPr>
      </w:pPr>
      <w:r w:rsidRPr="00562448">
        <w:rPr>
          <w:rFonts w:asciiTheme="majorHAnsi" w:hAnsiTheme="majorHAnsi" w:cstheme="majorHAnsi"/>
          <w:bCs/>
          <w:iCs/>
          <w:sz w:val="20"/>
          <w:szCs w:val="20"/>
        </w:rPr>
        <w:t>Further updates and discussions will continue at the next SMPG meeting in Helsinki in April 2016.</w:t>
      </w:r>
    </w:p>
    <w:p w:rsidR="00340CA2" w:rsidRDefault="00340CA2" w:rsidP="00340CA2">
      <w:pPr>
        <w:pStyle w:val="ListParagraph"/>
        <w:rPr>
          <w:rFonts w:asciiTheme="majorHAnsi" w:hAnsiTheme="majorHAnsi" w:cstheme="majorHAnsi"/>
          <w:bCs/>
          <w:iCs/>
          <w:sz w:val="20"/>
          <w:szCs w:val="20"/>
        </w:rPr>
      </w:pPr>
    </w:p>
    <w:p w:rsidR="00340CA2" w:rsidRPr="00340CA2" w:rsidRDefault="00340CA2" w:rsidP="00340CA2">
      <w:pPr>
        <w:rPr>
          <w:rFonts w:eastAsia="Calibri" w:cs="Arial"/>
          <w:b/>
          <w:color w:val="00B050"/>
          <w:sz w:val="20"/>
          <w:lang w:val="en-GB" w:eastAsia="en-GB"/>
        </w:rPr>
      </w:pPr>
      <w:r w:rsidRPr="00340CA2">
        <w:rPr>
          <w:rFonts w:eastAsia="Calibri" w:cs="Arial"/>
          <w:b/>
          <w:color w:val="00B050"/>
          <w:sz w:val="20"/>
          <w:lang w:val="en-GB" w:eastAsia="en-GB"/>
        </w:rPr>
        <w:t xml:space="preserve">Action item: Jason will check with Canada and </w:t>
      </w:r>
      <w:r w:rsidR="00801F6F">
        <w:rPr>
          <w:rFonts w:eastAsia="Calibri" w:cs="Arial"/>
          <w:b/>
          <w:color w:val="00B050"/>
          <w:sz w:val="20"/>
          <w:lang w:val="en-GB" w:eastAsia="en-GB"/>
        </w:rPr>
        <w:t>provide feedback</w:t>
      </w:r>
      <w:bookmarkStart w:id="0" w:name="_GoBack"/>
      <w:bookmarkEnd w:id="0"/>
      <w:r w:rsidRPr="00340CA2">
        <w:rPr>
          <w:rFonts w:eastAsia="Calibri" w:cs="Arial"/>
          <w:b/>
          <w:color w:val="00B050"/>
          <w:sz w:val="20"/>
          <w:lang w:val="en-GB" w:eastAsia="en-GB"/>
        </w:rPr>
        <w:t xml:space="preserve"> on their process</w:t>
      </w:r>
    </w:p>
    <w:p w:rsidR="00776ECF" w:rsidRPr="00664630" w:rsidRDefault="00432803" w:rsidP="007E5C2C">
      <w:pPr>
        <w:numPr>
          <w:ilvl w:val="0"/>
          <w:numId w:val="35"/>
        </w:numPr>
        <w:spacing w:before="240"/>
        <w:rPr>
          <w:rFonts w:cs="Arial"/>
        </w:rPr>
      </w:pPr>
      <w:r w:rsidRPr="00664630">
        <w:rPr>
          <w:rFonts w:cs="Arial"/>
        </w:rPr>
        <w:t xml:space="preserve">LEI In </w:t>
      </w:r>
      <w:proofErr w:type="spellStart"/>
      <w:r w:rsidRPr="00664630">
        <w:rPr>
          <w:rFonts w:cs="Arial"/>
        </w:rPr>
        <w:t>SnR</w:t>
      </w:r>
      <w:proofErr w:type="spellEnd"/>
      <w:r w:rsidRPr="00664630">
        <w:rPr>
          <w:rFonts w:cs="Arial"/>
        </w:rPr>
        <w:t xml:space="preserve"> messages (SR2016) – Clarifications required in our MP</w:t>
      </w:r>
      <w:r w:rsidR="00841973" w:rsidRPr="00664630">
        <w:rPr>
          <w:rFonts w:cs="Arial"/>
        </w:rPr>
        <w:t xml:space="preserve">s (Evelyne/Paul </w:t>
      </w:r>
      <w:proofErr w:type="spellStart"/>
      <w:r w:rsidR="00841973" w:rsidRPr="00664630">
        <w:rPr>
          <w:rFonts w:cs="Arial"/>
        </w:rPr>
        <w:t>Janssens</w:t>
      </w:r>
      <w:proofErr w:type="spellEnd"/>
      <w:r w:rsidR="00A237F6" w:rsidRPr="00664630">
        <w:rPr>
          <w:rFonts w:cs="Arial"/>
        </w:rPr>
        <w:t>)</w:t>
      </w:r>
      <w:r w:rsidR="00664630">
        <w:rPr>
          <w:rFonts w:cs="Arial"/>
        </w:rPr>
        <w:t xml:space="preserve"> </w:t>
      </w:r>
      <w:r w:rsidR="007E5C2C" w:rsidRPr="00073F70">
        <w:rPr>
          <w:rFonts w:cs="Arial"/>
        </w:rPr>
        <w:t xml:space="preserve">-&gt; </w:t>
      </w:r>
      <w:proofErr w:type="spellStart"/>
      <w:r w:rsidR="007E5C2C" w:rsidRPr="00073F70">
        <w:rPr>
          <w:rFonts w:cs="Arial"/>
        </w:rPr>
        <w:t>cf</w:t>
      </w:r>
      <w:proofErr w:type="spellEnd"/>
      <w:r w:rsidR="007E5C2C" w:rsidRPr="00073F70">
        <w:rPr>
          <w:rFonts w:cs="Arial"/>
        </w:rPr>
        <w:t xml:space="preserve"> </w:t>
      </w:r>
      <w:proofErr w:type="spellStart"/>
      <w:r w:rsidR="007E5C2C" w:rsidRPr="00073F70">
        <w:rPr>
          <w:rFonts w:cs="Arial"/>
        </w:rPr>
        <w:t>ppt</w:t>
      </w:r>
      <w:proofErr w:type="spellEnd"/>
      <w:r w:rsidR="007E5C2C" w:rsidRPr="00073F70">
        <w:rPr>
          <w:rFonts w:cs="Arial"/>
        </w:rPr>
        <w:t xml:space="preserve"> Slides</w:t>
      </w:r>
    </w:p>
    <w:p w:rsidR="00054ABE" w:rsidRDefault="00054ABE" w:rsidP="00054ABE">
      <w:pPr>
        <w:spacing w:before="240"/>
      </w:pP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 xml:space="preserve">Regulatory Oversight Committee (ROC) -&gt; Global LEI Foundation -&gt; LEI Issuers (LOUs) -&gt; Consumers of LEI </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Current statistics - 392K LEIs registered across195 countries via 26 LOUs</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 xml:space="preserve">Renewal of LEI required every year </w:t>
      </w:r>
      <w:r w:rsidR="00D7103C">
        <w:rPr>
          <w:rFonts w:eastAsia="Calibri" w:cs="Arial"/>
          <w:sz w:val="20"/>
          <w:lang w:val="en-GB"/>
        </w:rPr>
        <w:t>– about 20% are not renewed!!!!</w:t>
      </w:r>
    </w:p>
    <w:p w:rsidR="00054ABE" w:rsidRDefault="00054ABE" w:rsidP="007E5C2C">
      <w:pPr>
        <w:numPr>
          <w:ilvl w:val="1"/>
          <w:numId w:val="27"/>
        </w:numPr>
        <w:jc w:val="left"/>
        <w:rPr>
          <w:rFonts w:eastAsia="Calibri" w:cs="Arial"/>
          <w:sz w:val="20"/>
          <w:lang w:val="en-GB"/>
        </w:rPr>
      </w:pPr>
      <w:r w:rsidRPr="00C73670">
        <w:rPr>
          <w:rFonts w:eastAsia="Calibri" w:cs="Arial"/>
          <w:sz w:val="20"/>
          <w:lang w:val="en-GB"/>
        </w:rPr>
        <w:t>Often LEIs are created by a firm who has a transaction that needs reported and therefore an LEI is required. Then, not used again</w:t>
      </w:r>
    </w:p>
    <w:p w:rsidR="00D7103C" w:rsidRPr="00C73670" w:rsidRDefault="00D7103C" w:rsidP="007E5C2C">
      <w:pPr>
        <w:numPr>
          <w:ilvl w:val="1"/>
          <w:numId w:val="27"/>
        </w:numPr>
        <w:jc w:val="left"/>
        <w:rPr>
          <w:rFonts w:eastAsia="Calibri" w:cs="Arial"/>
          <w:sz w:val="20"/>
          <w:lang w:val="en-GB"/>
        </w:rPr>
      </w:pPr>
      <w:r>
        <w:rPr>
          <w:rFonts w:eastAsia="Calibri" w:cs="Arial"/>
          <w:sz w:val="20"/>
          <w:lang w:val="en-GB"/>
        </w:rPr>
        <w:t>Renewal = confirmation that data are still valid</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Within the LEI data is a field that provides the current status and next renewal date</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Each LOU will need to determine how to manage this expiration of LEIs</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GLEIF Master Agreement – final version expected Oct. 8</w:t>
      </w:r>
      <w:r w:rsidRPr="00C73670">
        <w:rPr>
          <w:rFonts w:eastAsia="Calibri" w:cs="Arial"/>
          <w:sz w:val="20"/>
          <w:vertAlign w:val="superscript"/>
          <w:lang w:val="en-GB"/>
        </w:rPr>
        <w:t>th</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ROC LEI topics</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Direct and ultimate parent consultation paper distributed Sept. 8</w:t>
      </w:r>
      <w:r w:rsidRPr="00C73670">
        <w:rPr>
          <w:rFonts w:eastAsia="Calibri" w:cs="Arial"/>
          <w:sz w:val="20"/>
          <w:vertAlign w:val="superscript"/>
          <w:lang w:val="en-GB"/>
        </w:rPr>
        <w:t>th</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International branches consultation paper distributed Sept. 30</w:t>
      </w:r>
      <w:r w:rsidRPr="00C73670">
        <w:rPr>
          <w:rFonts w:eastAsia="Calibri" w:cs="Arial"/>
          <w:sz w:val="20"/>
          <w:vertAlign w:val="superscript"/>
          <w:lang w:val="en-GB"/>
        </w:rPr>
        <w:t>th</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Individuals acting in a business capacity – ROC statement published on Sept. 30</w:t>
      </w:r>
      <w:r w:rsidRPr="00C73670">
        <w:rPr>
          <w:rFonts w:eastAsia="Calibri" w:cs="Arial"/>
          <w:sz w:val="20"/>
          <w:vertAlign w:val="superscript"/>
          <w:lang w:val="en-GB"/>
        </w:rPr>
        <w:t>th</w:t>
      </w:r>
      <w:r w:rsidRPr="00C73670">
        <w:rPr>
          <w:rFonts w:eastAsia="Calibri" w:cs="Arial"/>
          <w:sz w:val="20"/>
          <w:lang w:val="en-GB"/>
        </w:rPr>
        <w:t xml:space="preserve"> regarding ISO17442 rules of governance, but individual countries will apply their rules around registration</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Not intended for the registration of individuals – meant to be applied to individuals in specific scenarios such as to identify a sole trader</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Public search tool updated Sept. 28</w:t>
      </w:r>
      <w:r w:rsidRPr="00C73670">
        <w:rPr>
          <w:rFonts w:eastAsia="Calibri" w:cs="Arial"/>
          <w:sz w:val="20"/>
          <w:vertAlign w:val="superscript"/>
          <w:lang w:val="en-GB"/>
        </w:rPr>
        <w:t>th</w:t>
      </w:r>
      <w:r w:rsidRPr="00C73670">
        <w:rPr>
          <w:rFonts w:eastAsia="Calibri" w:cs="Arial"/>
          <w:sz w:val="20"/>
          <w:lang w:val="en-GB"/>
        </w:rPr>
        <w:t xml:space="preserve">, 2015 – </w:t>
      </w:r>
      <w:hyperlink r:id="rId17" w:history="1">
        <w:r w:rsidRPr="00C73670">
          <w:rPr>
            <w:rStyle w:val="Hyperlink"/>
            <w:rFonts w:eastAsia="Calibri" w:cs="Arial"/>
            <w:sz w:val="20"/>
            <w:lang w:val="en-GB"/>
          </w:rPr>
          <w:t>www.gleif.org</w:t>
        </w:r>
      </w:hyperlink>
      <w:r w:rsidRPr="00C73670">
        <w:rPr>
          <w:rFonts w:eastAsia="Calibri" w:cs="Arial"/>
          <w:sz w:val="20"/>
          <w:lang w:val="en-GB"/>
        </w:rPr>
        <w:t xml:space="preserve"> </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 xml:space="preserve">LEI at the higher level will still require tying back to the individual BIC11s to clarify specific branch/entity within the entity. For example to differentiate the FX desk BIC from the Inv. </w:t>
      </w:r>
      <w:proofErr w:type="spellStart"/>
      <w:r w:rsidRPr="00C73670">
        <w:rPr>
          <w:rFonts w:eastAsia="Calibri" w:cs="Arial"/>
          <w:sz w:val="20"/>
          <w:lang w:val="en-GB"/>
        </w:rPr>
        <w:t>Mgr</w:t>
      </w:r>
      <w:proofErr w:type="spellEnd"/>
      <w:r w:rsidRPr="00C73670">
        <w:rPr>
          <w:rFonts w:eastAsia="Calibri" w:cs="Arial"/>
          <w:sz w:val="20"/>
          <w:lang w:val="en-GB"/>
        </w:rPr>
        <w:t xml:space="preserve"> business from the individual branches</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ROC consultation paper on how to register a separate LEI for a branch location</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lastRenderedPageBreak/>
        <w:t>List of ISO20022 reporting messages that the LEI has been incorporated – Slide 18 of presentation</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Money Market reporting and MIFIR reporting as two examples</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MIFIR regulatory reporting requirements document to be distributed with minutes highlighting requirement of LEI</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 xml:space="preserve">Trading Venue is still using MIC – not a one for one relationship between MIC and LEI and MICs are currently used heavily by traders today which won’t likely change practices </w:t>
      </w:r>
    </w:p>
    <w:p w:rsidR="00054ABE" w:rsidRPr="00C73670" w:rsidRDefault="00054ABE" w:rsidP="007E5C2C">
      <w:pPr>
        <w:numPr>
          <w:ilvl w:val="0"/>
          <w:numId w:val="27"/>
        </w:numPr>
        <w:jc w:val="left"/>
        <w:rPr>
          <w:rFonts w:eastAsia="Calibri" w:cs="Arial"/>
          <w:sz w:val="20"/>
          <w:lang w:val="en-GB"/>
        </w:rPr>
      </w:pPr>
      <w:r w:rsidRPr="00C73670">
        <w:rPr>
          <w:rFonts w:eastAsia="Calibri" w:cs="Arial"/>
          <w:sz w:val="20"/>
          <w:lang w:val="en-GB"/>
        </w:rPr>
        <w:t>Securities SWIFT Board  has requested SMPG document best practices on usage across messages</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Spreadsheet of impacts created by SWIFT standards for message types after the SR2016 MWG meetings in August</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TIC message types, Settlements and Reconciliation message types highlighting specific fields, qualifier and format option usage across every message type in scope</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 xml:space="preserve">Spreadsheet highlights the sequence, field, qualifier or format option is repetitive and when the new Format Option L will be added. </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Corp. Action decided to not add for this year until a stronger business case is presented</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FX already allows for a structured LEI field across all party fields – added in SR2014</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Cash message suites did not consider LEI yet.  PMPG will be discussing in mid-October, 2015</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 xml:space="preserve">Collateral </w:t>
      </w:r>
      <w:proofErr w:type="spellStart"/>
      <w:r w:rsidRPr="00C73670">
        <w:rPr>
          <w:rFonts w:eastAsia="Calibri" w:cs="Arial"/>
          <w:sz w:val="20"/>
          <w:lang w:val="en-GB"/>
        </w:rPr>
        <w:t>Mgmt</w:t>
      </w:r>
      <w:proofErr w:type="spellEnd"/>
      <w:r w:rsidRPr="00C73670">
        <w:rPr>
          <w:rFonts w:eastAsia="Calibri" w:cs="Arial"/>
          <w:sz w:val="20"/>
          <w:lang w:val="en-GB"/>
        </w:rPr>
        <w:t xml:space="preserve"> message suites only approved for MT569 for now.  MT527/558 were not approved even though a strong business case was presented by ISITC highlighting the US tri party reform rules requiring the buying and selling legal entity mandatory usage currently identified via BIC. </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Also includes the ISO20022 MX message formats</w:t>
      </w:r>
    </w:p>
    <w:p w:rsidR="00054ABE" w:rsidRPr="00C73670" w:rsidRDefault="00054ABE" w:rsidP="007E5C2C">
      <w:pPr>
        <w:numPr>
          <w:ilvl w:val="1"/>
          <w:numId w:val="27"/>
        </w:numPr>
        <w:jc w:val="left"/>
        <w:rPr>
          <w:rFonts w:eastAsia="Calibri" w:cs="Arial"/>
          <w:sz w:val="20"/>
          <w:lang w:val="en-GB"/>
        </w:rPr>
      </w:pPr>
      <w:r w:rsidRPr="00C73670">
        <w:rPr>
          <w:rFonts w:eastAsia="Calibri" w:cs="Arial"/>
          <w:sz w:val="20"/>
          <w:lang w:val="en-GB"/>
        </w:rPr>
        <w:t xml:space="preserve">Next step for SMPG </w:t>
      </w:r>
      <w:proofErr w:type="spellStart"/>
      <w:r w:rsidRPr="00C73670">
        <w:rPr>
          <w:rFonts w:eastAsia="Calibri" w:cs="Arial"/>
          <w:sz w:val="20"/>
          <w:lang w:val="en-GB"/>
        </w:rPr>
        <w:t>SnR</w:t>
      </w:r>
      <w:proofErr w:type="spellEnd"/>
      <w:r w:rsidRPr="00C73670">
        <w:rPr>
          <w:rFonts w:eastAsia="Calibri" w:cs="Arial"/>
          <w:sz w:val="20"/>
          <w:lang w:val="en-GB"/>
        </w:rPr>
        <w:t xml:space="preserve"> WG to create usage matrix similar to current SMPG summary matrix that shows a high level view regionally across applicable fields/format options of when/where the LEI is optional vs. required</w:t>
      </w:r>
    </w:p>
    <w:p w:rsidR="00054ABE" w:rsidRPr="00C73670" w:rsidRDefault="00054ABE" w:rsidP="007E5C2C">
      <w:pPr>
        <w:numPr>
          <w:ilvl w:val="2"/>
          <w:numId w:val="27"/>
        </w:numPr>
        <w:jc w:val="left"/>
        <w:rPr>
          <w:rFonts w:eastAsia="Calibri" w:cs="Arial"/>
          <w:sz w:val="20"/>
          <w:lang w:val="en-GB"/>
        </w:rPr>
      </w:pPr>
      <w:r w:rsidRPr="00C73670">
        <w:rPr>
          <w:rFonts w:eastAsia="Calibri" w:cs="Arial"/>
          <w:sz w:val="20"/>
          <w:lang w:val="en-GB"/>
        </w:rPr>
        <w:t>MT565 Russia usage request raised</w:t>
      </w:r>
    </w:p>
    <w:p w:rsidR="00054ABE" w:rsidRDefault="00054ABE" w:rsidP="007E5C2C">
      <w:pPr>
        <w:numPr>
          <w:ilvl w:val="2"/>
          <w:numId w:val="27"/>
        </w:numPr>
        <w:jc w:val="left"/>
        <w:rPr>
          <w:rFonts w:eastAsia="Calibri" w:cs="Arial"/>
          <w:sz w:val="20"/>
          <w:lang w:val="en-GB"/>
        </w:rPr>
      </w:pPr>
      <w:r w:rsidRPr="00C73670">
        <w:rPr>
          <w:rFonts w:eastAsia="Calibri" w:cs="Arial"/>
          <w:sz w:val="20"/>
          <w:lang w:val="en-GB"/>
        </w:rPr>
        <w:t>MT527 buyer and seller legal entity</w:t>
      </w:r>
    </w:p>
    <w:p w:rsidR="00073F70" w:rsidRDefault="00073F70" w:rsidP="00073F70">
      <w:pPr>
        <w:ind w:left="2880"/>
        <w:jc w:val="left"/>
        <w:rPr>
          <w:rFonts w:eastAsia="Calibri" w:cs="Arial"/>
          <w:sz w:val="20"/>
          <w:lang w:val="en-GB"/>
        </w:rPr>
      </w:pPr>
    </w:p>
    <w:p w:rsidR="00073F70" w:rsidRDefault="00073F70" w:rsidP="00073F70">
      <w:pPr>
        <w:rPr>
          <w:rFonts w:eastAsia="Calibri" w:cs="Arial"/>
          <w:sz w:val="20"/>
          <w:lang w:val="en-GB"/>
        </w:rPr>
      </w:pPr>
      <w:r>
        <w:rPr>
          <w:rFonts w:eastAsia="Calibri" w:cs="Arial"/>
          <w:sz w:val="20"/>
          <w:lang w:val="en-GB"/>
        </w:rPr>
        <w:t xml:space="preserve">For information: </w:t>
      </w:r>
    </w:p>
    <w:p w:rsidR="00073F70" w:rsidRPr="00073F70" w:rsidRDefault="00073F70" w:rsidP="00073F70">
      <w:pPr>
        <w:pStyle w:val="ListParagraph"/>
        <w:numPr>
          <w:ilvl w:val="0"/>
          <w:numId w:val="36"/>
        </w:numPr>
        <w:rPr>
          <w:rFonts w:ascii="Arial" w:hAnsi="Arial" w:cs="Arial"/>
          <w:color w:val="1F497D"/>
          <w:sz w:val="20"/>
          <w:szCs w:val="20"/>
        </w:rPr>
      </w:pPr>
      <w:r w:rsidRPr="00073F70">
        <w:rPr>
          <w:rFonts w:ascii="Arial" w:eastAsia="Calibri" w:hAnsi="Arial" w:cs="Arial"/>
          <w:sz w:val="20"/>
          <w:szCs w:val="20"/>
        </w:rPr>
        <w:t xml:space="preserve">link to a page on the </w:t>
      </w:r>
      <w:proofErr w:type="spellStart"/>
      <w:r w:rsidRPr="00073F70">
        <w:rPr>
          <w:rFonts w:ascii="Arial" w:eastAsia="Calibri" w:hAnsi="Arial" w:cs="Arial"/>
          <w:sz w:val="20"/>
          <w:szCs w:val="20"/>
        </w:rPr>
        <w:t>esma</w:t>
      </w:r>
      <w:proofErr w:type="spellEnd"/>
      <w:r w:rsidRPr="00073F70">
        <w:rPr>
          <w:rFonts w:ascii="Arial" w:eastAsia="Calibri" w:hAnsi="Arial" w:cs="Arial"/>
          <w:sz w:val="20"/>
          <w:szCs w:val="20"/>
        </w:rPr>
        <w:t xml:space="preserve"> website with references to the RTS and related news: </w:t>
      </w:r>
      <w:hyperlink r:id="rId18" w:history="1">
        <w:r w:rsidRPr="00073F70">
          <w:rPr>
            <w:rStyle w:val="Hyperlink"/>
            <w:rFonts w:ascii="Arial" w:hAnsi="Arial" w:cs="Arial"/>
            <w:sz w:val="20"/>
            <w:szCs w:val="20"/>
          </w:rPr>
          <w:t>http://www.esma.europa.eu/news/ESMA-readies-MiFID-II-MAR-and-CSDR</w:t>
        </w:r>
      </w:hyperlink>
      <w:r w:rsidRPr="00073F70">
        <w:rPr>
          <w:rFonts w:ascii="Arial" w:hAnsi="Arial" w:cs="Arial"/>
          <w:color w:val="1F497D"/>
          <w:sz w:val="20"/>
          <w:szCs w:val="20"/>
        </w:rPr>
        <w:t xml:space="preserve"> </w:t>
      </w:r>
    </w:p>
    <w:p w:rsidR="00073F70" w:rsidRPr="00C73670" w:rsidRDefault="00073F70" w:rsidP="00073F70">
      <w:pPr>
        <w:ind w:left="1440"/>
        <w:jc w:val="left"/>
        <w:rPr>
          <w:rFonts w:eastAsia="Calibri" w:cs="Arial"/>
          <w:sz w:val="20"/>
          <w:lang w:val="en-GB"/>
        </w:rPr>
      </w:pPr>
    </w:p>
    <w:p w:rsidR="00054ABE" w:rsidRDefault="00054ABE" w:rsidP="007E5C2C">
      <w:pPr>
        <w:pStyle w:val="ListParagraph"/>
        <w:numPr>
          <w:ilvl w:val="0"/>
          <w:numId w:val="18"/>
        </w:numPr>
        <w:rPr>
          <w:rFonts w:eastAsia="Calibri" w:cs="Arial"/>
          <w:b/>
          <w:color w:val="00B050"/>
        </w:rPr>
      </w:pPr>
      <w:r w:rsidRPr="00664630">
        <w:rPr>
          <w:rFonts w:eastAsia="Calibri" w:cs="Arial"/>
          <w:b/>
          <w:color w:val="00B050"/>
        </w:rPr>
        <w:t xml:space="preserve">Action item:  Evelyne and Paul to setup </w:t>
      </w:r>
      <w:r w:rsidR="00664630" w:rsidRPr="00664630">
        <w:rPr>
          <w:rFonts w:eastAsia="Calibri" w:cs="Arial"/>
          <w:b/>
          <w:color w:val="00B050"/>
        </w:rPr>
        <w:t xml:space="preserve">a </w:t>
      </w:r>
      <w:r w:rsidRPr="00664630">
        <w:rPr>
          <w:rFonts w:eastAsia="Calibri" w:cs="Arial"/>
          <w:b/>
          <w:color w:val="00B050"/>
        </w:rPr>
        <w:t xml:space="preserve">sub-group to get </w:t>
      </w:r>
      <w:r w:rsidR="00664630" w:rsidRPr="00664630">
        <w:rPr>
          <w:rFonts w:eastAsia="Calibri" w:cs="Arial"/>
          <w:b/>
          <w:color w:val="00B050"/>
        </w:rPr>
        <w:t xml:space="preserve">an </w:t>
      </w:r>
      <w:r w:rsidRPr="00664630">
        <w:rPr>
          <w:rFonts w:eastAsia="Calibri" w:cs="Arial"/>
          <w:b/>
          <w:color w:val="00B050"/>
        </w:rPr>
        <w:t>initial version of matrix created – FR (</w:t>
      </w:r>
      <w:proofErr w:type="spellStart"/>
      <w:r w:rsidRPr="00664630">
        <w:rPr>
          <w:rFonts w:eastAsia="Calibri" w:cs="Arial"/>
          <w:b/>
          <w:color w:val="00B050"/>
        </w:rPr>
        <w:t>Axelle</w:t>
      </w:r>
      <w:proofErr w:type="spellEnd"/>
      <w:r w:rsidRPr="00664630">
        <w:rPr>
          <w:rFonts w:eastAsia="Calibri" w:cs="Arial"/>
          <w:b/>
          <w:color w:val="00B050"/>
        </w:rPr>
        <w:t xml:space="preserve">) , ISITC (Jason), UK (Robyn), DE (Denis), AU (Suresh)  representatives volunteered to start matrix and share with larger SMPG </w:t>
      </w:r>
      <w:proofErr w:type="spellStart"/>
      <w:r w:rsidRPr="00664630">
        <w:rPr>
          <w:rFonts w:eastAsia="Calibri" w:cs="Arial"/>
          <w:b/>
          <w:color w:val="00B050"/>
        </w:rPr>
        <w:t>SnR</w:t>
      </w:r>
      <w:proofErr w:type="spellEnd"/>
      <w:r w:rsidRPr="00664630">
        <w:rPr>
          <w:rFonts w:eastAsia="Calibri" w:cs="Arial"/>
          <w:b/>
          <w:color w:val="00B050"/>
        </w:rPr>
        <w:t xml:space="preserve"> WG.</w:t>
      </w:r>
    </w:p>
    <w:p w:rsidR="00916981" w:rsidRDefault="00916981" w:rsidP="007E5C2C">
      <w:pPr>
        <w:numPr>
          <w:ilvl w:val="0"/>
          <w:numId w:val="35"/>
        </w:numPr>
        <w:spacing w:before="240"/>
      </w:pPr>
      <w:r w:rsidRPr="00D7103C">
        <w:rPr>
          <w:rFonts w:cs="Arial"/>
        </w:rPr>
        <w:t>PSET</w:t>
      </w:r>
      <w:r>
        <w:t xml:space="preserve"> B11 listing – T2S Markets</w:t>
      </w:r>
      <w:r w:rsidR="00841973">
        <w:t xml:space="preserve"> (Jason/</w:t>
      </w:r>
      <w:r w:rsidR="00D3060D">
        <w:t>Evelyne</w:t>
      </w:r>
      <w:r w:rsidR="00841973">
        <w:t>/Paul</w:t>
      </w:r>
      <w:r w:rsidR="00D3060D">
        <w:t>)</w:t>
      </w:r>
    </w:p>
    <w:p w:rsidR="00175080" w:rsidRPr="00175080" w:rsidRDefault="00175080" w:rsidP="007E5C2C">
      <w:pPr>
        <w:pStyle w:val="ListParagraph"/>
        <w:numPr>
          <w:ilvl w:val="0"/>
          <w:numId w:val="28"/>
        </w:numPr>
        <w:spacing w:before="240"/>
        <w:rPr>
          <w:rFonts w:ascii="Arial" w:hAnsi="Arial" w:cs="Arial"/>
          <w:sz w:val="20"/>
          <w:szCs w:val="20"/>
        </w:rPr>
      </w:pPr>
      <w:r w:rsidRPr="00175080">
        <w:rPr>
          <w:rFonts w:ascii="Arial" w:eastAsia="Calibri" w:hAnsi="Arial" w:cs="Arial"/>
          <w:sz w:val="20"/>
          <w:szCs w:val="20"/>
        </w:rPr>
        <w:t xml:space="preserve">Matrix reviewed with group and additional markets were validated.  NMPG representatives need confirmation from the CSDs before responding.  </w:t>
      </w:r>
    </w:p>
    <w:p w:rsidR="00175080" w:rsidRDefault="00175080" w:rsidP="007E5C2C">
      <w:pPr>
        <w:pStyle w:val="ListParagraph"/>
        <w:numPr>
          <w:ilvl w:val="0"/>
          <w:numId w:val="18"/>
        </w:numPr>
        <w:rPr>
          <w:rFonts w:eastAsia="Calibri" w:cs="Arial"/>
          <w:b/>
          <w:color w:val="00B050"/>
        </w:rPr>
      </w:pPr>
      <w:r w:rsidRPr="00664630">
        <w:rPr>
          <w:rFonts w:eastAsia="Calibri" w:cs="Arial"/>
          <w:b/>
          <w:color w:val="00B050"/>
        </w:rPr>
        <w:t xml:space="preserve">Action item:  Jason and Evelyne to continue to work with individual markets on confirming PSET BIC11 and if can be used ahead of migration to be updated into SMPG PSET matrix </w:t>
      </w:r>
    </w:p>
    <w:p w:rsidR="00B842BA" w:rsidRDefault="00B842BA" w:rsidP="00B842BA">
      <w:pPr>
        <w:pStyle w:val="ListParagraph"/>
        <w:ind w:left="1440"/>
        <w:rPr>
          <w:rFonts w:eastAsia="Calibri" w:cs="Arial"/>
          <w:b/>
          <w:color w:val="00B050"/>
        </w:rPr>
      </w:pPr>
    </w:p>
    <w:p w:rsidR="00B001B1" w:rsidRDefault="00B001B1" w:rsidP="007E5C2C">
      <w:pPr>
        <w:numPr>
          <w:ilvl w:val="0"/>
          <w:numId w:val="35"/>
        </w:numPr>
        <w:spacing w:before="240"/>
      </w:pPr>
      <w:r w:rsidRPr="00D7103C">
        <w:rPr>
          <w:rFonts w:cs="Arial"/>
        </w:rPr>
        <w:t>Update</w:t>
      </w:r>
      <w:r>
        <w:t xml:space="preserve"> to MUG – Case </w:t>
      </w:r>
      <w:r w:rsidRPr="001F53C9">
        <w:t>sensitiveness</w:t>
      </w:r>
      <w:r>
        <w:t xml:space="preserve"> of Reference and Ids? (All)</w:t>
      </w:r>
    </w:p>
    <w:p w:rsidR="00B001B1" w:rsidRPr="00175080" w:rsidRDefault="00B001B1" w:rsidP="007E5C2C">
      <w:pPr>
        <w:numPr>
          <w:ilvl w:val="0"/>
          <w:numId w:val="25"/>
        </w:numPr>
        <w:jc w:val="left"/>
        <w:rPr>
          <w:rFonts w:eastAsia="Calibri" w:cs="Arial"/>
          <w:sz w:val="20"/>
          <w:lang w:val="en-GB"/>
        </w:rPr>
      </w:pPr>
      <w:r w:rsidRPr="00175080">
        <w:rPr>
          <w:rFonts w:eastAsia="Calibri" w:cs="Arial"/>
          <w:sz w:val="20"/>
          <w:lang w:val="en-GB"/>
        </w:rPr>
        <w:t>Request by T2S to clarify if a lower case reference ID should always be considered the same as an upper case reference ID of the same content – ABC123 = abc123</w:t>
      </w:r>
    </w:p>
    <w:p w:rsidR="00B001B1" w:rsidRPr="00175080" w:rsidRDefault="00B001B1" w:rsidP="007E5C2C">
      <w:pPr>
        <w:numPr>
          <w:ilvl w:val="0"/>
          <w:numId w:val="25"/>
        </w:numPr>
        <w:jc w:val="left"/>
        <w:rPr>
          <w:rFonts w:eastAsia="Calibri" w:cs="Arial"/>
          <w:sz w:val="20"/>
          <w:lang w:val="en-GB"/>
        </w:rPr>
      </w:pPr>
      <w:r w:rsidRPr="00175080">
        <w:rPr>
          <w:rFonts w:eastAsia="Calibri" w:cs="Arial"/>
          <w:sz w:val="20"/>
          <w:lang w:val="en-GB"/>
        </w:rPr>
        <w:t>X character set allows for both upper and lower case letters</w:t>
      </w:r>
    </w:p>
    <w:p w:rsidR="00B001B1" w:rsidRPr="00D46300" w:rsidRDefault="00B001B1" w:rsidP="007E5C2C">
      <w:pPr>
        <w:numPr>
          <w:ilvl w:val="0"/>
          <w:numId w:val="25"/>
        </w:numPr>
        <w:jc w:val="left"/>
        <w:rPr>
          <w:rFonts w:eastAsia="Calibri" w:cs="Arial"/>
          <w:sz w:val="20"/>
          <w:lang w:val="en-GB"/>
        </w:rPr>
      </w:pPr>
      <w:proofErr w:type="spellStart"/>
      <w:r w:rsidRPr="00D46300">
        <w:rPr>
          <w:rFonts w:eastAsia="Calibri" w:cs="Arial"/>
          <w:sz w:val="20"/>
          <w:lang w:val="en-GB"/>
        </w:rPr>
        <w:t>SnR</w:t>
      </w:r>
      <w:proofErr w:type="spellEnd"/>
      <w:r w:rsidRPr="00D46300">
        <w:rPr>
          <w:rFonts w:eastAsia="Calibri" w:cs="Arial"/>
          <w:sz w:val="20"/>
          <w:lang w:val="en-GB"/>
        </w:rPr>
        <w:t xml:space="preserve"> WG agreed a SWIFT usage rule to be added to SWIFT UHB across all field 20a Reference ID fields to make sure that same set of characters (upper case or lower case) for Ref and Ids must be </w:t>
      </w:r>
      <w:r w:rsidRPr="00D46300">
        <w:rPr>
          <w:rFonts w:eastAsia="Calibri" w:cs="Arial"/>
          <w:sz w:val="20"/>
          <w:lang w:val="en-GB"/>
        </w:rPr>
        <w:lastRenderedPageBreak/>
        <w:t>understood as the same reference, in other words, ref</w:t>
      </w:r>
      <w:r>
        <w:rPr>
          <w:rFonts w:eastAsia="Calibri" w:cs="Arial"/>
          <w:sz w:val="20"/>
          <w:lang w:val="en-GB"/>
        </w:rPr>
        <w:t xml:space="preserve"> </w:t>
      </w:r>
      <w:r w:rsidRPr="00D46300">
        <w:rPr>
          <w:rFonts w:eastAsia="Calibri" w:cs="Arial"/>
          <w:sz w:val="20"/>
          <w:lang w:val="en-GB"/>
        </w:rPr>
        <w:t>ABC123 and ref abc123 are identical</w:t>
      </w:r>
      <w:proofErr w:type="gramStart"/>
      <w:r w:rsidRPr="00D46300">
        <w:rPr>
          <w:rFonts w:eastAsia="Calibri" w:cs="Arial"/>
          <w:sz w:val="20"/>
          <w:lang w:val="en-GB"/>
        </w:rPr>
        <w:t>.-</w:t>
      </w:r>
      <w:proofErr w:type="gramEnd"/>
      <w:r w:rsidRPr="00D46300">
        <w:rPr>
          <w:rFonts w:eastAsia="Calibri" w:cs="Arial"/>
          <w:sz w:val="20"/>
          <w:lang w:val="en-GB"/>
        </w:rPr>
        <w:t>&gt; CR submitted by SWIFT sponsored by SMPG</w:t>
      </w:r>
      <w:r>
        <w:rPr>
          <w:rFonts w:eastAsia="Calibri" w:cs="Arial"/>
          <w:sz w:val="20"/>
          <w:lang w:val="en-GB"/>
        </w:rPr>
        <w:t>.</w:t>
      </w:r>
    </w:p>
    <w:p w:rsidR="00B001B1" w:rsidRPr="00175080" w:rsidRDefault="00B001B1" w:rsidP="00B001B1">
      <w:pPr>
        <w:ind w:left="1080"/>
        <w:jc w:val="left"/>
        <w:rPr>
          <w:rFonts w:eastAsia="Calibri" w:cs="Arial"/>
          <w:sz w:val="20"/>
          <w:lang w:val="en-GB"/>
        </w:rPr>
      </w:pPr>
    </w:p>
    <w:p w:rsidR="00B001B1" w:rsidRDefault="00B001B1" w:rsidP="00B001B1">
      <w:pPr>
        <w:ind w:left="1080"/>
        <w:rPr>
          <w:rFonts w:cs="Arial"/>
          <w:color w:val="FF0000"/>
        </w:rPr>
      </w:pPr>
      <w:r>
        <w:rPr>
          <w:rFonts w:eastAsia="Calibri" w:cs="Arial"/>
          <w:b/>
          <w:color w:val="FF0000"/>
          <w:sz w:val="20"/>
          <w:lang w:val="en-GB" w:eastAsia="en-GB"/>
        </w:rPr>
        <w:t xml:space="preserve">Post meeting discussion (w/Gunnar): Need to re-open the debate at next SMPG meeting in Helsinki: </w:t>
      </w:r>
      <w:r w:rsidRPr="00D46300">
        <w:rPr>
          <w:rFonts w:eastAsia="Calibri" w:cs="Arial"/>
          <w:b/>
          <w:color w:val="FF0000"/>
          <w:sz w:val="20"/>
          <w:lang w:val="en-GB" w:eastAsia="en-GB"/>
        </w:rPr>
        <w:t>“</w:t>
      </w:r>
      <w:r w:rsidRPr="00D46300">
        <w:rPr>
          <w:rFonts w:cs="Arial"/>
          <w:i/>
          <w:color w:val="FF0000"/>
        </w:rPr>
        <w:t>In preparation of such revisiting of the topic I would recommend that each market representative uses the time to check with their national groups as we will do in T2S. Currently we have two big players both joining T2S next year with very different views on this topic, one of them clearly saying that abc123 is not the same as ABC123 and they are not willing to change view as this is long practice already</w:t>
      </w:r>
      <w:r w:rsidRPr="00D46300">
        <w:rPr>
          <w:rFonts w:cs="Arial"/>
          <w:color w:val="FF0000"/>
        </w:rPr>
        <w:t>.”</w:t>
      </w:r>
    </w:p>
    <w:p w:rsidR="00B001B1" w:rsidRPr="00664630" w:rsidRDefault="00B001B1" w:rsidP="00B842BA">
      <w:pPr>
        <w:pStyle w:val="ListParagraph"/>
        <w:ind w:left="1440"/>
        <w:rPr>
          <w:rFonts w:eastAsia="Calibri" w:cs="Arial"/>
          <w:b/>
          <w:color w:val="00B050"/>
        </w:rPr>
      </w:pPr>
    </w:p>
    <w:p w:rsidR="00133D2C" w:rsidRDefault="00133D2C" w:rsidP="007E5C2C">
      <w:pPr>
        <w:numPr>
          <w:ilvl w:val="0"/>
          <w:numId w:val="35"/>
        </w:numPr>
        <w:spacing w:before="240"/>
      </w:pPr>
      <w:r w:rsidRPr="007E5C2C">
        <w:t>AOB</w:t>
      </w:r>
    </w:p>
    <w:p w:rsidR="000A5A60" w:rsidRPr="003F0BDD" w:rsidRDefault="000A5A60" w:rsidP="000A5A60">
      <w:pPr>
        <w:pStyle w:val="ListParagraph"/>
        <w:ind w:left="1080"/>
        <w:rPr>
          <w:color w:val="7030A0"/>
        </w:rPr>
      </w:pPr>
    </w:p>
    <w:p w:rsidR="000A5A60" w:rsidRPr="00C73670" w:rsidRDefault="000A5A60" w:rsidP="00C73670">
      <w:pPr>
        <w:ind w:left="360"/>
        <w:rPr>
          <w:rFonts w:cs="Arial"/>
          <w:color w:val="000000" w:themeColor="text1"/>
          <w:sz w:val="20"/>
        </w:rPr>
      </w:pPr>
      <w:r w:rsidRPr="00C73670">
        <w:rPr>
          <w:rFonts w:cs="Arial"/>
          <w:color w:val="000000" w:themeColor="text1"/>
          <w:sz w:val="20"/>
        </w:rPr>
        <w:t>Adding new disclaimer on cover page to all SMPG Global MP documents</w:t>
      </w:r>
    </w:p>
    <w:p w:rsidR="00D46300" w:rsidRPr="00C73670" w:rsidRDefault="00D46300" w:rsidP="00D46300">
      <w:pPr>
        <w:pStyle w:val="ListParagraph"/>
        <w:rPr>
          <w:rFonts w:ascii="Arial" w:hAnsi="Arial" w:cs="Arial"/>
          <w:color w:val="000000" w:themeColor="text1"/>
          <w:sz w:val="20"/>
          <w:szCs w:val="20"/>
        </w:rPr>
      </w:pPr>
    </w:p>
    <w:p w:rsidR="000A5A60" w:rsidRPr="00C73670" w:rsidRDefault="000A5A60" w:rsidP="007E5C2C">
      <w:pPr>
        <w:pStyle w:val="ListParagraph"/>
        <w:numPr>
          <w:ilvl w:val="0"/>
          <w:numId w:val="29"/>
        </w:numPr>
        <w:rPr>
          <w:rFonts w:ascii="Arial" w:hAnsi="Arial" w:cs="Arial"/>
          <w:iCs/>
          <w:color w:val="000000" w:themeColor="text1"/>
          <w:sz w:val="20"/>
          <w:szCs w:val="20"/>
        </w:rPr>
      </w:pPr>
      <w:r w:rsidRPr="00C73670">
        <w:rPr>
          <w:rFonts w:ascii="Arial" w:hAnsi="Arial" w:cs="Arial"/>
          <w:iCs/>
          <w:color w:val="000000" w:themeColor="text1"/>
          <w:sz w:val="20"/>
          <w:szCs w:val="20"/>
        </w:rPr>
        <w:t>Reminders to authors of the MPs to put disclaimers in SMPG MP documents</w:t>
      </w:r>
    </w:p>
    <w:p w:rsidR="000A5A60" w:rsidRPr="00C73670" w:rsidRDefault="000A5A60" w:rsidP="007E5C2C">
      <w:pPr>
        <w:pStyle w:val="ListParagraph"/>
        <w:numPr>
          <w:ilvl w:val="0"/>
          <w:numId w:val="29"/>
        </w:numPr>
        <w:rPr>
          <w:rFonts w:ascii="Arial" w:hAnsi="Arial" w:cs="Arial"/>
          <w:iCs/>
          <w:color w:val="000000" w:themeColor="text1"/>
          <w:sz w:val="20"/>
          <w:szCs w:val="20"/>
        </w:rPr>
      </w:pPr>
      <w:r w:rsidRPr="00C73670">
        <w:rPr>
          <w:rFonts w:ascii="Arial" w:hAnsi="Arial" w:cs="Arial"/>
          <w:iCs/>
          <w:color w:val="000000" w:themeColor="text1"/>
          <w:sz w:val="20"/>
          <w:szCs w:val="20"/>
        </w:rPr>
        <w:t>SMPG recommends to NMPGs for adopting the same disclaimer</w:t>
      </w:r>
    </w:p>
    <w:p w:rsidR="00633863" w:rsidRPr="00C73670" w:rsidRDefault="00D46300" w:rsidP="007E5C2C">
      <w:pPr>
        <w:pStyle w:val="ListParagraph"/>
        <w:numPr>
          <w:ilvl w:val="0"/>
          <w:numId w:val="29"/>
        </w:numPr>
        <w:rPr>
          <w:rFonts w:ascii="Arial" w:hAnsi="Arial" w:cs="Arial"/>
          <w:iCs/>
          <w:color w:val="000000" w:themeColor="text1"/>
          <w:sz w:val="20"/>
          <w:szCs w:val="20"/>
        </w:rPr>
      </w:pPr>
      <w:r w:rsidRPr="00C73670">
        <w:rPr>
          <w:rFonts w:ascii="Arial" w:eastAsia="Calibri" w:hAnsi="Arial" w:cs="Arial"/>
          <w:color w:val="000000" w:themeColor="text1"/>
          <w:sz w:val="20"/>
          <w:szCs w:val="20"/>
        </w:rPr>
        <w:t>New disclaimer needs to be added to each market practice and added to the MyStandards Introduction page</w:t>
      </w:r>
    </w:p>
    <w:p w:rsidR="00D46300" w:rsidRPr="00C73670" w:rsidRDefault="00D46300" w:rsidP="00D46300">
      <w:pPr>
        <w:pStyle w:val="ListParagraph"/>
        <w:rPr>
          <w:rFonts w:ascii="Arial" w:hAnsi="Arial" w:cs="Arial"/>
          <w:iCs/>
          <w:color w:val="7030A0"/>
          <w:sz w:val="20"/>
          <w:szCs w:val="20"/>
        </w:rPr>
      </w:pPr>
    </w:p>
    <w:p w:rsidR="00D46300" w:rsidRPr="00C73670" w:rsidRDefault="00D46300" w:rsidP="00C73670">
      <w:pPr>
        <w:ind w:left="360"/>
        <w:jc w:val="left"/>
        <w:rPr>
          <w:rFonts w:eastAsia="Calibri" w:cs="Arial"/>
          <w:sz w:val="20"/>
          <w:lang w:val="en-GB"/>
        </w:rPr>
      </w:pPr>
      <w:r w:rsidRPr="00C73670">
        <w:rPr>
          <w:rFonts w:eastAsia="Calibri" w:cs="Arial"/>
          <w:sz w:val="20"/>
          <w:lang w:val="en-GB"/>
        </w:rPr>
        <w:t>Place of Trade usage/acceptance by local market sub-custodians – raised by US asset manager who participates at ISITC</w:t>
      </w:r>
    </w:p>
    <w:p w:rsidR="00D46300" w:rsidRPr="00C73670" w:rsidRDefault="00D46300" w:rsidP="007E5C2C">
      <w:pPr>
        <w:numPr>
          <w:ilvl w:val="0"/>
          <w:numId w:val="30"/>
        </w:numPr>
        <w:jc w:val="left"/>
        <w:rPr>
          <w:rFonts w:eastAsia="Calibri" w:cs="Arial"/>
          <w:sz w:val="20"/>
          <w:lang w:val="en-GB"/>
        </w:rPr>
      </w:pPr>
      <w:r w:rsidRPr="00C73670">
        <w:rPr>
          <w:rFonts w:eastAsia="Calibri" w:cs="Arial"/>
          <w:sz w:val="20"/>
          <w:lang w:val="en-GB"/>
        </w:rPr>
        <w:t>Turkey and other markets require Place of Trade</w:t>
      </w:r>
    </w:p>
    <w:p w:rsidR="00D46300" w:rsidRPr="00C73670" w:rsidRDefault="00D46300" w:rsidP="007E5C2C">
      <w:pPr>
        <w:numPr>
          <w:ilvl w:val="0"/>
          <w:numId w:val="30"/>
        </w:numPr>
        <w:jc w:val="left"/>
        <w:rPr>
          <w:rFonts w:eastAsia="Calibri" w:cs="Arial"/>
          <w:sz w:val="20"/>
          <w:lang w:val="en-GB"/>
        </w:rPr>
      </w:pPr>
      <w:r w:rsidRPr="00C73670">
        <w:rPr>
          <w:rFonts w:eastAsia="Calibri" w:cs="Arial"/>
          <w:sz w:val="20"/>
          <w:lang w:val="en-GB"/>
        </w:rPr>
        <w:t>Other markets such as Poland</w:t>
      </w:r>
      <w:r w:rsidR="00FD0C67">
        <w:rPr>
          <w:rFonts w:eastAsia="Calibri" w:cs="Arial"/>
          <w:sz w:val="20"/>
          <w:lang w:val="en-GB"/>
        </w:rPr>
        <w:t>, one local custodian</w:t>
      </w:r>
      <w:r w:rsidRPr="00C73670">
        <w:rPr>
          <w:rFonts w:eastAsia="Calibri" w:cs="Arial"/>
          <w:sz w:val="20"/>
          <w:lang w:val="en-GB"/>
        </w:rPr>
        <w:t xml:space="preserve"> </w:t>
      </w:r>
      <w:r w:rsidR="00FD0C67">
        <w:rPr>
          <w:rFonts w:eastAsia="Calibri" w:cs="Arial"/>
          <w:sz w:val="20"/>
          <w:lang w:val="en-GB"/>
        </w:rPr>
        <w:t>has rejected a</w:t>
      </w:r>
      <w:r w:rsidRPr="00C73670">
        <w:rPr>
          <w:rFonts w:eastAsia="Calibri" w:cs="Arial"/>
          <w:sz w:val="20"/>
          <w:lang w:val="en-GB"/>
        </w:rPr>
        <w:t xml:space="preserve"> trade because Place of Trade is provided on trade instruction as optional information</w:t>
      </w:r>
    </w:p>
    <w:p w:rsidR="00D46300" w:rsidRPr="00C73670" w:rsidRDefault="00D46300" w:rsidP="007E5C2C">
      <w:pPr>
        <w:numPr>
          <w:ilvl w:val="0"/>
          <w:numId w:val="30"/>
        </w:numPr>
        <w:jc w:val="left"/>
        <w:rPr>
          <w:rFonts w:eastAsia="Calibri" w:cs="Arial"/>
          <w:sz w:val="20"/>
          <w:lang w:val="en-GB"/>
        </w:rPr>
      </w:pPr>
      <w:r w:rsidRPr="00C73670">
        <w:rPr>
          <w:rFonts w:eastAsia="Calibri" w:cs="Arial"/>
          <w:sz w:val="20"/>
          <w:lang w:val="en-GB"/>
        </w:rPr>
        <w:t>Place of Trade field 94B allows for identifying On vs. Off Exchange through the use of subfield – 94B::TRAD//EXCH/___ vs. 94B::TRAD//OTCO/__</w:t>
      </w:r>
    </w:p>
    <w:p w:rsidR="00D46300" w:rsidRDefault="00D46300" w:rsidP="00C73670">
      <w:pPr>
        <w:ind w:left="1440"/>
        <w:jc w:val="left"/>
        <w:rPr>
          <w:rFonts w:eastAsia="Calibri" w:cs="Arial"/>
          <w:sz w:val="18"/>
          <w:szCs w:val="18"/>
          <w:lang w:val="en-GB"/>
        </w:rPr>
      </w:pPr>
    </w:p>
    <w:p w:rsidR="00D46300" w:rsidRPr="00664630" w:rsidRDefault="00D46300" w:rsidP="007E5C2C">
      <w:pPr>
        <w:pStyle w:val="ListParagraph"/>
        <w:numPr>
          <w:ilvl w:val="0"/>
          <w:numId w:val="18"/>
        </w:numPr>
        <w:rPr>
          <w:rFonts w:eastAsia="Calibri" w:cs="Arial"/>
          <w:b/>
          <w:color w:val="00B050"/>
        </w:rPr>
      </w:pPr>
      <w:r w:rsidRPr="00664630">
        <w:rPr>
          <w:rFonts w:eastAsia="Calibri" w:cs="Arial"/>
          <w:b/>
          <w:color w:val="00B050"/>
        </w:rPr>
        <w:t>Action item: Each NMPG to confirm if there is any conditional requirement of populated on vs. off exchange</w:t>
      </w:r>
      <w:r w:rsidR="00664630" w:rsidRPr="00664630">
        <w:rPr>
          <w:rFonts w:eastAsia="Calibri" w:cs="Arial"/>
          <w:b/>
          <w:color w:val="00B050"/>
        </w:rPr>
        <w:t xml:space="preserve">. </w:t>
      </w:r>
      <w:r w:rsidRPr="00664630">
        <w:rPr>
          <w:rFonts w:eastAsia="Calibri" w:cs="Arial"/>
          <w:b/>
          <w:color w:val="00B050"/>
        </w:rPr>
        <w:t xml:space="preserve">This is beyond Turkey and Singapore requirement already confirmed. </w:t>
      </w:r>
    </w:p>
    <w:p w:rsidR="00D46300" w:rsidRPr="00664630" w:rsidRDefault="00D46300" w:rsidP="007E5C2C">
      <w:pPr>
        <w:pStyle w:val="ListParagraph"/>
        <w:numPr>
          <w:ilvl w:val="0"/>
          <w:numId w:val="18"/>
        </w:numPr>
        <w:rPr>
          <w:rFonts w:eastAsia="Calibri" w:cs="Arial"/>
          <w:b/>
          <w:color w:val="00B050"/>
        </w:rPr>
      </w:pPr>
      <w:r w:rsidRPr="00664630">
        <w:rPr>
          <w:rFonts w:eastAsia="Calibri" w:cs="Arial"/>
          <w:b/>
          <w:color w:val="00B050"/>
        </w:rPr>
        <w:t>Action item</w:t>
      </w:r>
      <w:r w:rsidR="00664630" w:rsidRPr="00664630">
        <w:rPr>
          <w:rFonts w:eastAsia="Calibri" w:cs="Arial"/>
          <w:b/>
          <w:color w:val="00B050"/>
        </w:rPr>
        <w:t>:</w:t>
      </w:r>
      <w:r w:rsidRPr="00664630">
        <w:rPr>
          <w:rFonts w:eastAsia="Calibri" w:cs="Arial"/>
          <w:b/>
          <w:color w:val="00B050"/>
        </w:rPr>
        <w:t xml:space="preserve"> Alex to forward email trail from US asset manager for Jason to follow up within ISITC to discuss further (done)</w:t>
      </w:r>
    </w:p>
    <w:p w:rsidR="000A5A60" w:rsidRDefault="000A5A60" w:rsidP="000A5A60">
      <w:pPr>
        <w:ind w:left="360"/>
        <w:rPr>
          <w:color w:val="7030A0"/>
        </w:rPr>
      </w:pPr>
    </w:p>
    <w:p w:rsidR="00B74DB7" w:rsidRDefault="00B001B1" w:rsidP="007E5C2C">
      <w:pPr>
        <w:numPr>
          <w:ilvl w:val="0"/>
          <w:numId w:val="35"/>
        </w:numPr>
        <w:spacing w:before="240"/>
      </w:pPr>
      <w:r w:rsidRPr="00B001B1">
        <w:rPr>
          <w:rFonts w:cs="Arial"/>
        </w:rPr>
        <w:t>Review</w:t>
      </w:r>
      <w:r w:rsidRPr="00B001B1">
        <w:t xml:space="preserve"> of action items from last SMPG meeting (Evelyne)</w:t>
      </w:r>
    </w:p>
    <w:p w:rsidR="00B001B1" w:rsidRPr="00B001B1" w:rsidRDefault="00B001B1" w:rsidP="007E5C2C">
      <w:pPr>
        <w:pStyle w:val="ListParagraph"/>
        <w:numPr>
          <w:ilvl w:val="0"/>
          <w:numId w:val="33"/>
        </w:numPr>
        <w:spacing w:before="240"/>
        <w:rPr>
          <w:rFonts w:ascii="Arial" w:hAnsi="Arial" w:cs="Arial"/>
          <w:sz w:val="20"/>
          <w:szCs w:val="20"/>
        </w:rPr>
      </w:pPr>
      <w:r w:rsidRPr="00B001B1">
        <w:rPr>
          <w:rFonts w:ascii="Arial" w:hAnsi="Arial" w:cs="Arial"/>
          <w:sz w:val="20"/>
          <w:szCs w:val="20"/>
        </w:rPr>
        <w:t>Not covered during SG meeting - Deferred to next conference</w:t>
      </w:r>
    </w:p>
    <w:p w:rsidR="00B001B1" w:rsidRPr="00B001B1" w:rsidRDefault="00B001B1" w:rsidP="007E5C2C">
      <w:pPr>
        <w:numPr>
          <w:ilvl w:val="0"/>
          <w:numId w:val="35"/>
        </w:numPr>
        <w:spacing w:before="240"/>
        <w:rPr>
          <w:rFonts w:cs="Arial"/>
        </w:rPr>
      </w:pPr>
      <w:r w:rsidRPr="00B001B1">
        <w:rPr>
          <w:rFonts w:cs="Arial"/>
        </w:rPr>
        <w:t>Status of SMPG global MP – Missing 20022 illustrations?  (Evelyne)</w:t>
      </w:r>
    </w:p>
    <w:p w:rsidR="00B001B1" w:rsidRPr="00B001B1" w:rsidRDefault="00B001B1" w:rsidP="007E5C2C">
      <w:pPr>
        <w:pStyle w:val="ListParagraph"/>
        <w:numPr>
          <w:ilvl w:val="0"/>
          <w:numId w:val="33"/>
        </w:numPr>
        <w:spacing w:before="240"/>
        <w:rPr>
          <w:rFonts w:ascii="Arial" w:eastAsia="Calibri" w:hAnsi="Arial" w:cs="Arial"/>
          <w:sz w:val="20"/>
          <w:szCs w:val="20"/>
        </w:rPr>
      </w:pPr>
      <w:r w:rsidRPr="00B001B1">
        <w:rPr>
          <w:rFonts w:ascii="Arial" w:hAnsi="Arial" w:cs="Arial"/>
          <w:sz w:val="20"/>
          <w:szCs w:val="20"/>
        </w:rPr>
        <w:t>Not covered during SG meeting - Deferred to next conference</w:t>
      </w:r>
    </w:p>
    <w:p w:rsidR="00B001B1" w:rsidRPr="00B001B1" w:rsidRDefault="00B001B1" w:rsidP="00B001B1">
      <w:pPr>
        <w:spacing w:before="240"/>
      </w:pPr>
    </w:p>
    <w:p w:rsidR="00B74DB7" w:rsidRDefault="00B74DB7" w:rsidP="000A5A60">
      <w:pPr>
        <w:ind w:left="360"/>
        <w:rPr>
          <w:color w:val="7030A0"/>
        </w:rPr>
      </w:pPr>
    </w:p>
    <w:p w:rsidR="00B74DB7" w:rsidRPr="00B74DB7" w:rsidRDefault="00B74DB7" w:rsidP="00B74DB7">
      <w:pPr>
        <w:ind w:left="360"/>
        <w:jc w:val="center"/>
        <w:rPr>
          <w:b/>
          <w:color w:val="000000" w:themeColor="text1"/>
        </w:rPr>
      </w:pPr>
      <w:r w:rsidRPr="00B74DB7">
        <w:rPr>
          <w:b/>
          <w:color w:val="000000" w:themeColor="text1"/>
        </w:rPr>
        <w:t>END OF DOCUMENT</w:t>
      </w:r>
    </w:p>
    <w:sectPr w:rsidR="00B74DB7" w:rsidRPr="00B74DB7" w:rsidSect="00275532">
      <w:headerReference w:type="default" r:id="rId19"/>
      <w:footerReference w:type="default" r:id="rId20"/>
      <w:headerReference w:type="first" r:id="rId21"/>
      <w:footerReference w:type="first" r:id="rId22"/>
      <w:pgSz w:w="12240" w:h="15840" w:code="1"/>
      <w:pgMar w:top="1152" w:right="1152" w:bottom="1152" w:left="1152"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F9" w:rsidRDefault="006051F9">
      <w:r>
        <w:separator/>
      </w:r>
    </w:p>
  </w:endnote>
  <w:endnote w:type="continuationSeparator" w:id="0">
    <w:p w:rsidR="006051F9" w:rsidRDefault="0060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F9" w:rsidRPr="00CA1EF0" w:rsidRDefault="006051F9" w:rsidP="0076543F">
    <w:pPr>
      <w:pStyle w:val="Footer"/>
      <w:tabs>
        <w:tab w:val="clear" w:pos="4320"/>
        <w:tab w:val="clear" w:pos="8640"/>
        <w:tab w:val="center" w:pos="5040"/>
        <w:tab w:val="right" w:pos="10260"/>
      </w:tabs>
      <w:rPr>
        <w:sz w:val="18"/>
        <w:szCs w:val="18"/>
      </w:rPr>
    </w:pPr>
    <w:r>
      <w:rPr>
        <w:sz w:val="18"/>
        <w:szCs w:val="18"/>
      </w:rPr>
      <w:t xml:space="preserve">17 </w:t>
    </w:r>
    <w:proofErr w:type="gramStart"/>
    <w:r>
      <w:rPr>
        <w:sz w:val="18"/>
        <w:szCs w:val="18"/>
      </w:rPr>
      <w:t>June  2015</w:t>
    </w:r>
    <w:proofErr w:type="gramEnd"/>
    <w:r>
      <w:rPr>
        <w:sz w:val="18"/>
        <w:szCs w:val="18"/>
      </w:rPr>
      <w:tab/>
    </w:r>
    <w:r w:rsidRPr="00CA1EF0">
      <w:rPr>
        <w:sz w:val="18"/>
        <w:szCs w:val="18"/>
      </w:rPr>
      <w:t xml:space="preserve">Page </w:t>
    </w:r>
    <w:r w:rsidRPr="00CA1EF0">
      <w:rPr>
        <w:sz w:val="18"/>
        <w:szCs w:val="18"/>
      </w:rPr>
      <w:fldChar w:fldCharType="begin"/>
    </w:r>
    <w:r w:rsidRPr="00CA1EF0">
      <w:rPr>
        <w:sz w:val="18"/>
        <w:szCs w:val="18"/>
      </w:rPr>
      <w:instrText xml:space="preserve"> PAGE   \* MERGEFORMAT </w:instrText>
    </w:r>
    <w:r w:rsidRPr="00CA1EF0">
      <w:rPr>
        <w:sz w:val="18"/>
        <w:szCs w:val="18"/>
      </w:rPr>
      <w:fldChar w:fldCharType="separate"/>
    </w:r>
    <w:r w:rsidR="00801F6F">
      <w:rPr>
        <w:noProof/>
        <w:sz w:val="18"/>
        <w:szCs w:val="18"/>
      </w:rPr>
      <w:t>3</w:t>
    </w:r>
    <w:r w:rsidRPr="00CA1EF0">
      <w:rPr>
        <w:noProof/>
        <w:sz w:val="18"/>
        <w:szCs w:val="18"/>
      </w:rPr>
      <w:fldChar w:fldCharType="end"/>
    </w:r>
    <w:r>
      <w:rPr>
        <w:noProof/>
        <w:sz w:val="18"/>
        <w:szCs w:val="18"/>
      </w:rPr>
      <w:tab/>
      <w:t>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F9" w:rsidRPr="00CA1EF0" w:rsidRDefault="006051F9" w:rsidP="00275532">
    <w:pPr>
      <w:pStyle w:val="Footer"/>
      <w:tabs>
        <w:tab w:val="clear" w:pos="4320"/>
        <w:tab w:val="clear" w:pos="8640"/>
        <w:tab w:val="center" w:pos="5040"/>
        <w:tab w:val="right" w:pos="10260"/>
      </w:tabs>
      <w:rPr>
        <w:sz w:val="18"/>
        <w:szCs w:val="18"/>
      </w:rPr>
    </w:pPr>
    <w:r>
      <w:rPr>
        <w:sz w:val="18"/>
        <w:szCs w:val="18"/>
      </w:rPr>
      <w:t xml:space="preserve">17 </w:t>
    </w:r>
    <w:proofErr w:type="gramStart"/>
    <w:r>
      <w:rPr>
        <w:sz w:val="18"/>
        <w:szCs w:val="18"/>
      </w:rPr>
      <w:t>June  2015</w:t>
    </w:r>
    <w:proofErr w:type="gramEnd"/>
    <w:r>
      <w:rPr>
        <w:sz w:val="18"/>
        <w:szCs w:val="18"/>
      </w:rPr>
      <w:tab/>
    </w:r>
    <w:r w:rsidRPr="00CA1EF0">
      <w:rPr>
        <w:sz w:val="18"/>
        <w:szCs w:val="18"/>
      </w:rPr>
      <w:t xml:space="preserve">Page </w:t>
    </w:r>
    <w:r w:rsidRPr="00CA1EF0">
      <w:rPr>
        <w:sz w:val="18"/>
        <w:szCs w:val="18"/>
      </w:rPr>
      <w:fldChar w:fldCharType="begin"/>
    </w:r>
    <w:r w:rsidRPr="00CA1EF0">
      <w:rPr>
        <w:sz w:val="18"/>
        <w:szCs w:val="18"/>
      </w:rPr>
      <w:instrText xml:space="preserve"> PAGE   \* MERGEFORMAT </w:instrText>
    </w:r>
    <w:r w:rsidRPr="00CA1EF0">
      <w:rPr>
        <w:sz w:val="18"/>
        <w:szCs w:val="18"/>
      </w:rPr>
      <w:fldChar w:fldCharType="separate"/>
    </w:r>
    <w:r w:rsidR="00801F6F">
      <w:rPr>
        <w:noProof/>
        <w:sz w:val="18"/>
        <w:szCs w:val="18"/>
      </w:rPr>
      <w:t>1</w:t>
    </w:r>
    <w:r w:rsidRPr="00CA1EF0">
      <w:rPr>
        <w:noProof/>
        <w:sz w:val="18"/>
        <w:szCs w:val="18"/>
      </w:rPr>
      <w:fldChar w:fldCharType="end"/>
    </w:r>
    <w:r>
      <w:rPr>
        <w:noProof/>
        <w:sz w:val="18"/>
        <w:szCs w:val="18"/>
      </w:rPr>
      <w:tab/>
      <w:t>Version 1</w:t>
    </w:r>
  </w:p>
  <w:p w:rsidR="006051F9" w:rsidRDefault="00605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F9" w:rsidRDefault="006051F9">
      <w:r>
        <w:separator/>
      </w:r>
    </w:p>
  </w:footnote>
  <w:footnote w:type="continuationSeparator" w:id="0">
    <w:p w:rsidR="006051F9" w:rsidRDefault="0060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F9" w:rsidRPr="001D65B6" w:rsidRDefault="006051F9" w:rsidP="00EC7A08">
    <w:pPr>
      <w:pStyle w:val="Header"/>
      <w:jc w:val="center"/>
      <w:rPr>
        <w:b/>
        <w:sz w:val="20"/>
        <w:lang w:val="en-GB"/>
      </w:rPr>
    </w:pPr>
    <w:r>
      <w:rPr>
        <w:b/>
        <w:noProof/>
        <w:sz w:val="20"/>
        <w:lang w:val="en-GB" w:eastAsia="en-GB"/>
      </w:rPr>
      <w:drawing>
        <wp:anchor distT="0" distB="0" distL="114300" distR="114300" simplePos="0" relativeHeight="251658240" behindDoc="0" locked="0" layoutInCell="1" allowOverlap="1" wp14:anchorId="7F4C6307" wp14:editId="308004A5">
          <wp:simplePos x="0" y="0"/>
          <wp:positionH relativeFrom="column">
            <wp:posOffset>5579745</wp:posOffset>
          </wp:positionH>
          <wp:positionV relativeFrom="paragraph">
            <wp:posOffset>-134620</wp:posOffset>
          </wp:positionV>
          <wp:extent cx="1276350" cy="602615"/>
          <wp:effectExtent l="0" t="0" r="0" b="6985"/>
          <wp:wrapNone/>
          <wp:docPr id="3" name="Picture 3"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5B6">
      <w:rPr>
        <w:b/>
        <w:sz w:val="20"/>
      </w:rPr>
      <w:t>Securities Market Practice Group - Singapore Meeting</w:t>
    </w:r>
  </w:p>
  <w:p w:rsidR="006051F9" w:rsidRPr="001D65B6" w:rsidRDefault="006051F9" w:rsidP="00EC7A08">
    <w:pPr>
      <w:pStyle w:val="Header"/>
      <w:jc w:val="center"/>
      <w:rPr>
        <w:b/>
        <w:sz w:val="20"/>
      </w:rPr>
    </w:pPr>
    <w:r w:rsidRPr="001D65B6">
      <w:rPr>
        <w:b/>
        <w:sz w:val="20"/>
      </w:rPr>
      <w:t>7 to 9 October 2015 - Invitation and Agenda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F9" w:rsidRDefault="006051F9" w:rsidP="0017618A">
    <w:pPr>
      <w:pStyle w:val="Header"/>
      <w:tabs>
        <w:tab w:val="clear" w:pos="4320"/>
        <w:tab w:val="clear" w:pos="8640"/>
        <w:tab w:val="left" w:pos="29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39529B5"/>
    <w:multiLevelType w:val="hybridMultilevel"/>
    <w:tmpl w:val="9D786BA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nsid w:val="07FB6259"/>
    <w:multiLevelType w:val="hybridMultilevel"/>
    <w:tmpl w:val="05060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62DB8"/>
    <w:multiLevelType w:val="hybridMultilevel"/>
    <w:tmpl w:val="5268D09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5812CF"/>
    <w:multiLevelType w:val="hybridMultilevel"/>
    <w:tmpl w:val="8FC60974"/>
    <w:lvl w:ilvl="0" w:tplc="09FE8F8A">
      <w:start w:val="1"/>
      <w:numFmt w:val="decimal"/>
      <w:lvlText w:val="%1)"/>
      <w:lvlJc w:val="left"/>
      <w:pPr>
        <w:ind w:left="1080" w:hanging="720"/>
      </w:pPr>
      <w:rPr>
        <w:rFonts w:cs="Times New Roman" w:hint="default"/>
        <w:sz w:val="24"/>
        <w:u w:val="none"/>
      </w:rPr>
    </w:lvl>
    <w:lvl w:ilvl="1" w:tplc="08090001">
      <w:start w:val="1"/>
      <w:numFmt w:val="bullet"/>
      <w:lvlText w:val=""/>
      <w:lvlJc w:val="left"/>
      <w:pPr>
        <w:ind w:left="1636" w:hanging="360"/>
      </w:pPr>
      <w:rPr>
        <w:rFonts w:ascii="Symbol" w:hAnsi="Symbol" w:hint="default"/>
      </w:rPr>
    </w:lvl>
    <w:lvl w:ilvl="2" w:tplc="0809000D">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7C5296"/>
    <w:multiLevelType w:val="hybridMultilevel"/>
    <w:tmpl w:val="2EB4F65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14DFE"/>
    <w:multiLevelType w:val="hybridMultilevel"/>
    <w:tmpl w:val="7B6A2F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6C560F"/>
    <w:multiLevelType w:val="hybridMultilevel"/>
    <w:tmpl w:val="6860853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7537A76"/>
    <w:multiLevelType w:val="hybridMultilevel"/>
    <w:tmpl w:val="2556BF6E"/>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19346E"/>
    <w:multiLevelType w:val="hybridMultilevel"/>
    <w:tmpl w:val="5EAC563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A876E3"/>
    <w:multiLevelType w:val="hybridMultilevel"/>
    <w:tmpl w:val="48B012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E5DA1"/>
    <w:multiLevelType w:val="hybridMultilevel"/>
    <w:tmpl w:val="701A292A"/>
    <w:lvl w:ilvl="0" w:tplc="0809000D">
      <w:start w:val="1"/>
      <w:numFmt w:val="bullet"/>
      <w:lvlText w:val=""/>
      <w:lvlJc w:val="left"/>
      <w:pPr>
        <w:ind w:left="1080" w:hanging="720"/>
      </w:pPr>
      <w:rPr>
        <w:rFonts w:ascii="Wingdings" w:hAnsi="Wingdings" w:hint="default"/>
        <w:sz w:val="24"/>
        <w:u w:val="none"/>
      </w:rPr>
    </w:lvl>
    <w:lvl w:ilvl="1" w:tplc="08090001">
      <w:start w:val="1"/>
      <w:numFmt w:val="bullet"/>
      <w:lvlText w:val=""/>
      <w:lvlJc w:val="left"/>
      <w:pPr>
        <w:ind w:left="1636" w:hanging="360"/>
      </w:pPr>
      <w:rPr>
        <w:rFonts w:ascii="Symbol" w:hAnsi="Symbol" w:hint="default"/>
      </w:rPr>
    </w:lvl>
    <w:lvl w:ilvl="2" w:tplc="0809000D">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4408DD"/>
    <w:multiLevelType w:val="hybridMultilevel"/>
    <w:tmpl w:val="C726B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D8D873D0">
      <w:start w:val="9"/>
      <w:numFmt w:val="bullet"/>
      <w:lvlText w:val=""/>
      <w:lvlJc w:val="left"/>
      <w:pPr>
        <w:ind w:left="3600" w:hanging="360"/>
      </w:pPr>
      <w:rPr>
        <w:rFonts w:ascii="Wingdings" w:eastAsia="Calibri" w:hAnsi="Wingdings" w:cs="Aria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393D225B"/>
    <w:multiLevelType w:val="hybridMultilevel"/>
    <w:tmpl w:val="AF24A4E2"/>
    <w:lvl w:ilvl="0" w:tplc="22266FC8">
      <w:start w:val="1"/>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3B1E1E2D"/>
    <w:multiLevelType w:val="hybridMultilevel"/>
    <w:tmpl w:val="37E84726"/>
    <w:lvl w:ilvl="0" w:tplc="CDB8AADC">
      <w:start w:val="1"/>
      <w:numFmt w:val="decimal"/>
      <w:lvlText w:val="%1."/>
      <w:lvlJc w:val="left"/>
      <w:pPr>
        <w:ind w:left="360" w:hanging="360"/>
      </w:pPr>
      <w:rPr>
        <w:rFonts w:ascii="Arial" w:eastAsia="MS Mincho" w:hAnsi="Arial" w:cs="Times New Roman"/>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9">
    <w:nsid w:val="3D286B13"/>
    <w:multiLevelType w:val="hybridMultilevel"/>
    <w:tmpl w:val="21842476"/>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3D33FE"/>
    <w:multiLevelType w:val="hybridMultilevel"/>
    <w:tmpl w:val="B0FC6612"/>
    <w:lvl w:ilvl="0" w:tplc="F13C1982">
      <w:start w:val="1"/>
      <w:numFmt w:val="decimal"/>
      <w:lvlText w:val="%1)"/>
      <w:lvlJc w:val="left"/>
      <w:pPr>
        <w:ind w:left="1080" w:hanging="720"/>
      </w:pPr>
      <w:rPr>
        <w:rFonts w:cs="Times New Roman" w:hint="default"/>
        <w:sz w:val="24"/>
        <w:u w:val="none"/>
      </w:rPr>
    </w:lvl>
    <w:lvl w:ilvl="1" w:tplc="070E150A">
      <w:start w:val="1"/>
      <w:numFmt w:val="lowerLetter"/>
      <w:lvlText w:val="%2."/>
      <w:lvlJc w:val="left"/>
      <w:pPr>
        <w:ind w:left="1636" w:hanging="360"/>
      </w:pPr>
      <w:rPr>
        <w:rFonts w:hint="default"/>
      </w:rPr>
    </w:lvl>
    <w:lvl w:ilvl="2" w:tplc="0809000D">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2F1FD9"/>
    <w:multiLevelType w:val="hybridMultilevel"/>
    <w:tmpl w:val="F7B4535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750E23"/>
    <w:multiLevelType w:val="hybridMultilevel"/>
    <w:tmpl w:val="C6820F90"/>
    <w:lvl w:ilvl="0" w:tplc="49BAC3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720AC8"/>
    <w:multiLevelType w:val="hybridMultilevel"/>
    <w:tmpl w:val="96C23720"/>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D404DD6"/>
    <w:multiLevelType w:val="hybridMultilevel"/>
    <w:tmpl w:val="BD24A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0E3119"/>
    <w:multiLevelType w:val="hybridMultilevel"/>
    <w:tmpl w:val="B740C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14A67E80">
      <w:numFmt w:val="bullet"/>
      <w:lvlText w:val=""/>
      <w:lvlJc w:val="left"/>
      <w:pPr>
        <w:ind w:left="5760" w:hanging="360"/>
      </w:pPr>
      <w:rPr>
        <w:rFonts w:ascii="Wingdings" w:eastAsia="Calibri" w:hAnsi="Wingdings" w:cs="Aria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9F0BA3"/>
    <w:multiLevelType w:val="hybridMultilevel"/>
    <w:tmpl w:val="8F0A0D2A"/>
    <w:lvl w:ilvl="0" w:tplc="13D05B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93624D9"/>
    <w:multiLevelType w:val="hybridMultilevel"/>
    <w:tmpl w:val="F40AB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C3248"/>
    <w:multiLevelType w:val="hybridMultilevel"/>
    <w:tmpl w:val="64AC9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A17D08"/>
    <w:multiLevelType w:val="hybridMultilevel"/>
    <w:tmpl w:val="D3645378"/>
    <w:lvl w:ilvl="0" w:tplc="F13C1982">
      <w:start w:val="1"/>
      <w:numFmt w:val="decimal"/>
      <w:lvlText w:val="%1)"/>
      <w:lvlJc w:val="left"/>
      <w:pPr>
        <w:ind w:left="1080" w:hanging="720"/>
      </w:pPr>
      <w:rPr>
        <w:rFonts w:cs="Times New Roman" w:hint="default"/>
        <w:sz w:val="24"/>
        <w:u w:val="none"/>
      </w:rPr>
    </w:lvl>
    <w:lvl w:ilvl="1" w:tplc="08090019">
      <w:start w:val="1"/>
      <w:numFmt w:val="lowerLetter"/>
      <w:lvlText w:val="%2."/>
      <w:lvlJc w:val="left"/>
      <w:pPr>
        <w:ind w:left="1636" w:hanging="360"/>
      </w:pPr>
    </w:lvl>
    <w:lvl w:ilvl="2" w:tplc="0809000D">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796233"/>
    <w:multiLevelType w:val="hybridMultilevel"/>
    <w:tmpl w:val="0644B700"/>
    <w:lvl w:ilvl="0" w:tplc="0809000D">
      <w:start w:val="1"/>
      <w:numFmt w:val="bullet"/>
      <w:lvlText w:val=""/>
      <w:lvlJc w:val="left"/>
      <w:pPr>
        <w:ind w:left="2220" w:hanging="360"/>
      </w:pPr>
      <w:rPr>
        <w:rFonts w:ascii="Wingdings" w:hAnsi="Wingdings"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1">
    <w:nsid w:val="63CB22A9"/>
    <w:multiLevelType w:val="hybridMultilevel"/>
    <w:tmpl w:val="C81C55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06257D"/>
    <w:multiLevelType w:val="hybridMultilevel"/>
    <w:tmpl w:val="DEBEAF7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54DFF"/>
    <w:multiLevelType w:val="hybridMultilevel"/>
    <w:tmpl w:val="D30AC394"/>
    <w:lvl w:ilvl="0" w:tplc="1268798E">
      <w:start w:val="1"/>
      <w:numFmt w:val="decimal"/>
      <w:lvlText w:val="%1)"/>
      <w:lvlJc w:val="left"/>
      <w:pPr>
        <w:ind w:left="1080" w:hanging="720"/>
      </w:pPr>
      <w:rPr>
        <w:rFonts w:cs="Times New Roman"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B62A17"/>
    <w:multiLevelType w:val="hybridMultilevel"/>
    <w:tmpl w:val="B8345094"/>
    <w:lvl w:ilvl="0" w:tplc="B64064FE">
      <w:start w:val="1"/>
      <w:numFmt w:val="decimal"/>
      <w:lvlText w:val="%1)"/>
      <w:lvlJc w:val="left"/>
      <w:pPr>
        <w:ind w:left="1080" w:hanging="720"/>
      </w:pPr>
      <w:rPr>
        <w:rFonts w:cs="Times New Roman"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5A34FD"/>
    <w:multiLevelType w:val="hybridMultilevel"/>
    <w:tmpl w:val="0C1861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5"/>
  </w:num>
  <w:num w:numId="5">
    <w:abstractNumId w:val="17"/>
  </w:num>
  <w:num w:numId="6">
    <w:abstractNumId w:val="18"/>
  </w:num>
  <w:num w:numId="7">
    <w:abstractNumId w:val="22"/>
  </w:num>
  <w:num w:numId="8">
    <w:abstractNumId w:val="29"/>
  </w:num>
  <w:num w:numId="9">
    <w:abstractNumId w:val="6"/>
  </w:num>
  <w:num w:numId="10">
    <w:abstractNumId w:val="27"/>
  </w:num>
  <w:num w:numId="11">
    <w:abstractNumId w:val="25"/>
  </w:num>
  <w:num w:numId="12">
    <w:abstractNumId w:val="30"/>
  </w:num>
  <w:num w:numId="13">
    <w:abstractNumId w:val="31"/>
  </w:num>
  <w:num w:numId="14">
    <w:abstractNumId w:val="5"/>
  </w:num>
  <w:num w:numId="15">
    <w:abstractNumId w:val="7"/>
  </w:num>
  <w:num w:numId="16">
    <w:abstractNumId w:val="32"/>
  </w:num>
  <w:num w:numId="17">
    <w:abstractNumId w:val="12"/>
  </w:num>
  <w:num w:numId="18">
    <w:abstractNumId w:val="14"/>
  </w:num>
  <w:num w:numId="19">
    <w:abstractNumId w:val="24"/>
  </w:num>
  <w:num w:numId="20">
    <w:abstractNumId w:val="26"/>
  </w:num>
  <w:num w:numId="21">
    <w:abstractNumId w:val="21"/>
  </w:num>
  <w:num w:numId="22">
    <w:abstractNumId w:val="19"/>
  </w:num>
  <w:num w:numId="23">
    <w:abstractNumId w:val="10"/>
  </w:num>
  <w:num w:numId="24">
    <w:abstractNumId w:val="9"/>
  </w:num>
  <w:num w:numId="25">
    <w:abstractNumId w:val="13"/>
  </w:num>
  <w:num w:numId="26">
    <w:abstractNumId w:val="16"/>
  </w:num>
  <w:num w:numId="27">
    <w:abstractNumId w:val="28"/>
  </w:num>
  <w:num w:numId="28">
    <w:abstractNumId w:val="2"/>
  </w:num>
  <w:num w:numId="29">
    <w:abstractNumId w:val="8"/>
  </w:num>
  <w:num w:numId="30">
    <w:abstractNumId w:val="4"/>
  </w:num>
  <w:num w:numId="31">
    <w:abstractNumId w:val="20"/>
  </w:num>
  <w:num w:numId="32">
    <w:abstractNumId w:val="35"/>
  </w:num>
  <w:num w:numId="33">
    <w:abstractNumId w:val="23"/>
  </w:num>
  <w:num w:numId="34">
    <w:abstractNumId w:val="33"/>
  </w:num>
  <w:num w:numId="35">
    <w:abstractNumId w:val="34"/>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0CB7"/>
    <w:rsid w:val="000036D2"/>
    <w:rsid w:val="00006D80"/>
    <w:rsid w:val="0001226B"/>
    <w:rsid w:val="00013BCB"/>
    <w:rsid w:val="00014DD8"/>
    <w:rsid w:val="00022769"/>
    <w:rsid w:val="00022A52"/>
    <w:rsid w:val="0002536F"/>
    <w:rsid w:val="00025F04"/>
    <w:rsid w:val="00026FF5"/>
    <w:rsid w:val="000404FA"/>
    <w:rsid w:val="0004195E"/>
    <w:rsid w:val="00042C3D"/>
    <w:rsid w:val="0004464A"/>
    <w:rsid w:val="0004647B"/>
    <w:rsid w:val="00047165"/>
    <w:rsid w:val="00054ABE"/>
    <w:rsid w:val="00062229"/>
    <w:rsid w:val="000659B1"/>
    <w:rsid w:val="00065DC9"/>
    <w:rsid w:val="00067CF7"/>
    <w:rsid w:val="00070AEA"/>
    <w:rsid w:val="00071C03"/>
    <w:rsid w:val="00073F70"/>
    <w:rsid w:val="00075201"/>
    <w:rsid w:val="0008141C"/>
    <w:rsid w:val="000814B9"/>
    <w:rsid w:val="0008516D"/>
    <w:rsid w:val="00087A74"/>
    <w:rsid w:val="000934F9"/>
    <w:rsid w:val="00094B9F"/>
    <w:rsid w:val="00096E73"/>
    <w:rsid w:val="00097817"/>
    <w:rsid w:val="000978E1"/>
    <w:rsid w:val="000A054E"/>
    <w:rsid w:val="000A0F99"/>
    <w:rsid w:val="000A1E7A"/>
    <w:rsid w:val="000A2F7E"/>
    <w:rsid w:val="000A3967"/>
    <w:rsid w:val="000A3CFA"/>
    <w:rsid w:val="000A5A60"/>
    <w:rsid w:val="000B067F"/>
    <w:rsid w:val="000B0A73"/>
    <w:rsid w:val="000B1276"/>
    <w:rsid w:val="000B43C0"/>
    <w:rsid w:val="000B4E8D"/>
    <w:rsid w:val="000B5CA9"/>
    <w:rsid w:val="000B6BDB"/>
    <w:rsid w:val="000B7CD3"/>
    <w:rsid w:val="000C1747"/>
    <w:rsid w:val="000C200E"/>
    <w:rsid w:val="000C2638"/>
    <w:rsid w:val="000C75BA"/>
    <w:rsid w:val="000D0026"/>
    <w:rsid w:val="000D0505"/>
    <w:rsid w:val="000D25BF"/>
    <w:rsid w:val="000D42D1"/>
    <w:rsid w:val="000D51E3"/>
    <w:rsid w:val="000D5265"/>
    <w:rsid w:val="000D6DD1"/>
    <w:rsid w:val="000D705F"/>
    <w:rsid w:val="000E17D1"/>
    <w:rsid w:val="000E686A"/>
    <w:rsid w:val="000E6D5C"/>
    <w:rsid w:val="000E7A2F"/>
    <w:rsid w:val="000F148D"/>
    <w:rsid w:val="00105B8E"/>
    <w:rsid w:val="00107A09"/>
    <w:rsid w:val="00107C03"/>
    <w:rsid w:val="00114010"/>
    <w:rsid w:val="00114958"/>
    <w:rsid w:val="0011557D"/>
    <w:rsid w:val="00115AB4"/>
    <w:rsid w:val="00117AD5"/>
    <w:rsid w:val="00120CB6"/>
    <w:rsid w:val="00121B6A"/>
    <w:rsid w:val="00124E7C"/>
    <w:rsid w:val="001314CA"/>
    <w:rsid w:val="001320FF"/>
    <w:rsid w:val="00133D2C"/>
    <w:rsid w:val="001407A7"/>
    <w:rsid w:val="001412AA"/>
    <w:rsid w:val="0014323D"/>
    <w:rsid w:val="00143517"/>
    <w:rsid w:val="00143856"/>
    <w:rsid w:val="001440F0"/>
    <w:rsid w:val="001445F6"/>
    <w:rsid w:val="00153633"/>
    <w:rsid w:val="00156DA9"/>
    <w:rsid w:val="00161019"/>
    <w:rsid w:val="001665EC"/>
    <w:rsid w:val="001670A3"/>
    <w:rsid w:val="00172FE0"/>
    <w:rsid w:val="00175080"/>
    <w:rsid w:val="001756D2"/>
    <w:rsid w:val="0017618A"/>
    <w:rsid w:val="00177292"/>
    <w:rsid w:val="001801EB"/>
    <w:rsid w:val="00182365"/>
    <w:rsid w:val="00183C53"/>
    <w:rsid w:val="00183D25"/>
    <w:rsid w:val="00186131"/>
    <w:rsid w:val="00193FB3"/>
    <w:rsid w:val="00196C63"/>
    <w:rsid w:val="001A1D0B"/>
    <w:rsid w:val="001A285A"/>
    <w:rsid w:val="001A6223"/>
    <w:rsid w:val="001A7D30"/>
    <w:rsid w:val="001B1986"/>
    <w:rsid w:val="001C46A6"/>
    <w:rsid w:val="001C479D"/>
    <w:rsid w:val="001D0913"/>
    <w:rsid w:val="001D3C47"/>
    <w:rsid w:val="001D65B6"/>
    <w:rsid w:val="001E3EC4"/>
    <w:rsid w:val="001E472D"/>
    <w:rsid w:val="001E5E83"/>
    <w:rsid w:val="001F1203"/>
    <w:rsid w:val="001F35B5"/>
    <w:rsid w:val="001F4245"/>
    <w:rsid w:val="001F53C9"/>
    <w:rsid w:val="00206E52"/>
    <w:rsid w:val="00211A0F"/>
    <w:rsid w:val="0021424D"/>
    <w:rsid w:val="00217C2D"/>
    <w:rsid w:val="00220559"/>
    <w:rsid w:val="00220B79"/>
    <w:rsid w:val="00222079"/>
    <w:rsid w:val="002221A2"/>
    <w:rsid w:val="00222A8C"/>
    <w:rsid w:val="0022371C"/>
    <w:rsid w:val="00225E45"/>
    <w:rsid w:val="00232CA4"/>
    <w:rsid w:val="00234554"/>
    <w:rsid w:val="00234E90"/>
    <w:rsid w:val="0023786B"/>
    <w:rsid w:val="002533C2"/>
    <w:rsid w:val="00254228"/>
    <w:rsid w:val="002605D8"/>
    <w:rsid w:val="00260D88"/>
    <w:rsid w:val="00261E02"/>
    <w:rsid w:val="002643EF"/>
    <w:rsid w:val="00270549"/>
    <w:rsid w:val="00271CB1"/>
    <w:rsid w:val="00272004"/>
    <w:rsid w:val="00274A01"/>
    <w:rsid w:val="00275532"/>
    <w:rsid w:val="002761B6"/>
    <w:rsid w:val="00283D26"/>
    <w:rsid w:val="00284666"/>
    <w:rsid w:val="00285187"/>
    <w:rsid w:val="002857C8"/>
    <w:rsid w:val="002861A1"/>
    <w:rsid w:val="00292BD8"/>
    <w:rsid w:val="00293793"/>
    <w:rsid w:val="00294293"/>
    <w:rsid w:val="0029539C"/>
    <w:rsid w:val="00297C89"/>
    <w:rsid w:val="00297D2F"/>
    <w:rsid w:val="002A0F7E"/>
    <w:rsid w:val="002A19E0"/>
    <w:rsid w:val="002A2762"/>
    <w:rsid w:val="002A47EE"/>
    <w:rsid w:val="002A5020"/>
    <w:rsid w:val="002A7A46"/>
    <w:rsid w:val="002B6DC7"/>
    <w:rsid w:val="002C16B7"/>
    <w:rsid w:val="002C413B"/>
    <w:rsid w:val="002C5303"/>
    <w:rsid w:val="002C7F81"/>
    <w:rsid w:val="002D0592"/>
    <w:rsid w:val="002D5463"/>
    <w:rsid w:val="002D59A9"/>
    <w:rsid w:val="002D687B"/>
    <w:rsid w:val="002D7751"/>
    <w:rsid w:val="002D7A3E"/>
    <w:rsid w:val="002E2468"/>
    <w:rsid w:val="002E2607"/>
    <w:rsid w:val="002E3CDC"/>
    <w:rsid w:val="002E57FF"/>
    <w:rsid w:val="002E6557"/>
    <w:rsid w:val="002F291A"/>
    <w:rsid w:val="002F36B4"/>
    <w:rsid w:val="002F54A0"/>
    <w:rsid w:val="002F5B6A"/>
    <w:rsid w:val="002F6252"/>
    <w:rsid w:val="00304073"/>
    <w:rsid w:val="00305B60"/>
    <w:rsid w:val="00305EB4"/>
    <w:rsid w:val="00306282"/>
    <w:rsid w:val="00307EEC"/>
    <w:rsid w:val="00311DC4"/>
    <w:rsid w:val="00313817"/>
    <w:rsid w:val="00317C6F"/>
    <w:rsid w:val="0032440E"/>
    <w:rsid w:val="00324685"/>
    <w:rsid w:val="0033048A"/>
    <w:rsid w:val="0033344E"/>
    <w:rsid w:val="00337885"/>
    <w:rsid w:val="00340CA2"/>
    <w:rsid w:val="00344815"/>
    <w:rsid w:val="00345560"/>
    <w:rsid w:val="003500D5"/>
    <w:rsid w:val="00352BAD"/>
    <w:rsid w:val="00354B3A"/>
    <w:rsid w:val="0035652B"/>
    <w:rsid w:val="00361D81"/>
    <w:rsid w:val="00363A85"/>
    <w:rsid w:val="0036407A"/>
    <w:rsid w:val="00364F14"/>
    <w:rsid w:val="003675D5"/>
    <w:rsid w:val="00371D29"/>
    <w:rsid w:val="00371F17"/>
    <w:rsid w:val="00372594"/>
    <w:rsid w:val="003764EF"/>
    <w:rsid w:val="003778E2"/>
    <w:rsid w:val="00381B8F"/>
    <w:rsid w:val="00381C5B"/>
    <w:rsid w:val="00383446"/>
    <w:rsid w:val="003842B3"/>
    <w:rsid w:val="00384690"/>
    <w:rsid w:val="0038605D"/>
    <w:rsid w:val="00394B92"/>
    <w:rsid w:val="003968B3"/>
    <w:rsid w:val="003976DA"/>
    <w:rsid w:val="003A32C3"/>
    <w:rsid w:val="003B00D1"/>
    <w:rsid w:val="003B12B2"/>
    <w:rsid w:val="003B1465"/>
    <w:rsid w:val="003B5318"/>
    <w:rsid w:val="003C0CC0"/>
    <w:rsid w:val="003C4892"/>
    <w:rsid w:val="003C5909"/>
    <w:rsid w:val="003C5ADC"/>
    <w:rsid w:val="003C5FE9"/>
    <w:rsid w:val="003D139F"/>
    <w:rsid w:val="003D5899"/>
    <w:rsid w:val="003D6984"/>
    <w:rsid w:val="003D7257"/>
    <w:rsid w:val="003D78E0"/>
    <w:rsid w:val="003E06A5"/>
    <w:rsid w:val="003E107D"/>
    <w:rsid w:val="003E5E36"/>
    <w:rsid w:val="003F044A"/>
    <w:rsid w:val="003F0BDD"/>
    <w:rsid w:val="003F1382"/>
    <w:rsid w:val="00400F0D"/>
    <w:rsid w:val="00403423"/>
    <w:rsid w:val="00405529"/>
    <w:rsid w:val="0040573F"/>
    <w:rsid w:val="004060DB"/>
    <w:rsid w:val="00406FBD"/>
    <w:rsid w:val="00411CE4"/>
    <w:rsid w:val="00417F60"/>
    <w:rsid w:val="00420876"/>
    <w:rsid w:val="004211E3"/>
    <w:rsid w:val="00423AD7"/>
    <w:rsid w:val="00424ABE"/>
    <w:rsid w:val="004255DD"/>
    <w:rsid w:val="00427584"/>
    <w:rsid w:val="00427FBC"/>
    <w:rsid w:val="00430004"/>
    <w:rsid w:val="00430421"/>
    <w:rsid w:val="00431BA1"/>
    <w:rsid w:val="00431C16"/>
    <w:rsid w:val="0043221C"/>
    <w:rsid w:val="004327ED"/>
    <w:rsid w:val="00432803"/>
    <w:rsid w:val="00435B37"/>
    <w:rsid w:val="00440835"/>
    <w:rsid w:val="00446ED9"/>
    <w:rsid w:val="00450996"/>
    <w:rsid w:val="00457254"/>
    <w:rsid w:val="00457C92"/>
    <w:rsid w:val="00461BDF"/>
    <w:rsid w:val="0046733E"/>
    <w:rsid w:val="0047071F"/>
    <w:rsid w:val="00471518"/>
    <w:rsid w:val="00472105"/>
    <w:rsid w:val="004744BF"/>
    <w:rsid w:val="004746DF"/>
    <w:rsid w:val="00475C65"/>
    <w:rsid w:val="004775C6"/>
    <w:rsid w:val="00481847"/>
    <w:rsid w:val="00486575"/>
    <w:rsid w:val="00491260"/>
    <w:rsid w:val="00491EA7"/>
    <w:rsid w:val="00493A99"/>
    <w:rsid w:val="004954C3"/>
    <w:rsid w:val="004A054C"/>
    <w:rsid w:val="004A153D"/>
    <w:rsid w:val="004A1E74"/>
    <w:rsid w:val="004B0127"/>
    <w:rsid w:val="004B3405"/>
    <w:rsid w:val="004B3751"/>
    <w:rsid w:val="004B6006"/>
    <w:rsid w:val="004C0A5B"/>
    <w:rsid w:val="004C1CCB"/>
    <w:rsid w:val="004C298A"/>
    <w:rsid w:val="004C2E3B"/>
    <w:rsid w:val="004C4239"/>
    <w:rsid w:val="004D4CAC"/>
    <w:rsid w:val="004D4CE3"/>
    <w:rsid w:val="004D5F86"/>
    <w:rsid w:val="004D7910"/>
    <w:rsid w:val="004E340D"/>
    <w:rsid w:val="004E779A"/>
    <w:rsid w:val="004F306A"/>
    <w:rsid w:val="004F346F"/>
    <w:rsid w:val="004F6F29"/>
    <w:rsid w:val="00516856"/>
    <w:rsid w:val="00517214"/>
    <w:rsid w:val="00522B61"/>
    <w:rsid w:val="00523DF9"/>
    <w:rsid w:val="00524590"/>
    <w:rsid w:val="00526048"/>
    <w:rsid w:val="005264C0"/>
    <w:rsid w:val="00527230"/>
    <w:rsid w:val="00533B00"/>
    <w:rsid w:val="00535007"/>
    <w:rsid w:val="00537CC6"/>
    <w:rsid w:val="005444F9"/>
    <w:rsid w:val="0055180F"/>
    <w:rsid w:val="00553CE8"/>
    <w:rsid w:val="00554587"/>
    <w:rsid w:val="005559E5"/>
    <w:rsid w:val="00555C96"/>
    <w:rsid w:val="005622CA"/>
    <w:rsid w:val="00562448"/>
    <w:rsid w:val="0056456E"/>
    <w:rsid w:val="00567419"/>
    <w:rsid w:val="00571AD2"/>
    <w:rsid w:val="005764DA"/>
    <w:rsid w:val="00581BAB"/>
    <w:rsid w:val="00583121"/>
    <w:rsid w:val="0058764C"/>
    <w:rsid w:val="00590F93"/>
    <w:rsid w:val="00591852"/>
    <w:rsid w:val="00592786"/>
    <w:rsid w:val="0059281B"/>
    <w:rsid w:val="00596C42"/>
    <w:rsid w:val="005A10F5"/>
    <w:rsid w:val="005A26C4"/>
    <w:rsid w:val="005A3DBF"/>
    <w:rsid w:val="005A4B12"/>
    <w:rsid w:val="005A5427"/>
    <w:rsid w:val="005A6FA9"/>
    <w:rsid w:val="005A7427"/>
    <w:rsid w:val="005B064B"/>
    <w:rsid w:val="005B0F6F"/>
    <w:rsid w:val="005B1AD8"/>
    <w:rsid w:val="005B3AC3"/>
    <w:rsid w:val="005B4B6A"/>
    <w:rsid w:val="005B60F5"/>
    <w:rsid w:val="005C1454"/>
    <w:rsid w:val="005C1885"/>
    <w:rsid w:val="005C52BD"/>
    <w:rsid w:val="005D2851"/>
    <w:rsid w:val="005D525D"/>
    <w:rsid w:val="005D5FD4"/>
    <w:rsid w:val="005D71B2"/>
    <w:rsid w:val="005E0C50"/>
    <w:rsid w:val="005E4B1B"/>
    <w:rsid w:val="005E65E9"/>
    <w:rsid w:val="005F0365"/>
    <w:rsid w:val="005F07CD"/>
    <w:rsid w:val="005F19A3"/>
    <w:rsid w:val="005F24C7"/>
    <w:rsid w:val="00601289"/>
    <w:rsid w:val="00602382"/>
    <w:rsid w:val="0060429F"/>
    <w:rsid w:val="00605106"/>
    <w:rsid w:val="006051F9"/>
    <w:rsid w:val="00613E7E"/>
    <w:rsid w:val="00620147"/>
    <w:rsid w:val="00620775"/>
    <w:rsid w:val="006210DF"/>
    <w:rsid w:val="00626AA4"/>
    <w:rsid w:val="006301BA"/>
    <w:rsid w:val="006302C5"/>
    <w:rsid w:val="00633863"/>
    <w:rsid w:val="00634DB0"/>
    <w:rsid w:val="00635FCF"/>
    <w:rsid w:val="006363E4"/>
    <w:rsid w:val="0064247B"/>
    <w:rsid w:val="00645B45"/>
    <w:rsid w:val="00651654"/>
    <w:rsid w:val="00651B8B"/>
    <w:rsid w:val="0065234B"/>
    <w:rsid w:val="00653E0B"/>
    <w:rsid w:val="0065456E"/>
    <w:rsid w:val="00662E6A"/>
    <w:rsid w:val="00663572"/>
    <w:rsid w:val="00664630"/>
    <w:rsid w:val="00664FC3"/>
    <w:rsid w:val="00671E61"/>
    <w:rsid w:val="00673A2A"/>
    <w:rsid w:val="00674E83"/>
    <w:rsid w:val="0068202E"/>
    <w:rsid w:val="0068294D"/>
    <w:rsid w:val="00685BA8"/>
    <w:rsid w:val="006872CA"/>
    <w:rsid w:val="00693AB7"/>
    <w:rsid w:val="0069606C"/>
    <w:rsid w:val="006A0C08"/>
    <w:rsid w:val="006A39C3"/>
    <w:rsid w:val="006A3B5C"/>
    <w:rsid w:val="006A58DE"/>
    <w:rsid w:val="006A7ED1"/>
    <w:rsid w:val="006B1DF8"/>
    <w:rsid w:val="006B6E8D"/>
    <w:rsid w:val="006C25E2"/>
    <w:rsid w:val="006C41C7"/>
    <w:rsid w:val="006D21AB"/>
    <w:rsid w:val="006D6A54"/>
    <w:rsid w:val="006E23D4"/>
    <w:rsid w:val="006E5958"/>
    <w:rsid w:val="006F113D"/>
    <w:rsid w:val="006F2705"/>
    <w:rsid w:val="006F3517"/>
    <w:rsid w:val="006F74A0"/>
    <w:rsid w:val="007055AA"/>
    <w:rsid w:val="00705EF4"/>
    <w:rsid w:val="00710ECC"/>
    <w:rsid w:val="007145C6"/>
    <w:rsid w:val="007166D4"/>
    <w:rsid w:val="0071799A"/>
    <w:rsid w:val="0072058F"/>
    <w:rsid w:val="00720FFD"/>
    <w:rsid w:val="00721C9A"/>
    <w:rsid w:val="00722186"/>
    <w:rsid w:val="007225CC"/>
    <w:rsid w:val="007253BB"/>
    <w:rsid w:val="00725A2A"/>
    <w:rsid w:val="00725E26"/>
    <w:rsid w:val="00726E70"/>
    <w:rsid w:val="00730767"/>
    <w:rsid w:val="00734E6E"/>
    <w:rsid w:val="00740224"/>
    <w:rsid w:val="0074084C"/>
    <w:rsid w:val="00743181"/>
    <w:rsid w:val="00753644"/>
    <w:rsid w:val="00754DF8"/>
    <w:rsid w:val="007565F1"/>
    <w:rsid w:val="007601E3"/>
    <w:rsid w:val="007639BC"/>
    <w:rsid w:val="00764B67"/>
    <w:rsid w:val="0076543F"/>
    <w:rsid w:val="00766697"/>
    <w:rsid w:val="00771AA2"/>
    <w:rsid w:val="00774264"/>
    <w:rsid w:val="00775B11"/>
    <w:rsid w:val="00776ECF"/>
    <w:rsid w:val="00783AC4"/>
    <w:rsid w:val="007870CD"/>
    <w:rsid w:val="00790B22"/>
    <w:rsid w:val="00795024"/>
    <w:rsid w:val="00795360"/>
    <w:rsid w:val="007A09A6"/>
    <w:rsid w:val="007A159D"/>
    <w:rsid w:val="007B0BFD"/>
    <w:rsid w:val="007B1583"/>
    <w:rsid w:val="007B2523"/>
    <w:rsid w:val="007B2B7D"/>
    <w:rsid w:val="007B7F91"/>
    <w:rsid w:val="007C4538"/>
    <w:rsid w:val="007C57F2"/>
    <w:rsid w:val="007D16CA"/>
    <w:rsid w:val="007D237B"/>
    <w:rsid w:val="007E1A2F"/>
    <w:rsid w:val="007E47DC"/>
    <w:rsid w:val="007E4BDC"/>
    <w:rsid w:val="007E5C2C"/>
    <w:rsid w:val="007F2FEA"/>
    <w:rsid w:val="007F372D"/>
    <w:rsid w:val="007F4210"/>
    <w:rsid w:val="007F5626"/>
    <w:rsid w:val="007F62F4"/>
    <w:rsid w:val="007F6D2F"/>
    <w:rsid w:val="007F79FF"/>
    <w:rsid w:val="00801F6F"/>
    <w:rsid w:val="008034E8"/>
    <w:rsid w:val="008070B1"/>
    <w:rsid w:val="00807C44"/>
    <w:rsid w:val="00814AE8"/>
    <w:rsid w:val="008167B0"/>
    <w:rsid w:val="008212A4"/>
    <w:rsid w:val="0082232D"/>
    <w:rsid w:val="00831058"/>
    <w:rsid w:val="00837BEF"/>
    <w:rsid w:val="00837D95"/>
    <w:rsid w:val="00841973"/>
    <w:rsid w:val="00841B85"/>
    <w:rsid w:val="0084206B"/>
    <w:rsid w:val="00847B5E"/>
    <w:rsid w:val="00853E62"/>
    <w:rsid w:val="00865D84"/>
    <w:rsid w:val="008667A3"/>
    <w:rsid w:val="00867FA1"/>
    <w:rsid w:val="00870A68"/>
    <w:rsid w:val="008722F1"/>
    <w:rsid w:val="008723BB"/>
    <w:rsid w:val="008816EB"/>
    <w:rsid w:val="008839AD"/>
    <w:rsid w:val="00885513"/>
    <w:rsid w:val="008871E6"/>
    <w:rsid w:val="00891366"/>
    <w:rsid w:val="008A2AB1"/>
    <w:rsid w:val="008A69AA"/>
    <w:rsid w:val="008B04C1"/>
    <w:rsid w:val="008B0508"/>
    <w:rsid w:val="008B6C09"/>
    <w:rsid w:val="008B6CCB"/>
    <w:rsid w:val="008B7743"/>
    <w:rsid w:val="008C3B62"/>
    <w:rsid w:val="008D0726"/>
    <w:rsid w:val="008D362D"/>
    <w:rsid w:val="008E0485"/>
    <w:rsid w:val="008E09A7"/>
    <w:rsid w:val="008E5C4E"/>
    <w:rsid w:val="008E6887"/>
    <w:rsid w:val="008E7434"/>
    <w:rsid w:val="008F7927"/>
    <w:rsid w:val="00901A50"/>
    <w:rsid w:val="00902276"/>
    <w:rsid w:val="00903069"/>
    <w:rsid w:val="00905E9E"/>
    <w:rsid w:val="00907E96"/>
    <w:rsid w:val="00907F47"/>
    <w:rsid w:val="00911A83"/>
    <w:rsid w:val="00916981"/>
    <w:rsid w:val="00922AEF"/>
    <w:rsid w:val="00925639"/>
    <w:rsid w:val="009307D4"/>
    <w:rsid w:val="0093139A"/>
    <w:rsid w:val="00931B7C"/>
    <w:rsid w:val="0093226F"/>
    <w:rsid w:val="009348BA"/>
    <w:rsid w:val="00934DA4"/>
    <w:rsid w:val="00934E91"/>
    <w:rsid w:val="00941049"/>
    <w:rsid w:val="00944A2D"/>
    <w:rsid w:val="00944AE8"/>
    <w:rsid w:val="00945957"/>
    <w:rsid w:val="00945B47"/>
    <w:rsid w:val="00946540"/>
    <w:rsid w:val="0095321C"/>
    <w:rsid w:val="00955BC7"/>
    <w:rsid w:val="009621AC"/>
    <w:rsid w:val="009645AD"/>
    <w:rsid w:val="009676CB"/>
    <w:rsid w:val="00967923"/>
    <w:rsid w:val="00980387"/>
    <w:rsid w:val="00980B7D"/>
    <w:rsid w:val="00992B74"/>
    <w:rsid w:val="00993157"/>
    <w:rsid w:val="009934BA"/>
    <w:rsid w:val="00994938"/>
    <w:rsid w:val="009A1DE6"/>
    <w:rsid w:val="009A1E76"/>
    <w:rsid w:val="009A2234"/>
    <w:rsid w:val="009A419F"/>
    <w:rsid w:val="009A48F9"/>
    <w:rsid w:val="009A5F85"/>
    <w:rsid w:val="009B2A83"/>
    <w:rsid w:val="009B6451"/>
    <w:rsid w:val="009B6EC0"/>
    <w:rsid w:val="009C2626"/>
    <w:rsid w:val="009C5746"/>
    <w:rsid w:val="009C7774"/>
    <w:rsid w:val="009D0C05"/>
    <w:rsid w:val="009D5F71"/>
    <w:rsid w:val="009E18A3"/>
    <w:rsid w:val="009E1A46"/>
    <w:rsid w:val="009E23F5"/>
    <w:rsid w:val="009E7AEB"/>
    <w:rsid w:val="009E7FEE"/>
    <w:rsid w:val="00A05F7B"/>
    <w:rsid w:val="00A156FF"/>
    <w:rsid w:val="00A15FD1"/>
    <w:rsid w:val="00A16272"/>
    <w:rsid w:val="00A22020"/>
    <w:rsid w:val="00A23252"/>
    <w:rsid w:val="00A237F6"/>
    <w:rsid w:val="00A24AE4"/>
    <w:rsid w:val="00A27259"/>
    <w:rsid w:val="00A2730D"/>
    <w:rsid w:val="00A3073C"/>
    <w:rsid w:val="00A345F3"/>
    <w:rsid w:val="00A37B4C"/>
    <w:rsid w:val="00A37E87"/>
    <w:rsid w:val="00A414D3"/>
    <w:rsid w:val="00A42AD8"/>
    <w:rsid w:val="00A475BD"/>
    <w:rsid w:val="00A52610"/>
    <w:rsid w:val="00A55054"/>
    <w:rsid w:val="00A57F75"/>
    <w:rsid w:val="00A70BDA"/>
    <w:rsid w:val="00A73D0D"/>
    <w:rsid w:val="00A76FFE"/>
    <w:rsid w:val="00A85AA2"/>
    <w:rsid w:val="00A85E19"/>
    <w:rsid w:val="00A96B06"/>
    <w:rsid w:val="00A97398"/>
    <w:rsid w:val="00AA03ED"/>
    <w:rsid w:val="00AA0F50"/>
    <w:rsid w:val="00AA5367"/>
    <w:rsid w:val="00AA6100"/>
    <w:rsid w:val="00AA7F36"/>
    <w:rsid w:val="00AB11CB"/>
    <w:rsid w:val="00AB4947"/>
    <w:rsid w:val="00AB5A16"/>
    <w:rsid w:val="00AC429A"/>
    <w:rsid w:val="00AC5F04"/>
    <w:rsid w:val="00AD6D8D"/>
    <w:rsid w:val="00AD75B6"/>
    <w:rsid w:val="00AE497A"/>
    <w:rsid w:val="00AE6AE2"/>
    <w:rsid w:val="00AE74D4"/>
    <w:rsid w:val="00AE7FDA"/>
    <w:rsid w:val="00AF1672"/>
    <w:rsid w:val="00AF177C"/>
    <w:rsid w:val="00AF2A70"/>
    <w:rsid w:val="00AF750B"/>
    <w:rsid w:val="00B001B1"/>
    <w:rsid w:val="00B06029"/>
    <w:rsid w:val="00B066A5"/>
    <w:rsid w:val="00B066EB"/>
    <w:rsid w:val="00B06F79"/>
    <w:rsid w:val="00B10C28"/>
    <w:rsid w:val="00B120E6"/>
    <w:rsid w:val="00B129E6"/>
    <w:rsid w:val="00B14A53"/>
    <w:rsid w:val="00B14FDC"/>
    <w:rsid w:val="00B15FB8"/>
    <w:rsid w:val="00B16F8F"/>
    <w:rsid w:val="00B26B66"/>
    <w:rsid w:val="00B32702"/>
    <w:rsid w:val="00B33FEA"/>
    <w:rsid w:val="00B34098"/>
    <w:rsid w:val="00B350E9"/>
    <w:rsid w:val="00B36457"/>
    <w:rsid w:val="00B36E84"/>
    <w:rsid w:val="00B40328"/>
    <w:rsid w:val="00B418F8"/>
    <w:rsid w:val="00B41CB5"/>
    <w:rsid w:val="00B4265C"/>
    <w:rsid w:val="00B42F39"/>
    <w:rsid w:val="00B4666A"/>
    <w:rsid w:val="00B46C7D"/>
    <w:rsid w:val="00B527EB"/>
    <w:rsid w:val="00B604EC"/>
    <w:rsid w:val="00B62F91"/>
    <w:rsid w:val="00B6610F"/>
    <w:rsid w:val="00B66C61"/>
    <w:rsid w:val="00B700C1"/>
    <w:rsid w:val="00B7093A"/>
    <w:rsid w:val="00B72467"/>
    <w:rsid w:val="00B74DB7"/>
    <w:rsid w:val="00B76E0A"/>
    <w:rsid w:val="00B8101F"/>
    <w:rsid w:val="00B81F30"/>
    <w:rsid w:val="00B842BA"/>
    <w:rsid w:val="00B86FAA"/>
    <w:rsid w:val="00B90F6D"/>
    <w:rsid w:val="00B948A4"/>
    <w:rsid w:val="00B97965"/>
    <w:rsid w:val="00BA59E0"/>
    <w:rsid w:val="00BA5AD4"/>
    <w:rsid w:val="00BB135C"/>
    <w:rsid w:val="00BB1945"/>
    <w:rsid w:val="00BB64E9"/>
    <w:rsid w:val="00BB7D44"/>
    <w:rsid w:val="00BE2E05"/>
    <w:rsid w:val="00BE32D4"/>
    <w:rsid w:val="00BE69FA"/>
    <w:rsid w:val="00BE76DE"/>
    <w:rsid w:val="00BF00A8"/>
    <w:rsid w:val="00BF05AD"/>
    <w:rsid w:val="00BF0A9D"/>
    <w:rsid w:val="00BF22B8"/>
    <w:rsid w:val="00BF3761"/>
    <w:rsid w:val="00BF3FE3"/>
    <w:rsid w:val="00C103A4"/>
    <w:rsid w:val="00C15DFE"/>
    <w:rsid w:val="00C213D3"/>
    <w:rsid w:val="00C246BD"/>
    <w:rsid w:val="00C24771"/>
    <w:rsid w:val="00C34B1A"/>
    <w:rsid w:val="00C4020C"/>
    <w:rsid w:val="00C40D52"/>
    <w:rsid w:val="00C42259"/>
    <w:rsid w:val="00C50CCF"/>
    <w:rsid w:val="00C54883"/>
    <w:rsid w:val="00C5517B"/>
    <w:rsid w:val="00C606D0"/>
    <w:rsid w:val="00C7124F"/>
    <w:rsid w:val="00C73670"/>
    <w:rsid w:val="00C75CB2"/>
    <w:rsid w:val="00C76FC0"/>
    <w:rsid w:val="00C80831"/>
    <w:rsid w:val="00C81FCC"/>
    <w:rsid w:val="00C825CF"/>
    <w:rsid w:val="00C830F5"/>
    <w:rsid w:val="00C85123"/>
    <w:rsid w:val="00C86B44"/>
    <w:rsid w:val="00C878B3"/>
    <w:rsid w:val="00C94F05"/>
    <w:rsid w:val="00C966A8"/>
    <w:rsid w:val="00CA1EF0"/>
    <w:rsid w:val="00CA7B73"/>
    <w:rsid w:val="00CB5B6B"/>
    <w:rsid w:val="00CB5BDC"/>
    <w:rsid w:val="00CC07EA"/>
    <w:rsid w:val="00CC0983"/>
    <w:rsid w:val="00CC0CF6"/>
    <w:rsid w:val="00CC6F48"/>
    <w:rsid w:val="00CC7FA5"/>
    <w:rsid w:val="00CD39F6"/>
    <w:rsid w:val="00CF0C33"/>
    <w:rsid w:val="00CF2BAF"/>
    <w:rsid w:val="00D010A4"/>
    <w:rsid w:val="00D02211"/>
    <w:rsid w:val="00D1277D"/>
    <w:rsid w:val="00D12888"/>
    <w:rsid w:val="00D14151"/>
    <w:rsid w:val="00D15AE4"/>
    <w:rsid w:val="00D2216D"/>
    <w:rsid w:val="00D2247B"/>
    <w:rsid w:val="00D27359"/>
    <w:rsid w:val="00D27EC7"/>
    <w:rsid w:val="00D3060D"/>
    <w:rsid w:val="00D316FB"/>
    <w:rsid w:val="00D32536"/>
    <w:rsid w:val="00D33ADF"/>
    <w:rsid w:val="00D33D3E"/>
    <w:rsid w:val="00D36539"/>
    <w:rsid w:val="00D41A7C"/>
    <w:rsid w:val="00D42160"/>
    <w:rsid w:val="00D4225A"/>
    <w:rsid w:val="00D4533B"/>
    <w:rsid w:val="00D4535E"/>
    <w:rsid w:val="00D46300"/>
    <w:rsid w:val="00D46A6B"/>
    <w:rsid w:val="00D46F82"/>
    <w:rsid w:val="00D52F59"/>
    <w:rsid w:val="00D55216"/>
    <w:rsid w:val="00D55261"/>
    <w:rsid w:val="00D5679A"/>
    <w:rsid w:val="00D57B2F"/>
    <w:rsid w:val="00D6111E"/>
    <w:rsid w:val="00D61120"/>
    <w:rsid w:val="00D643F7"/>
    <w:rsid w:val="00D65BBE"/>
    <w:rsid w:val="00D65E01"/>
    <w:rsid w:val="00D7103C"/>
    <w:rsid w:val="00D773BD"/>
    <w:rsid w:val="00D83FAA"/>
    <w:rsid w:val="00D84922"/>
    <w:rsid w:val="00D86372"/>
    <w:rsid w:val="00D86995"/>
    <w:rsid w:val="00D878BE"/>
    <w:rsid w:val="00D87D71"/>
    <w:rsid w:val="00D9055C"/>
    <w:rsid w:val="00D92ABF"/>
    <w:rsid w:val="00D973E5"/>
    <w:rsid w:val="00DA0F07"/>
    <w:rsid w:val="00DB1D7B"/>
    <w:rsid w:val="00DB4A55"/>
    <w:rsid w:val="00DB783B"/>
    <w:rsid w:val="00DC26B6"/>
    <w:rsid w:val="00DC57F9"/>
    <w:rsid w:val="00DC6C61"/>
    <w:rsid w:val="00DC7A0A"/>
    <w:rsid w:val="00DD062A"/>
    <w:rsid w:val="00DD353A"/>
    <w:rsid w:val="00DD58CE"/>
    <w:rsid w:val="00DD6507"/>
    <w:rsid w:val="00DD6C0C"/>
    <w:rsid w:val="00DE5BBD"/>
    <w:rsid w:val="00DE74DE"/>
    <w:rsid w:val="00DF4F50"/>
    <w:rsid w:val="00DF5F76"/>
    <w:rsid w:val="00DF6C83"/>
    <w:rsid w:val="00DF7F0D"/>
    <w:rsid w:val="00E00979"/>
    <w:rsid w:val="00E03949"/>
    <w:rsid w:val="00E042D6"/>
    <w:rsid w:val="00E04F34"/>
    <w:rsid w:val="00E1638B"/>
    <w:rsid w:val="00E163CF"/>
    <w:rsid w:val="00E1649D"/>
    <w:rsid w:val="00E16BC1"/>
    <w:rsid w:val="00E2558B"/>
    <w:rsid w:val="00E25945"/>
    <w:rsid w:val="00E26620"/>
    <w:rsid w:val="00E26ACF"/>
    <w:rsid w:val="00E27792"/>
    <w:rsid w:val="00E3675C"/>
    <w:rsid w:val="00E422E3"/>
    <w:rsid w:val="00E445F9"/>
    <w:rsid w:val="00E45D70"/>
    <w:rsid w:val="00E46149"/>
    <w:rsid w:val="00E61F82"/>
    <w:rsid w:val="00E63C17"/>
    <w:rsid w:val="00E63CA5"/>
    <w:rsid w:val="00E63E30"/>
    <w:rsid w:val="00E63F5D"/>
    <w:rsid w:val="00E72CEF"/>
    <w:rsid w:val="00E74BF2"/>
    <w:rsid w:val="00E75B7D"/>
    <w:rsid w:val="00E76B48"/>
    <w:rsid w:val="00E77F1B"/>
    <w:rsid w:val="00E81A96"/>
    <w:rsid w:val="00E83537"/>
    <w:rsid w:val="00E8494C"/>
    <w:rsid w:val="00E90B3F"/>
    <w:rsid w:val="00E92136"/>
    <w:rsid w:val="00E93496"/>
    <w:rsid w:val="00EA70C1"/>
    <w:rsid w:val="00EA786B"/>
    <w:rsid w:val="00EB677E"/>
    <w:rsid w:val="00EC151D"/>
    <w:rsid w:val="00EC1F0B"/>
    <w:rsid w:val="00EC3CA3"/>
    <w:rsid w:val="00EC5677"/>
    <w:rsid w:val="00EC5957"/>
    <w:rsid w:val="00EC7A08"/>
    <w:rsid w:val="00EC7B0C"/>
    <w:rsid w:val="00ED3120"/>
    <w:rsid w:val="00ED3AC4"/>
    <w:rsid w:val="00ED7077"/>
    <w:rsid w:val="00EE07DB"/>
    <w:rsid w:val="00EE5538"/>
    <w:rsid w:val="00EF07FA"/>
    <w:rsid w:val="00EF56EE"/>
    <w:rsid w:val="00F004D1"/>
    <w:rsid w:val="00F02B36"/>
    <w:rsid w:val="00F04757"/>
    <w:rsid w:val="00F224FD"/>
    <w:rsid w:val="00F24794"/>
    <w:rsid w:val="00F26E27"/>
    <w:rsid w:val="00F30894"/>
    <w:rsid w:val="00F30DC9"/>
    <w:rsid w:val="00F32E4A"/>
    <w:rsid w:val="00F33D33"/>
    <w:rsid w:val="00F34702"/>
    <w:rsid w:val="00F35BD3"/>
    <w:rsid w:val="00F36E50"/>
    <w:rsid w:val="00F414AC"/>
    <w:rsid w:val="00F4317C"/>
    <w:rsid w:val="00F507B2"/>
    <w:rsid w:val="00F50885"/>
    <w:rsid w:val="00F56E11"/>
    <w:rsid w:val="00F614EE"/>
    <w:rsid w:val="00F622C9"/>
    <w:rsid w:val="00F64044"/>
    <w:rsid w:val="00F6733E"/>
    <w:rsid w:val="00F73B89"/>
    <w:rsid w:val="00F75B50"/>
    <w:rsid w:val="00F76DDC"/>
    <w:rsid w:val="00F76FA5"/>
    <w:rsid w:val="00F8098D"/>
    <w:rsid w:val="00F83295"/>
    <w:rsid w:val="00F83AF3"/>
    <w:rsid w:val="00F91CAF"/>
    <w:rsid w:val="00FA13A5"/>
    <w:rsid w:val="00FA5A40"/>
    <w:rsid w:val="00FA5E36"/>
    <w:rsid w:val="00FA6678"/>
    <w:rsid w:val="00FB7687"/>
    <w:rsid w:val="00FC252D"/>
    <w:rsid w:val="00FC39DC"/>
    <w:rsid w:val="00FC3DDA"/>
    <w:rsid w:val="00FC5B1A"/>
    <w:rsid w:val="00FD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4"/>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5"/>
      </w:numPr>
    </w:pPr>
  </w:style>
  <w:style w:type="paragraph" w:customStyle="1" w:styleId="Default">
    <w:name w:val="Default"/>
    <w:basedOn w:val="Normal"/>
    <w:rsid w:val="007C57F2"/>
    <w:pPr>
      <w:autoSpaceDE w:val="0"/>
      <w:autoSpaceDN w:val="0"/>
      <w:jc w:val="left"/>
    </w:pPr>
    <w:rPr>
      <w:rFonts w:eastAsiaTheme="minorHAnsi"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4"/>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5"/>
      </w:numPr>
    </w:pPr>
  </w:style>
  <w:style w:type="paragraph" w:customStyle="1" w:styleId="Default">
    <w:name w:val="Default"/>
    <w:basedOn w:val="Normal"/>
    <w:rsid w:val="007C57F2"/>
    <w:pPr>
      <w:autoSpaceDE w:val="0"/>
      <w:autoSpaceDN w:val="0"/>
      <w:jc w:val="left"/>
    </w:pPr>
    <w:rPr>
      <w:rFonts w:eastAsiaTheme="minorHAnsi"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8623">
      <w:bodyDiv w:val="1"/>
      <w:marLeft w:val="0"/>
      <w:marRight w:val="0"/>
      <w:marTop w:val="0"/>
      <w:marBottom w:val="0"/>
      <w:divBdr>
        <w:top w:val="none" w:sz="0" w:space="0" w:color="auto"/>
        <w:left w:val="none" w:sz="0" w:space="0" w:color="auto"/>
        <w:bottom w:val="none" w:sz="0" w:space="0" w:color="auto"/>
        <w:right w:val="none" w:sz="0" w:space="0" w:color="auto"/>
      </w:divBdr>
    </w:div>
    <w:div w:id="87510739">
      <w:bodyDiv w:val="1"/>
      <w:marLeft w:val="0"/>
      <w:marRight w:val="0"/>
      <w:marTop w:val="0"/>
      <w:marBottom w:val="0"/>
      <w:divBdr>
        <w:top w:val="none" w:sz="0" w:space="0" w:color="auto"/>
        <w:left w:val="none" w:sz="0" w:space="0" w:color="auto"/>
        <w:bottom w:val="none" w:sz="0" w:space="0" w:color="auto"/>
        <w:right w:val="none" w:sz="0" w:space="0" w:color="auto"/>
      </w:divBdr>
    </w:div>
    <w:div w:id="163788222">
      <w:bodyDiv w:val="1"/>
      <w:marLeft w:val="0"/>
      <w:marRight w:val="0"/>
      <w:marTop w:val="0"/>
      <w:marBottom w:val="0"/>
      <w:divBdr>
        <w:top w:val="none" w:sz="0" w:space="0" w:color="auto"/>
        <w:left w:val="none" w:sz="0" w:space="0" w:color="auto"/>
        <w:bottom w:val="none" w:sz="0" w:space="0" w:color="auto"/>
        <w:right w:val="none" w:sz="0" w:space="0" w:color="auto"/>
      </w:divBdr>
    </w:div>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300615767">
      <w:bodyDiv w:val="1"/>
      <w:marLeft w:val="0"/>
      <w:marRight w:val="0"/>
      <w:marTop w:val="0"/>
      <w:marBottom w:val="0"/>
      <w:divBdr>
        <w:top w:val="none" w:sz="0" w:space="0" w:color="auto"/>
        <w:left w:val="none" w:sz="0" w:space="0" w:color="auto"/>
        <w:bottom w:val="none" w:sz="0" w:space="0" w:color="auto"/>
        <w:right w:val="none" w:sz="0" w:space="0" w:color="auto"/>
      </w:divBdr>
    </w:div>
    <w:div w:id="418409883">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65013876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803425575">
      <w:bodyDiv w:val="1"/>
      <w:marLeft w:val="0"/>
      <w:marRight w:val="0"/>
      <w:marTop w:val="0"/>
      <w:marBottom w:val="0"/>
      <w:divBdr>
        <w:top w:val="none" w:sz="0" w:space="0" w:color="auto"/>
        <w:left w:val="none" w:sz="0" w:space="0" w:color="auto"/>
        <w:bottom w:val="none" w:sz="0" w:space="0" w:color="auto"/>
        <w:right w:val="none" w:sz="0" w:space="0" w:color="auto"/>
      </w:divBdr>
    </w:div>
    <w:div w:id="851334907">
      <w:bodyDiv w:val="1"/>
      <w:marLeft w:val="0"/>
      <w:marRight w:val="0"/>
      <w:marTop w:val="0"/>
      <w:marBottom w:val="0"/>
      <w:divBdr>
        <w:top w:val="none" w:sz="0" w:space="0" w:color="auto"/>
        <w:left w:val="none" w:sz="0" w:space="0" w:color="auto"/>
        <w:bottom w:val="none" w:sz="0" w:space="0" w:color="auto"/>
        <w:right w:val="none" w:sz="0" w:space="0" w:color="auto"/>
      </w:divBdr>
    </w:div>
    <w:div w:id="932324346">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288660003">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435318925">
      <w:bodyDiv w:val="1"/>
      <w:marLeft w:val="0"/>
      <w:marRight w:val="0"/>
      <w:marTop w:val="0"/>
      <w:marBottom w:val="0"/>
      <w:divBdr>
        <w:top w:val="none" w:sz="0" w:space="0" w:color="auto"/>
        <w:left w:val="none" w:sz="0" w:space="0" w:color="auto"/>
        <w:bottom w:val="none" w:sz="0" w:space="0" w:color="auto"/>
        <w:right w:val="none" w:sz="0" w:space="0" w:color="auto"/>
      </w:divBdr>
    </w:div>
    <w:div w:id="1460759985">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19852098">
      <w:bodyDiv w:val="1"/>
      <w:marLeft w:val="0"/>
      <w:marRight w:val="0"/>
      <w:marTop w:val="0"/>
      <w:marBottom w:val="0"/>
      <w:divBdr>
        <w:top w:val="none" w:sz="0" w:space="0" w:color="auto"/>
        <w:left w:val="none" w:sz="0" w:space="0" w:color="auto"/>
        <w:bottom w:val="none" w:sz="0" w:space="0" w:color="auto"/>
        <w:right w:val="none" w:sz="0" w:space="0" w:color="auto"/>
      </w:divBdr>
    </w:div>
    <w:div w:id="1523783679">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 w:id="2057660605">
      <w:bodyDiv w:val="1"/>
      <w:marLeft w:val="0"/>
      <w:marRight w:val="0"/>
      <w:marTop w:val="0"/>
      <w:marBottom w:val="0"/>
      <w:divBdr>
        <w:top w:val="none" w:sz="0" w:space="0" w:color="auto"/>
        <w:left w:val="none" w:sz="0" w:space="0" w:color="auto"/>
        <w:bottom w:val="none" w:sz="0" w:space="0" w:color="auto"/>
        <w:right w:val="none" w:sz="0" w:space="0" w:color="auto"/>
      </w:divBdr>
    </w:div>
    <w:div w:id="20849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sma.europa.eu/news/ESMA-readies-MiFID-II-MAR-and-CSD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leif.org" TargetMode="External"/><Relationship Id="rId2" Type="http://schemas.openxmlformats.org/officeDocument/2006/relationships/numbering" Target="numbering.xml"/><Relationship Id="rId16" Type="http://schemas.openxmlformats.org/officeDocument/2006/relationships/hyperlink" Target="http://www.swift.com/my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mpg.info"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mpg.info/fileadmin/documents/6_Global%20SMPG%20Meetings/2015_SINGAPORE_SMPG_General_Meeting/SMPG_Singapore_Oct_2015_PlenaryPresentations.zi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2871-0C5B-419F-853E-056B1F81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5874</Words>
  <Characters>30802</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36603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PIRON Evelyne</cp:lastModifiedBy>
  <cp:revision>7</cp:revision>
  <cp:lastPrinted>2015-02-04T16:33:00Z</cp:lastPrinted>
  <dcterms:created xsi:type="dcterms:W3CDTF">2015-11-02T10:03:00Z</dcterms:created>
  <dcterms:modified xsi:type="dcterms:W3CDTF">2015-11-10T06:51:00Z</dcterms:modified>
</cp:coreProperties>
</file>