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2" w:rsidRDefault="00050122" w:rsidP="000C37E8">
      <w:pPr>
        <w:pStyle w:val="DocumentTitle"/>
      </w:pPr>
    </w:p>
    <w:p w:rsidR="00BC6A3A" w:rsidRDefault="00751423" w:rsidP="000C37E8">
      <w:pPr>
        <w:pStyle w:val="DocumentTitle"/>
      </w:pPr>
      <w:r w:rsidRPr="00751423">
        <w:rPr>
          <w:noProof/>
          <w:lang w:eastAsia="en-GB"/>
        </w:rPr>
        <w:drawing>
          <wp:inline distT="0" distB="0" distL="0" distR="0" wp14:anchorId="0DC0E078" wp14:editId="3B701F54">
            <wp:extent cx="3990975" cy="1885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3245A3">
        <w:tab/>
      </w:r>
    </w:p>
    <w:p w:rsidR="00BC6A3A" w:rsidRDefault="00BC6A3A" w:rsidP="000C37E8">
      <w:bookmarkStart w:id="0" w:name="_Toc89772567"/>
      <w:bookmarkStart w:id="1" w:name="_Toc89773526"/>
    </w:p>
    <w:p w:rsidR="009544A7" w:rsidRPr="00462820" w:rsidRDefault="009544A7" w:rsidP="00462820">
      <w:pPr>
        <w:jc w:val="center"/>
        <w:rPr>
          <w:sz w:val="40"/>
          <w:szCs w:val="40"/>
        </w:rPr>
      </w:pPr>
      <w:r w:rsidRPr="00462820">
        <w:rPr>
          <w:sz w:val="40"/>
          <w:szCs w:val="40"/>
        </w:rPr>
        <w:t>SMPG Global Meeting</w:t>
      </w:r>
    </w:p>
    <w:p w:rsidR="009544A7" w:rsidRPr="00462820" w:rsidRDefault="009544A7" w:rsidP="00462820">
      <w:pPr>
        <w:jc w:val="center"/>
        <w:rPr>
          <w:sz w:val="40"/>
          <w:szCs w:val="40"/>
        </w:rPr>
      </w:pPr>
      <w:r w:rsidRPr="00462820">
        <w:rPr>
          <w:sz w:val="40"/>
          <w:szCs w:val="40"/>
        </w:rPr>
        <w:t>Investment Funds Working Group</w:t>
      </w:r>
      <w:r w:rsidR="001C1ECE">
        <w:rPr>
          <w:sz w:val="40"/>
          <w:szCs w:val="40"/>
        </w:rPr>
        <w:t xml:space="preserve"> (SMPG IF WG)</w:t>
      </w:r>
    </w:p>
    <w:bookmarkEnd w:id="0"/>
    <w:bookmarkEnd w:id="1"/>
    <w:p w:rsidR="00B80940" w:rsidRPr="0015631A" w:rsidRDefault="00A664CD" w:rsidP="00462820">
      <w:pPr>
        <w:jc w:val="center"/>
        <w:rPr>
          <w:sz w:val="40"/>
          <w:szCs w:val="40"/>
          <w:lang w:val="en-US"/>
        </w:rPr>
      </w:pPr>
      <w:r>
        <w:rPr>
          <w:rFonts w:ascii="Calibri" w:hAnsi="Calibri" w:cs="Calibri"/>
          <w:bCs/>
          <w:sz w:val="40"/>
          <w:szCs w:val="40"/>
        </w:rPr>
        <w:t>Citigroup Europe PLC</w:t>
      </w:r>
      <w:r w:rsidR="00DB0483" w:rsidRPr="0015631A">
        <w:rPr>
          <w:sz w:val="40"/>
          <w:szCs w:val="40"/>
          <w:lang w:val="en-US"/>
        </w:rPr>
        <w:t>,</w:t>
      </w:r>
      <w:r>
        <w:rPr>
          <w:sz w:val="40"/>
          <w:szCs w:val="40"/>
          <w:lang w:val="en-US"/>
        </w:rPr>
        <w:t xml:space="preserve"> Dublin</w:t>
      </w:r>
      <w:r w:rsidR="00DB0483" w:rsidRPr="0015631A">
        <w:rPr>
          <w:sz w:val="40"/>
          <w:szCs w:val="40"/>
          <w:lang w:val="en-US"/>
        </w:rPr>
        <w:t xml:space="preserve">, </w:t>
      </w:r>
    </w:p>
    <w:p w:rsidR="00F340FA" w:rsidRPr="00462820" w:rsidRDefault="00A664CD" w:rsidP="00462820">
      <w:pPr>
        <w:jc w:val="center"/>
        <w:rPr>
          <w:sz w:val="40"/>
          <w:szCs w:val="40"/>
          <w:lang w:val="en-US"/>
        </w:rPr>
      </w:pPr>
      <w:r>
        <w:rPr>
          <w:sz w:val="40"/>
          <w:szCs w:val="40"/>
          <w:lang w:val="en-US"/>
        </w:rPr>
        <w:t xml:space="preserve">26, 27 &amp; 28 April </w:t>
      </w:r>
      <w:r w:rsidR="00A551E4" w:rsidRPr="00462820">
        <w:rPr>
          <w:sz w:val="40"/>
          <w:szCs w:val="40"/>
          <w:lang w:val="en-US"/>
        </w:rPr>
        <w:t>201</w:t>
      </w:r>
      <w:r>
        <w:rPr>
          <w:sz w:val="40"/>
          <w:szCs w:val="40"/>
          <w:lang w:val="en-US"/>
        </w:rPr>
        <w:t>7</w:t>
      </w:r>
    </w:p>
    <w:p w:rsidR="00FC03B7" w:rsidRPr="00462820" w:rsidRDefault="00F340FA" w:rsidP="00462820">
      <w:pPr>
        <w:jc w:val="center"/>
        <w:rPr>
          <w:sz w:val="40"/>
          <w:szCs w:val="40"/>
        </w:rPr>
      </w:pPr>
      <w:r w:rsidRPr="00462820">
        <w:rPr>
          <w:sz w:val="40"/>
          <w:szCs w:val="40"/>
        </w:rPr>
        <w:t>Minutes</w:t>
      </w:r>
    </w:p>
    <w:p w:rsidR="00F340FA" w:rsidRPr="00462820" w:rsidRDefault="00E91024" w:rsidP="00462820">
      <w:pPr>
        <w:jc w:val="center"/>
        <w:rPr>
          <w:sz w:val="40"/>
          <w:szCs w:val="40"/>
        </w:rPr>
      </w:pPr>
      <w:r>
        <w:rPr>
          <w:sz w:val="40"/>
          <w:szCs w:val="40"/>
        </w:rPr>
        <w:t>(</w:t>
      </w:r>
      <w:r w:rsidR="00CE5BD5">
        <w:rPr>
          <w:sz w:val="40"/>
          <w:szCs w:val="40"/>
        </w:rPr>
        <w:t>7 June</w:t>
      </w:r>
      <w:r w:rsidR="00983D5E">
        <w:rPr>
          <w:sz w:val="40"/>
          <w:szCs w:val="40"/>
        </w:rPr>
        <w:t xml:space="preserve"> </w:t>
      </w:r>
      <w:r w:rsidR="00A664CD">
        <w:rPr>
          <w:sz w:val="40"/>
          <w:szCs w:val="40"/>
        </w:rPr>
        <w:t>2017</w:t>
      </w:r>
      <w:r w:rsidR="00F340FA" w:rsidRPr="00462820">
        <w:rPr>
          <w:sz w:val="40"/>
          <w:szCs w:val="40"/>
        </w:rPr>
        <w:t>)</w:t>
      </w:r>
    </w:p>
    <w:p w:rsidR="009544A7" w:rsidRDefault="009544A7" w:rsidP="000C37E8">
      <w:pPr>
        <w:rPr>
          <w:lang w:val="en-US"/>
        </w:rPr>
      </w:pPr>
    </w:p>
    <w:p w:rsidR="00957945" w:rsidRDefault="00957945" w:rsidP="003C6A52">
      <w:pPr>
        <w:rPr>
          <w:b/>
          <w:lang w:val="en-US"/>
        </w:rPr>
      </w:pPr>
    </w:p>
    <w:p w:rsidR="00957945" w:rsidRDefault="00957945" w:rsidP="003C6A52">
      <w:pPr>
        <w:rPr>
          <w:b/>
          <w:lang w:val="en-US"/>
        </w:rPr>
      </w:pPr>
    </w:p>
    <w:p w:rsidR="00957945" w:rsidRDefault="00957945" w:rsidP="003C6A52">
      <w:pPr>
        <w:rPr>
          <w:b/>
          <w:lang w:val="en-US"/>
        </w:rPr>
      </w:pPr>
    </w:p>
    <w:p w:rsidR="006463E8" w:rsidRPr="003C6A52" w:rsidRDefault="003C6A52" w:rsidP="003C6A52">
      <w:pPr>
        <w:rPr>
          <w:b/>
          <w:lang w:val="en-US"/>
        </w:rPr>
      </w:pPr>
      <w:r w:rsidRPr="003C6A52">
        <w:rPr>
          <w:b/>
          <w:lang w:val="en-US"/>
        </w:rPr>
        <w:t>Document History</w:t>
      </w: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40"/>
        <w:gridCol w:w="7553"/>
      </w:tblGrid>
      <w:tr w:rsidR="003C6A52" w:rsidTr="00A81D37">
        <w:tc>
          <w:tcPr>
            <w:tcW w:w="1440" w:type="dxa"/>
          </w:tcPr>
          <w:p w:rsidR="003C6A52" w:rsidRDefault="00A664CD" w:rsidP="00405438">
            <w:pPr>
              <w:spacing w:before="20" w:after="20"/>
              <w:ind w:left="0"/>
              <w:rPr>
                <w:lang w:val="en-US"/>
              </w:rPr>
            </w:pPr>
            <w:r>
              <w:rPr>
                <w:lang w:val="en-US"/>
              </w:rPr>
              <w:t>2017</w:t>
            </w:r>
            <w:r w:rsidR="003C6A52">
              <w:rPr>
                <w:lang w:val="en-US"/>
              </w:rPr>
              <w:t>-</w:t>
            </w:r>
            <w:r w:rsidR="006D18F2">
              <w:rPr>
                <w:lang w:val="en-US"/>
              </w:rPr>
              <w:t>05-1</w:t>
            </w:r>
            <w:r w:rsidR="00A80F7F">
              <w:rPr>
                <w:lang w:val="en-US"/>
              </w:rPr>
              <w:t>8</w:t>
            </w:r>
          </w:p>
        </w:tc>
        <w:tc>
          <w:tcPr>
            <w:tcW w:w="7553" w:type="dxa"/>
          </w:tcPr>
          <w:p w:rsidR="00093F83" w:rsidRDefault="003C6A52" w:rsidP="00C17E51">
            <w:pPr>
              <w:spacing w:before="20" w:after="20"/>
              <w:ind w:left="0"/>
              <w:rPr>
                <w:lang w:val="en-US"/>
              </w:rPr>
            </w:pPr>
            <w:r>
              <w:rPr>
                <w:lang w:val="en-US"/>
              </w:rPr>
              <w:t>First draft</w:t>
            </w:r>
          </w:p>
        </w:tc>
      </w:tr>
      <w:tr w:rsidR="007D7C92" w:rsidTr="00A81D37">
        <w:tc>
          <w:tcPr>
            <w:tcW w:w="1440" w:type="dxa"/>
          </w:tcPr>
          <w:p w:rsidR="007D7C92" w:rsidRDefault="00CE5BD5" w:rsidP="000A4D6D">
            <w:pPr>
              <w:spacing w:before="20" w:after="20"/>
              <w:ind w:left="0"/>
              <w:rPr>
                <w:lang w:val="en-US"/>
              </w:rPr>
            </w:pPr>
            <w:r>
              <w:rPr>
                <w:lang w:val="en-US"/>
              </w:rPr>
              <w:t>2017-05-07</w:t>
            </w:r>
          </w:p>
        </w:tc>
        <w:tc>
          <w:tcPr>
            <w:tcW w:w="7553" w:type="dxa"/>
          </w:tcPr>
          <w:p w:rsidR="00733386" w:rsidRDefault="00CE5BD5" w:rsidP="000B0F50">
            <w:pPr>
              <w:spacing w:before="20" w:after="20"/>
              <w:ind w:left="0"/>
              <w:rPr>
                <w:lang w:val="en-US"/>
              </w:rPr>
            </w:pPr>
            <w:r>
              <w:rPr>
                <w:lang w:val="en-US"/>
              </w:rPr>
              <w:t>Second draft. Norway country report added</w:t>
            </w:r>
          </w:p>
        </w:tc>
      </w:tr>
      <w:tr w:rsidR="003457ED" w:rsidTr="00A81D37">
        <w:tc>
          <w:tcPr>
            <w:tcW w:w="1440" w:type="dxa"/>
          </w:tcPr>
          <w:p w:rsidR="003457ED" w:rsidRDefault="003457ED" w:rsidP="000A4D6D">
            <w:pPr>
              <w:spacing w:before="20" w:after="20"/>
              <w:ind w:left="0"/>
              <w:rPr>
                <w:lang w:val="en-US"/>
              </w:rPr>
            </w:pPr>
          </w:p>
        </w:tc>
        <w:tc>
          <w:tcPr>
            <w:tcW w:w="7553" w:type="dxa"/>
          </w:tcPr>
          <w:p w:rsidR="003457ED" w:rsidRDefault="003457ED" w:rsidP="00A81D37">
            <w:pPr>
              <w:spacing w:before="20" w:after="20"/>
              <w:ind w:left="0"/>
              <w:rPr>
                <w:lang w:val="en-US"/>
              </w:rPr>
            </w:pPr>
          </w:p>
        </w:tc>
      </w:tr>
    </w:tbl>
    <w:p w:rsidR="003C6A52" w:rsidRPr="00B5377B" w:rsidRDefault="003C6A52" w:rsidP="003C6A52">
      <w:pPr>
        <w:rPr>
          <w:lang w:val="en-US"/>
        </w:rPr>
        <w:sectPr w:rsidR="003C6A52" w:rsidRPr="00B5377B" w:rsidSect="003100F4">
          <w:headerReference w:type="even" r:id="rId10"/>
          <w:headerReference w:type="default" r:id="rId11"/>
          <w:footerReference w:type="even" r:id="rId12"/>
          <w:footerReference w:type="default" r:id="rId13"/>
          <w:headerReference w:type="first" r:id="rId14"/>
          <w:footerReference w:type="first" r:id="rId15"/>
          <w:pgSz w:w="11909" w:h="16834" w:code="9"/>
          <w:pgMar w:top="1440" w:right="1152" w:bottom="1440" w:left="1152" w:header="720" w:footer="720" w:gutter="0"/>
          <w:cols w:space="720"/>
        </w:sectPr>
      </w:pPr>
      <w:bookmarkStart w:id="2" w:name="_GoBack"/>
    </w:p>
    <w:p w:rsidR="00FA18EA" w:rsidRDefault="00FA18EA">
      <w:pPr>
        <w:pStyle w:val="IntroHeading"/>
      </w:pPr>
      <w:bookmarkStart w:id="3" w:name="_Toc484589020"/>
      <w:bookmarkEnd w:id="2"/>
      <w:r>
        <w:lastRenderedPageBreak/>
        <w:t>Table of Contents</w:t>
      </w:r>
      <w:bookmarkEnd w:id="3"/>
    </w:p>
    <w:p w:rsidR="00CE5BD5" w:rsidRDefault="00165712">
      <w:pPr>
        <w:pStyle w:val="TOC1"/>
        <w:rPr>
          <w:rFonts w:eastAsiaTheme="minorEastAsia" w:cstheme="minorBidi"/>
          <w:sz w:val="22"/>
          <w:lang w:eastAsia="en-GB"/>
        </w:rPr>
      </w:pPr>
      <w:r>
        <w:rPr>
          <w:b/>
          <w:snapToGrid w:val="0"/>
        </w:rPr>
        <w:fldChar w:fldCharType="begin"/>
      </w:r>
      <w:r>
        <w:rPr>
          <w:b/>
          <w:snapToGrid w:val="0"/>
        </w:rPr>
        <w:instrText xml:space="preserve"> TOC \o "1-1" \h \z \u </w:instrText>
      </w:r>
      <w:r>
        <w:rPr>
          <w:b/>
          <w:snapToGrid w:val="0"/>
        </w:rPr>
        <w:fldChar w:fldCharType="separate"/>
      </w:r>
      <w:hyperlink w:anchor="_Toc484589020" w:history="1">
        <w:r w:rsidR="00CE5BD5" w:rsidRPr="004C0636">
          <w:rPr>
            <w:rStyle w:val="Hyperlink"/>
          </w:rPr>
          <w:t>Table of Contents</w:t>
        </w:r>
        <w:r w:rsidR="00CE5BD5">
          <w:rPr>
            <w:webHidden/>
          </w:rPr>
          <w:tab/>
        </w:r>
        <w:r w:rsidR="00CE5BD5">
          <w:rPr>
            <w:webHidden/>
          </w:rPr>
          <w:fldChar w:fldCharType="begin"/>
        </w:r>
        <w:r w:rsidR="00CE5BD5">
          <w:rPr>
            <w:webHidden/>
          </w:rPr>
          <w:instrText xml:space="preserve"> PAGEREF _Toc484589020 \h </w:instrText>
        </w:r>
        <w:r w:rsidR="00CE5BD5">
          <w:rPr>
            <w:webHidden/>
          </w:rPr>
        </w:r>
        <w:r w:rsidR="00CE5BD5">
          <w:rPr>
            <w:webHidden/>
          </w:rPr>
          <w:fldChar w:fldCharType="separate"/>
        </w:r>
        <w:r w:rsidR="00CE5BD5">
          <w:rPr>
            <w:webHidden/>
          </w:rPr>
          <w:t>2</w:t>
        </w:r>
        <w:r w:rsidR="00CE5BD5">
          <w:rPr>
            <w:webHidden/>
          </w:rPr>
          <w:fldChar w:fldCharType="end"/>
        </w:r>
      </w:hyperlink>
    </w:p>
    <w:p w:rsidR="00CE5BD5" w:rsidRDefault="00523F7E">
      <w:pPr>
        <w:pStyle w:val="TOC1"/>
        <w:rPr>
          <w:rFonts w:eastAsiaTheme="minorEastAsia" w:cstheme="minorBidi"/>
          <w:sz w:val="22"/>
          <w:lang w:eastAsia="en-GB"/>
        </w:rPr>
      </w:pPr>
      <w:hyperlink w:anchor="_Toc484589021" w:history="1">
        <w:r w:rsidR="00CE5BD5" w:rsidRPr="004C0636">
          <w:rPr>
            <w:rStyle w:val="Hyperlink"/>
          </w:rPr>
          <w:t>1</w:t>
        </w:r>
        <w:r w:rsidR="00CE5BD5">
          <w:rPr>
            <w:rFonts w:eastAsiaTheme="minorEastAsia" w:cstheme="minorBidi"/>
            <w:sz w:val="22"/>
            <w:lang w:eastAsia="en-GB"/>
          </w:rPr>
          <w:tab/>
        </w:r>
        <w:r w:rsidR="00CE5BD5" w:rsidRPr="004C0636">
          <w:rPr>
            <w:rStyle w:val="Hyperlink"/>
          </w:rPr>
          <w:t>Attendees</w:t>
        </w:r>
        <w:r w:rsidR="00CE5BD5">
          <w:rPr>
            <w:webHidden/>
          </w:rPr>
          <w:tab/>
        </w:r>
        <w:r w:rsidR="00CE5BD5">
          <w:rPr>
            <w:webHidden/>
          </w:rPr>
          <w:fldChar w:fldCharType="begin"/>
        </w:r>
        <w:r w:rsidR="00CE5BD5">
          <w:rPr>
            <w:webHidden/>
          </w:rPr>
          <w:instrText xml:space="preserve"> PAGEREF _Toc484589021 \h </w:instrText>
        </w:r>
        <w:r w:rsidR="00CE5BD5">
          <w:rPr>
            <w:webHidden/>
          </w:rPr>
        </w:r>
        <w:r w:rsidR="00CE5BD5">
          <w:rPr>
            <w:webHidden/>
          </w:rPr>
          <w:fldChar w:fldCharType="separate"/>
        </w:r>
        <w:r w:rsidR="00CE5BD5">
          <w:rPr>
            <w:webHidden/>
          </w:rPr>
          <w:t>2</w:t>
        </w:r>
        <w:r w:rsidR="00CE5BD5">
          <w:rPr>
            <w:webHidden/>
          </w:rPr>
          <w:fldChar w:fldCharType="end"/>
        </w:r>
      </w:hyperlink>
    </w:p>
    <w:p w:rsidR="00CE5BD5" w:rsidRDefault="00523F7E">
      <w:pPr>
        <w:pStyle w:val="TOC1"/>
        <w:rPr>
          <w:rFonts w:eastAsiaTheme="minorEastAsia" w:cstheme="minorBidi"/>
          <w:sz w:val="22"/>
          <w:lang w:eastAsia="en-GB"/>
        </w:rPr>
      </w:pPr>
      <w:hyperlink w:anchor="_Toc484589022" w:history="1">
        <w:r w:rsidR="00CE5BD5" w:rsidRPr="004C0636">
          <w:rPr>
            <w:rStyle w:val="Hyperlink"/>
          </w:rPr>
          <w:t>2</w:t>
        </w:r>
        <w:r w:rsidR="00CE5BD5">
          <w:rPr>
            <w:rFonts w:eastAsiaTheme="minorEastAsia" w:cstheme="minorBidi"/>
            <w:sz w:val="22"/>
            <w:lang w:eastAsia="en-GB"/>
          </w:rPr>
          <w:tab/>
        </w:r>
        <w:r w:rsidR="00CE5BD5" w:rsidRPr="004C0636">
          <w:rPr>
            <w:rStyle w:val="Hyperlink"/>
          </w:rPr>
          <w:t>Presentations and Documents</w:t>
        </w:r>
        <w:r w:rsidR="00CE5BD5">
          <w:rPr>
            <w:webHidden/>
          </w:rPr>
          <w:tab/>
        </w:r>
        <w:r w:rsidR="00CE5BD5">
          <w:rPr>
            <w:webHidden/>
          </w:rPr>
          <w:fldChar w:fldCharType="begin"/>
        </w:r>
        <w:r w:rsidR="00CE5BD5">
          <w:rPr>
            <w:webHidden/>
          </w:rPr>
          <w:instrText xml:space="preserve"> PAGEREF _Toc484589022 \h </w:instrText>
        </w:r>
        <w:r w:rsidR="00CE5BD5">
          <w:rPr>
            <w:webHidden/>
          </w:rPr>
        </w:r>
        <w:r w:rsidR="00CE5BD5">
          <w:rPr>
            <w:webHidden/>
          </w:rPr>
          <w:fldChar w:fldCharType="separate"/>
        </w:r>
        <w:r w:rsidR="00CE5BD5">
          <w:rPr>
            <w:webHidden/>
          </w:rPr>
          <w:t>4</w:t>
        </w:r>
        <w:r w:rsidR="00CE5BD5">
          <w:rPr>
            <w:webHidden/>
          </w:rPr>
          <w:fldChar w:fldCharType="end"/>
        </w:r>
      </w:hyperlink>
    </w:p>
    <w:p w:rsidR="00CE5BD5" w:rsidRDefault="00523F7E">
      <w:pPr>
        <w:pStyle w:val="TOC1"/>
        <w:rPr>
          <w:rFonts w:eastAsiaTheme="minorEastAsia" w:cstheme="minorBidi"/>
          <w:sz w:val="22"/>
          <w:lang w:eastAsia="en-GB"/>
        </w:rPr>
      </w:pPr>
      <w:hyperlink w:anchor="_Toc484589023" w:history="1">
        <w:r w:rsidR="00CE5BD5" w:rsidRPr="004C0636">
          <w:rPr>
            <w:rStyle w:val="Hyperlink"/>
          </w:rPr>
          <w:t>3</w:t>
        </w:r>
        <w:r w:rsidR="00CE5BD5">
          <w:rPr>
            <w:rFonts w:eastAsiaTheme="minorEastAsia" w:cstheme="minorBidi"/>
            <w:sz w:val="22"/>
            <w:lang w:eastAsia="en-GB"/>
          </w:rPr>
          <w:tab/>
        </w:r>
        <w:r w:rsidR="00CE5BD5" w:rsidRPr="004C0636">
          <w:rPr>
            <w:rStyle w:val="Hyperlink"/>
          </w:rPr>
          <w:t>Agenda Overview</w:t>
        </w:r>
        <w:r w:rsidR="00CE5BD5">
          <w:rPr>
            <w:webHidden/>
          </w:rPr>
          <w:tab/>
        </w:r>
        <w:r w:rsidR="00CE5BD5">
          <w:rPr>
            <w:webHidden/>
          </w:rPr>
          <w:fldChar w:fldCharType="begin"/>
        </w:r>
        <w:r w:rsidR="00CE5BD5">
          <w:rPr>
            <w:webHidden/>
          </w:rPr>
          <w:instrText xml:space="preserve"> PAGEREF _Toc484589023 \h </w:instrText>
        </w:r>
        <w:r w:rsidR="00CE5BD5">
          <w:rPr>
            <w:webHidden/>
          </w:rPr>
        </w:r>
        <w:r w:rsidR="00CE5BD5">
          <w:rPr>
            <w:webHidden/>
          </w:rPr>
          <w:fldChar w:fldCharType="separate"/>
        </w:r>
        <w:r w:rsidR="00CE5BD5">
          <w:rPr>
            <w:webHidden/>
          </w:rPr>
          <w:t>4</w:t>
        </w:r>
        <w:r w:rsidR="00CE5BD5">
          <w:rPr>
            <w:webHidden/>
          </w:rPr>
          <w:fldChar w:fldCharType="end"/>
        </w:r>
      </w:hyperlink>
    </w:p>
    <w:p w:rsidR="00CE5BD5" w:rsidRDefault="00523F7E">
      <w:pPr>
        <w:pStyle w:val="TOC1"/>
        <w:rPr>
          <w:rFonts w:eastAsiaTheme="minorEastAsia" w:cstheme="minorBidi"/>
          <w:sz w:val="22"/>
          <w:lang w:eastAsia="en-GB"/>
        </w:rPr>
      </w:pPr>
      <w:hyperlink w:anchor="_Toc484589024" w:history="1">
        <w:r w:rsidR="00CE5BD5" w:rsidRPr="004C0636">
          <w:rPr>
            <w:rStyle w:val="Hyperlink"/>
          </w:rPr>
          <w:t>4</w:t>
        </w:r>
        <w:r w:rsidR="00CE5BD5">
          <w:rPr>
            <w:rFonts w:eastAsiaTheme="minorEastAsia" w:cstheme="minorBidi"/>
            <w:sz w:val="22"/>
            <w:lang w:eastAsia="en-GB"/>
          </w:rPr>
          <w:tab/>
        </w:r>
        <w:r w:rsidR="00CE5BD5" w:rsidRPr="004C0636">
          <w:rPr>
            <w:rStyle w:val="Hyperlink"/>
          </w:rPr>
          <w:t>NMPG Country Update – BR Brazil</w:t>
        </w:r>
        <w:r w:rsidR="00CE5BD5">
          <w:rPr>
            <w:webHidden/>
          </w:rPr>
          <w:tab/>
        </w:r>
        <w:r w:rsidR="00CE5BD5">
          <w:rPr>
            <w:webHidden/>
          </w:rPr>
          <w:fldChar w:fldCharType="begin"/>
        </w:r>
        <w:r w:rsidR="00CE5BD5">
          <w:rPr>
            <w:webHidden/>
          </w:rPr>
          <w:instrText xml:space="preserve"> PAGEREF _Toc484589024 \h </w:instrText>
        </w:r>
        <w:r w:rsidR="00CE5BD5">
          <w:rPr>
            <w:webHidden/>
          </w:rPr>
        </w:r>
        <w:r w:rsidR="00CE5BD5">
          <w:rPr>
            <w:webHidden/>
          </w:rPr>
          <w:fldChar w:fldCharType="separate"/>
        </w:r>
        <w:r w:rsidR="00CE5BD5">
          <w:rPr>
            <w:webHidden/>
          </w:rPr>
          <w:t>5</w:t>
        </w:r>
        <w:r w:rsidR="00CE5BD5">
          <w:rPr>
            <w:webHidden/>
          </w:rPr>
          <w:fldChar w:fldCharType="end"/>
        </w:r>
      </w:hyperlink>
    </w:p>
    <w:p w:rsidR="00CE5BD5" w:rsidRDefault="00523F7E">
      <w:pPr>
        <w:pStyle w:val="TOC1"/>
        <w:rPr>
          <w:rFonts w:eastAsiaTheme="minorEastAsia" w:cstheme="minorBidi"/>
          <w:sz w:val="22"/>
          <w:lang w:eastAsia="en-GB"/>
        </w:rPr>
      </w:pPr>
      <w:hyperlink w:anchor="_Toc484589025" w:history="1">
        <w:r w:rsidR="00CE5BD5" w:rsidRPr="004C0636">
          <w:rPr>
            <w:rStyle w:val="Hyperlink"/>
          </w:rPr>
          <w:t>5</w:t>
        </w:r>
        <w:r w:rsidR="00CE5BD5">
          <w:rPr>
            <w:rFonts w:eastAsiaTheme="minorEastAsia" w:cstheme="minorBidi"/>
            <w:sz w:val="22"/>
            <w:lang w:eastAsia="en-GB"/>
          </w:rPr>
          <w:tab/>
        </w:r>
        <w:r w:rsidR="00CE5BD5" w:rsidRPr="004C0636">
          <w:rPr>
            <w:rStyle w:val="Hyperlink"/>
          </w:rPr>
          <w:t>NMPG Country Update – DE Germany</w:t>
        </w:r>
        <w:r w:rsidR="00CE5BD5">
          <w:rPr>
            <w:webHidden/>
          </w:rPr>
          <w:tab/>
        </w:r>
        <w:r w:rsidR="00CE5BD5">
          <w:rPr>
            <w:webHidden/>
          </w:rPr>
          <w:fldChar w:fldCharType="begin"/>
        </w:r>
        <w:r w:rsidR="00CE5BD5">
          <w:rPr>
            <w:webHidden/>
          </w:rPr>
          <w:instrText xml:space="preserve"> PAGEREF _Toc484589025 \h </w:instrText>
        </w:r>
        <w:r w:rsidR="00CE5BD5">
          <w:rPr>
            <w:webHidden/>
          </w:rPr>
        </w:r>
        <w:r w:rsidR="00CE5BD5">
          <w:rPr>
            <w:webHidden/>
          </w:rPr>
          <w:fldChar w:fldCharType="separate"/>
        </w:r>
        <w:r w:rsidR="00CE5BD5">
          <w:rPr>
            <w:webHidden/>
          </w:rPr>
          <w:t>6</w:t>
        </w:r>
        <w:r w:rsidR="00CE5BD5">
          <w:rPr>
            <w:webHidden/>
          </w:rPr>
          <w:fldChar w:fldCharType="end"/>
        </w:r>
      </w:hyperlink>
    </w:p>
    <w:p w:rsidR="00CE5BD5" w:rsidRDefault="00523F7E">
      <w:pPr>
        <w:pStyle w:val="TOC1"/>
        <w:rPr>
          <w:rFonts w:eastAsiaTheme="minorEastAsia" w:cstheme="minorBidi"/>
          <w:sz w:val="22"/>
          <w:lang w:eastAsia="en-GB"/>
        </w:rPr>
      </w:pPr>
      <w:hyperlink w:anchor="_Toc484589026" w:history="1">
        <w:r w:rsidR="00CE5BD5" w:rsidRPr="004C0636">
          <w:rPr>
            <w:rStyle w:val="Hyperlink"/>
          </w:rPr>
          <w:t>6</w:t>
        </w:r>
        <w:r w:rsidR="00CE5BD5">
          <w:rPr>
            <w:rFonts w:eastAsiaTheme="minorEastAsia" w:cstheme="minorBidi"/>
            <w:sz w:val="22"/>
            <w:lang w:eastAsia="en-GB"/>
          </w:rPr>
          <w:tab/>
        </w:r>
        <w:r w:rsidR="00CE5BD5" w:rsidRPr="004C0636">
          <w:rPr>
            <w:rStyle w:val="Hyperlink"/>
          </w:rPr>
          <w:t>NMPG Country Update – DK Denmark</w:t>
        </w:r>
        <w:r w:rsidR="00CE5BD5">
          <w:rPr>
            <w:webHidden/>
          </w:rPr>
          <w:tab/>
        </w:r>
        <w:r w:rsidR="00CE5BD5">
          <w:rPr>
            <w:webHidden/>
          </w:rPr>
          <w:fldChar w:fldCharType="begin"/>
        </w:r>
        <w:r w:rsidR="00CE5BD5">
          <w:rPr>
            <w:webHidden/>
          </w:rPr>
          <w:instrText xml:space="preserve"> PAGEREF _Toc484589026 \h </w:instrText>
        </w:r>
        <w:r w:rsidR="00CE5BD5">
          <w:rPr>
            <w:webHidden/>
          </w:rPr>
        </w:r>
        <w:r w:rsidR="00CE5BD5">
          <w:rPr>
            <w:webHidden/>
          </w:rPr>
          <w:fldChar w:fldCharType="separate"/>
        </w:r>
        <w:r w:rsidR="00CE5BD5">
          <w:rPr>
            <w:webHidden/>
          </w:rPr>
          <w:t>8</w:t>
        </w:r>
        <w:r w:rsidR="00CE5BD5">
          <w:rPr>
            <w:webHidden/>
          </w:rPr>
          <w:fldChar w:fldCharType="end"/>
        </w:r>
      </w:hyperlink>
    </w:p>
    <w:p w:rsidR="00CE5BD5" w:rsidRDefault="00523F7E">
      <w:pPr>
        <w:pStyle w:val="TOC1"/>
        <w:rPr>
          <w:rFonts w:eastAsiaTheme="minorEastAsia" w:cstheme="minorBidi"/>
          <w:sz w:val="22"/>
          <w:lang w:eastAsia="en-GB"/>
        </w:rPr>
      </w:pPr>
      <w:hyperlink w:anchor="_Toc484589027" w:history="1">
        <w:r w:rsidR="00CE5BD5" w:rsidRPr="004C0636">
          <w:rPr>
            <w:rStyle w:val="Hyperlink"/>
          </w:rPr>
          <w:t>7</w:t>
        </w:r>
        <w:r w:rsidR="00CE5BD5">
          <w:rPr>
            <w:rFonts w:eastAsiaTheme="minorEastAsia" w:cstheme="minorBidi"/>
            <w:sz w:val="22"/>
            <w:lang w:eastAsia="en-GB"/>
          </w:rPr>
          <w:tab/>
        </w:r>
        <w:r w:rsidR="00CE5BD5" w:rsidRPr="004C0636">
          <w:rPr>
            <w:rStyle w:val="Hyperlink"/>
          </w:rPr>
          <w:t>NMPG Country Update – CH Switzerland</w:t>
        </w:r>
        <w:r w:rsidR="00CE5BD5">
          <w:rPr>
            <w:webHidden/>
          </w:rPr>
          <w:tab/>
        </w:r>
        <w:r w:rsidR="00CE5BD5">
          <w:rPr>
            <w:webHidden/>
          </w:rPr>
          <w:fldChar w:fldCharType="begin"/>
        </w:r>
        <w:r w:rsidR="00CE5BD5">
          <w:rPr>
            <w:webHidden/>
          </w:rPr>
          <w:instrText xml:space="preserve"> PAGEREF _Toc484589027 \h </w:instrText>
        </w:r>
        <w:r w:rsidR="00CE5BD5">
          <w:rPr>
            <w:webHidden/>
          </w:rPr>
        </w:r>
        <w:r w:rsidR="00CE5BD5">
          <w:rPr>
            <w:webHidden/>
          </w:rPr>
          <w:fldChar w:fldCharType="separate"/>
        </w:r>
        <w:r w:rsidR="00CE5BD5">
          <w:rPr>
            <w:webHidden/>
          </w:rPr>
          <w:t>10</w:t>
        </w:r>
        <w:r w:rsidR="00CE5BD5">
          <w:rPr>
            <w:webHidden/>
          </w:rPr>
          <w:fldChar w:fldCharType="end"/>
        </w:r>
      </w:hyperlink>
    </w:p>
    <w:p w:rsidR="00CE5BD5" w:rsidRDefault="00523F7E">
      <w:pPr>
        <w:pStyle w:val="TOC1"/>
        <w:rPr>
          <w:rFonts w:eastAsiaTheme="minorEastAsia" w:cstheme="minorBidi"/>
          <w:sz w:val="22"/>
          <w:lang w:eastAsia="en-GB"/>
        </w:rPr>
      </w:pPr>
      <w:hyperlink w:anchor="_Toc484589028" w:history="1">
        <w:r w:rsidR="00CE5BD5" w:rsidRPr="004C0636">
          <w:rPr>
            <w:rStyle w:val="Hyperlink"/>
          </w:rPr>
          <w:t>8</w:t>
        </w:r>
        <w:r w:rsidR="00CE5BD5">
          <w:rPr>
            <w:rFonts w:eastAsiaTheme="minorEastAsia" w:cstheme="minorBidi"/>
            <w:sz w:val="22"/>
            <w:lang w:eastAsia="en-GB"/>
          </w:rPr>
          <w:tab/>
        </w:r>
        <w:r w:rsidR="00CE5BD5" w:rsidRPr="004C0636">
          <w:rPr>
            <w:rStyle w:val="Hyperlink"/>
          </w:rPr>
          <w:t>NMPG Country Update – FR France</w:t>
        </w:r>
        <w:r w:rsidR="00CE5BD5">
          <w:rPr>
            <w:webHidden/>
          </w:rPr>
          <w:tab/>
        </w:r>
        <w:r w:rsidR="00CE5BD5">
          <w:rPr>
            <w:webHidden/>
          </w:rPr>
          <w:fldChar w:fldCharType="begin"/>
        </w:r>
        <w:r w:rsidR="00CE5BD5">
          <w:rPr>
            <w:webHidden/>
          </w:rPr>
          <w:instrText xml:space="preserve"> PAGEREF _Toc484589028 \h </w:instrText>
        </w:r>
        <w:r w:rsidR="00CE5BD5">
          <w:rPr>
            <w:webHidden/>
          </w:rPr>
        </w:r>
        <w:r w:rsidR="00CE5BD5">
          <w:rPr>
            <w:webHidden/>
          </w:rPr>
          <w:fldChar w:fldCharType="separate"/>
        </w:r>
        <w:r w:rsidR="00CE5BD5">
          <w:rPr>
            <w:webHidden/>
          </w:rPr>
          <w:t>12</w:t>
        </w:r>
        <w:r w:rsidR="00CE5BD5">
          <w:rPr>
            <w:webHidden/>
          </w:rPr>
          <w:fldChar w:fldCharType="end"/>
        </w:r>
      </w:hyperlink>
    </w:p>
    <w:p w:rsidR="00CE5BD5" w:rsidRDefault="00523F7E">
      <w:pPr>
        <w:pStyle w:val="TOC1"/>
        <w:rPr>
          <w:rFonts w:eastAsiaTheme="minorEastAsia" w:cstheme="minorBidi"/>
          <w:sz w:val="22"/>
          <w:lang w:eastAsia="en-GB"/>
        </w:rPr>
      </w:pPr>
      <w:hyperlink w:anchor="_Toc484589029" w:history="1">
        <w:r w:rsidR="00CE5BD5" w:rsidRPr="004C0636">
          <w:rPr>
            <w:rStyle w:val="Hyperlink"/>
          </w:rPr>
          <w:t>9</w:t>
        </w:r>
        <w:r w:rsidR="00CE5BD5">
          <w:rPr>
            <w:rFonts w:eastAsiaTheme="minorEastAsia" w:cstheme="minorBidi"/>
            <w:sz w:val="22"/>
            <w:lang w:eastAsia="en-GB"/>
          </w:rPr>
          <w:tab/>
        </w:r>
        <w:r w:rsidR="00CE5BD5" w:rsidRPr="004C0636">
          <w:rPr>
            <w:rStyle w:val="Hyperlink"/>
          </w:rPr>
          <w:t>NMPG Country Update – IT Italy</w:t>
        </w:r>
        <w:r w:rsidR="00CE5BD5">
          <w:rPr>
            <w:webHidden/>
          </w:rPr>
          <w:tab/>
        </w:r>
        <w:r w:rsidR="00CE5BD5">
          <w:rPr>
            <w:webHidden/>
          </w:rPr>
          <w:fldChar w:fldCharType="begin"/>
        </w:r>
        <w:r w:rsidR="00CE5BD5">
          <w:rPr>
            <w:webHidden/>
          </w:rPr>
          <w:instrText xml:space="preserve"> PAGEREF _Toc484589029 \h </w:instrText>
        </w:r>
        <w:r w:rsidR="00CE5BD5">
          <w:rPr>
            <w:webHidden/>
          </w:rPr>
        </w:r>
        <w:r w:rsidR="00CE5BD5">
          <w:rPr>
            <w:webHidden/>
          </w:rPr>
          <w:fldChar w:fldCharType="separate"/>
        </w:r>
        <w:r w:rsidR="00CE5BD5">
          <w:rPr>
            <w:webHidden/>
          </w:rPr>
          <w:t>12</w:t>
        </w:r>
        <w:r w:rsidR="00CE5BD5">
          <w:rPr>
            <w:webHidden/>
          </w:rPr>
          <w:fldChar w:fldCharType="end"/>
        </w:r>
      </w:hyperlink>
    </w:p>
    <w:p w:rsidR="00CE5BD5" w:rsidRDefault="00523F7E">
      <w:pPr>
        <w:pStyle w:val="TOC1"/>
        <w:rPr>
          <w:rFonts w:eastAsiaTheme="minorEastAsia" w:cstheme="minorBidi"/>
          <w:sz w:val="22"/>
          <w:lang w:eastAsia="en-GB"/>
        </w:rPr>
      </w:pPr>
      <w:hyperlink w:anchor="_Toc484589030" w:history="1">
        <w:r w:rsidR="00CE5BD5" w:rsidRPr="004C0636">
          <w:rPr>
            <w:rStyle w:val="Hyperlink"/>
          </w:rPr>
          <w:t>10</w:t>
        </w:r>
        <w:r w:rsidR="00CE5BD5">
          <w:rPr>
            <w:rFonts w:eastAsiaTheme="minorEastAsia" w:cstheme="minorBidi"/>
            <w:sz w:val="22"/>
            <w:lang w:eastAsia="en-GB"/>
          </w:rPr>
          <w:tab/>
        </w:r>
        <w:r w:rsidR="00CE5BD5" w:rsidRPr="004C0636">
          <w:rPr>
            <w:rStyle w:val="Hyperlink"/>
          </w:rPr>
          <w:t>NMPG Country Update – GB United Kingdom</w:t>
        </w:r>
        <w:r w:rsidR="00CE5BD5">
          <w:rPr>
            <w:webHidden/>
          </w:rPr>
          <w:tab/>
        </w:r>
        <w:r w:rsidR="00CE5BD5">
          <w:rPr>
            <w:webHidden/>
          </w:rPr>
          <w:fldChar w:fldCharType="begin"/>
        </w:r>
        <w:r w:rsidR="00CE5BD5">
          <w:rPr>
            <w:webHidden/>
          </w:rPr>
          <w:instrText xml:space="preserve"> PAGEREF _Toc484589030 \h </w:instrText>
        </w:r>
        <w:r w:rsidR="00CE5BD5">
          <w:rPr>
            <w:webHidden/>
          </w:rPr>
        </w:r>
        <w:r w:rsidR="00CE5BD5">
          <w:rPr>
            <w:webHidden/>
          </w:rPr>
          <w:fldChar w:fldCharType="separate"/>
        </w:r>
        <w:r w:rsidR="00CE5BD5">
          <w:rPr>
            <w:webHidden/>
          </w:rPr>
          <w:t>15</w:t>
        </w:r>
        <w:r w:rsidR="00CE5BD5">
          <w:rPr>
            <w:webHidden/>
          </w:rPr>
          <w:fldChar w:fldCharType="end"/>
        </w:r>
      </w:hyperlink>
    </w:p>
    <w:p w:rsidR="00CE5BD5" w:rsidRDefault="00523F7E">
      <w:pPr>
        <w:pStyle w:val="TOC1"/>
        <w:rPr>
          <w:rFonts w:eastAsiaTheme="minorEastAsia" w:cstheme="minorBidi"/>
          <w:sz w:val="22"/>
          <w:lang w:eastAsia="en-GB"/>
        </w:rPr>
      </w:pPr>
      <w:hyperlink w:anchor="_Toc484589031" w:history="1">
        <w:r w:rsidR="00CE5BD5" w:rsidRPr="004C0636">
          <w:rPr>
            <w:rStyle w:val="Hyperlink"/>
          </w:rPr>
          <w:t>11</w:t>
        </w:r>
        <w:r w:rsidR="00CE5BD5">
          <w:rPr>
            <w:rFonts w:eastAsiaTheme="minorEastAsia" w:cstheme="minorBidi"/>
            <w:sz w:val="22"/>
            <w:lang w:eastAsia="en-GB"/>
          </w:rPr>
          <w:tab/>
        </w:r>
        <w:r w:rsidR="00CE5BD5" w:rsidRPr="004C0636">
          <w:rPr>
            <w:rStyle w:val="Hyperlink"/>
          </w:rPr>
          <w:t>NMPG Country Update – NO Norway</w:t>
        </w:r>
        <w:r w:rsidR="00CE5BD5">
          <w:rPr>
            <w:webHidden/>
          </w:rPr>
          <w:tab/>
        </w:r>
        <w:r w:rsidR="00CE5BD5">
          <w:rPr>
            <w:webHidden/>
          </w:rPr>
          <w:fldChar w:fldCharType="begin"/>
        </w:r>
        <w:r w:rsidR="00CE5BD5">
          <w:rPr>
            <w:webHidden/>
          </w:rPr>
          <w:instrText xml:space="preserve"> PAGEREF _Toc484589031 \h </w:instrText>
        </w:r>
        <w:r w:rsidR="00CE5BD5">
          <w:rPr>
            <w:webHidden/>
          </w:rPr>
        </w:r>
        <w:r w:rsidR="00CE5BD5">
          <w:rPr>
            <w:webHidden/>
          </w:rPr>
          <w:fldChar w:fldCharType="separate"/>
        </w:r>
        <w:r w:rsidR="00CE5BD5">
          <w:rPr>
            <w:webHidden/>
          </w:rPr>
          <w:t>17</w:t>
        </w:r>
        <w:r w:rsidR="00CE5BD5">
          <w:rPr>
            <w:webHidden/>
          </w:rPr>
          <w:fldChar w:fldCharType="end"/>
        </w:r>
      </w:hyperlink>
    </w:p>
    <w:p w:rsidR="00CE5BD5" w:rsidRDefault="00523F7E">
      <w:pPr>
        <w:pStyle w:val="TOC1"/>
        <w:rPr>
          <w:rFonts w:eastAsiaTheme="minorEastAsia" w:cstheme="minorBidi"/>
          <w:sz w:val="22"/>
          <w:lang w:eastAsia="en-GB"/>
        </w:rPr>
      </w:pPr>
      <w:hyperlink w:anchor="_Toc484589032" w:history="1">
        <w:r w:rsidR="00CE5BD5" w:rsidRPr="004C0636">
          <w:rPr>
            <w:rStyle w:val="Hyperlink"/>
          </w:rPr>
          <w:t>12</w:t>
        </w:r>
        <w:r w:rsidR="00CE5BD5">
          <w:rPr>
            <w:rFonts w:eastAsiaTheme="minorEastAsia" w:cstheme="minorBidi"/>
            <w:sz w:val="22"/>
            <w:lang w:eastAsia="en-GB"/>
          </w:rPr>
          <w:tab/>
        </w:r>
        <w:r w:rsidR="00CE5BD5" w:rsidRPr="004C0636">
          <w:rPr>
            <w:rStyle w:val="Hyperlink"/>
          </w:rPr>
          <w:t>NMPG Country Update – XS Euroclear</w:t>
        </w:r>
        <w:r w:rsidR="00CE5BD5">
          <w:rPr>
            <w:webHidden/>
          </w:rPr>
          <w:tab/>
        </w:r>
        <w:r w:rsidR="00CE5BD5">
          <w:rPr>
            <w:webHidden/>
          </w:rPr>
          <w:fldChar w:fldCharType="begin"/>
        </w:r>
        <w:r w:rsidR="00CE5BD5">
          <w:rPr>
            <w:webHidden/>
          </w:rPr>
          <w:instrText xml:space="preserve"> PAGEREF _Toc484589032 \h </w:instrText>
        </w:r>
        <w:r w:rsidR="00CE5BD5">
          <w:rPr>
            <w:webHidden/>
          </w:rPr>
        </w:r>
        <w:r w:rsidR="00CE5BD5">
          <w:rPr>
            <w:webHidden/>
          </w:rPr>
          <w:fldChar w:fldCharType="separate"/>
        </w:r>
        <w:r w:rsidR="00CE5BD5">
          <w:rPr>
            <w:webHidden/>
          </w:rPr>
          <w:t>19</w:t>
        </w:r>
        <w:r w:rsidR="00CE5BD5">
          <w:rPr>
            <w:webHidden/>
          </w:rPr>
          <w:fldChar w:fldCharType="end"/>
        </w:r>
      </w:hyperlink>
    </w:p>
    <w:p w:rsidR="00CE5BD5" w:rsidRDefault="00523F7E">
      <w:pPr>
        <w:pStyle w:val="TOC1"/>
        <w:rPr>
          <w:rFonts w:eastAsiaTheme="minorEastAsia" w:cstheme="minorBidi"/>
          <w:sz w:val="22"/>
          <w:lang w:eastAsia="en-GB"/>
        </w:rPr>
      </w:pPr>
      <w:hyperlink w:anchor="_Toc484589033" w:history="1">
        <w:r w:rsidR="00CE5BD5" w:rsidRPr="004C0636">
          <w:rPr>
            <w:rStyle w:val="Hyperlink"/>
          </w:rPr>
          <w:t>13</w:t>
        </w:r>
        <w:r w:rsidR="00CE5BD5">
          <w:rPr>
            <w:rFonts w:eastAsiaTheme="minorEastAsia" w:cstheme="minorBidi"/>
            <w:sz w:val="22"/>
            <w:lang w:eastAsia="en-GB"/>
          </w:rPr>
          <w:tab/>
        </w:r>
        <w:r w:rsidR="00CE5BD5" w:rsidRPr="004C0636">
          <w:rPr>
            <w:rStyle w:val="Hyperlink"/>
          </w:rPr>
          <w:t>Impact of MiFID</w:t>
        </w:r>
        <w:r w:rsidR="00CE5BD5">
          <w:rPr>
            <w:webHidden/>
          </w:rPr>
          <w:tab/>
        </w:r>
        <w:r w:rsidR="00CE5BD5">
          <w:rPr>
            <w:webHidden/>
          </w:rPr>
          <w:fldChar w:fldCharType="begin"/>
        </w:r>
        <w:r w:rsidR="00CE5BD5">
          <w:rPr>
            <w:webHidden/>
          </w:rPr>
          <w:instrText xml:space="preserve"> PAGEREF _Toc484589033 \h </w:instrText>
        </w:r>
        <w:r w:rsidR="00CE5BD5">
          <w:rPr>
            <w:webHidden/>
          </w:rPr>
        </w:r>
        <w:r w:rsidR="00CE5BD5">
          <w:rPr>
            <w:webHidden/>
          </w:rPr>
          <w:fldChar w:fldCharType="separate"/>
        </w:r>
        <w:r w:rsidR="00CE5BD5">
          <w:rPr>
            <w:webHidden/>
          </w:rPr>
          <w:t>19</w:t>
        </w:r>
        <w:r w:rsidR="00CE5BD5">
          <w:rPr>
            <w:webHidden/>
          </w:rPr>
          <w:fldChar w:fldCharType="end"/>
        </w:r>
      </w:hyperlink>
    </w:p>
    <w:p w:rsidR="00CE5BD5" w:rsidRDefault="00523F7E">
      <w:pPr>
        <w:pStyle w:val="TOC1"/>
        <w:rPr>
          <w:rFonts w:eastAsiaTheme="minorEastAsia" w:cstheme="minorBidi"/>
          <w:sz w:val="22"/>
          <w:lang w:eastAsia="en-GB"/>
        </w:rPr>
      </w:pPr>
      <w:hyperlink w:anchor="_Toc484589034" w:history="1">
        <w:r w:rsidR="00CE5BD5" w:rsidRPr="004C0636">
          <w:rPr>
            <w:rStyle w:val="Hyperlink"/>
          </w:rPr>
          <w:t>14</w:t>
        </w:r>
        <w:r w:rsidR="00CE5BD5">
          <w:rPr>
            <w:rFonts w:eastAsiaTheme="minorEastAsia" w:cstheme="minorBidi"/>
            <w:sz w:val="22"/>
            <w:lang w:eastAsia="en-GB"/>
          </w:rPr>
          <w:tab/>
        </w:r>
        <w:r w:rsidR="00CE5BD5" w:rsidRPr="004C0636">
          <w:rPr>
            <w:rStyle w:val="Hyperlink"/>
          </w:rPr>
          <w:t>Order Market Practice</w:t>
        </w:r>
        <w:r w:rsidR="00CE5BD5">
          <w:rPr>
            <w:webHidden/>
          </w:rPr>
          <w:tab/>
        </w:r>
        <w:r w:rsidR="00CE5BD5">
          <w:rPr>
            <w:webHidden/>
          </w:rPr>
          <w:fldChar w:fldCharType="begin"/>
        </w:r>
        <w:r w:rsidR="00CE5BD5">
          <w:rPr>
            <w:webHidden/>
          </w:rPr>
          <w:instrText xml:space="preserve"> PAGEREF _Toc484589034 \h </w:instrText>
        </w:r>
        <w:r w:rsidR="00CE5BD5">
          <w:rPr>
            <w:webHidden/>
          </w:rPr>
        </w:r>
        <w:r w:rsidR="00CE5BD5">
          <w:rPr>
            <w:webHidden/>
          </w:rPr>
          <w:fldChar w:fldCharType="separate"/>
        </w:r>
        <w:r w:rsidR="00CE5BD5">
          <w:rPr>
            <w:webHidden/>
          </w:rPr>
          <w:t>20</w:t>
        </w:r>
        <w:r w:rsidR="00CE5BD5">
          <w:rPr>
            <w:webHidden/>
          </w:rPr>
          <w:fldChar w:fldCharType="end"/>
        </w:r>
      </w:hyperlink>
    </w:p>
    <w:p w:rsidR="00CE5BD5" w:rsidRDefault="00523F7E">
      <w:pPr>
        <w:pStyle w:val="TOC1"/>
        <w:rPr>
          <w:rFonts w:eastAsiaTheme="minorEastAsia" w:cstheme="minorBidi"/>
          <w:sz w:val="22"/>
          <w:lang w:eastAsia="en-GB"/>
        </w:rPr>
      </w:pPr>
      <w:hyperlink w:anchor="_Toc484589035" w:history="1">
        <w:r w:rsidR="00CE5BD5" w:rsidRPr="004C0636">
          <w:rPr>
            <w:rStyle w:val="Hyperlink"/>
          </w:rPr>
          <w:t>15</w:t>
        </w:r>
        <w:r w:rsidR="00CE5BD5">
          <w:rPr>
            <w:rFonts w:eastAsiaTheme="minorEastAsia" w:cstheme="minorBidi"/>
            <w:sz w:val="22"/>
            <w:lang w:eastAsia="en-GB"/>
          </w:rPr>
          <w:tab/>
        </w:r>
        <w:r w:rsidR="00CE5BD5" w:rsidRPr="004C0636">
          <w:rPr>
            <w:rStyle w:val="Hyperlink"/>
          </w:rPr>
          <w:t>Account Management Market Practice</w:t>
        </w:r>
        <w:r w:rsidR="00CE5BD5">
          <w:rPr>
            <w:webHidden/>
          </w:rPr>
          <w:tab/>
        </w:r>
        <w:r w:rsidR="00CE5BD5">
          <w:rPr>
            <w:webHidden/>
          </w:rPr>
          <w:fldChar w:fldCharType="begin"/>
        </w:r>
        <w:r w:rsidR="00CE5BD5">
          <w:rPr>
            <w:webHidden/>
          </w:rPr>
          <w:instrText xml:space="preserve"> PAGEREF _Toc484589035 \h </w:instrText>
        </w:r>
        <w:r w:rsidR="00CE5BD5">
          <w:rPr>
            <w:webHidden/>
          </w:rPr>
        </w:r>
        <w:r w:rsidR="00CE5BD5">
          <w:rPr>
            <w:webHidden/>
          </w:rPr>
          <w:fldChar w:fldCharType="separate"/>
        </w:r>
        <w:r w:rsidR="00CE5BD5">
          <w:rPr>
            <w:webHidden/>
          </w:rPr>
          <w:t>24</w:t>
        </w:r>
        <w:r w:rsidR="00CE5BD5">
          <w:rPr>
            <w:webHidden/>
          </w:rPr>
          <w:fldChar w:fldCharType="end"/>
        </w:r>
      </w:hyperlink>
    </w:p>
    <w:p w:rsidR="00CE5BD5" w:rsidRDefault="00523F7E">
      <w:pPr>
        <w:pStyle w:val="TOC1"/>
        <w:rPr>
          <w:rFonts w:eastAsiaTheme="minorEastAsia" w:cstheme="minorBidi"/>
          <w:sz w:val="22"/>
          <w:lang w:eastAsia="en-GB"/>
        </w:rPr>
      </w:pPr>
      <w:hyperlink w:anchor="_Toc484589036" w:history="1">
        <w:r w:rsidR="00CE5BD5" w:rsidRPr="004C0636">
          <w:rPr>
            <w:rStyle w:val="Hyperlink"/>
          </w:rPr>
          <w:t>16</w:t>
        </w:r>
        <w:r w:rsidR="00CE5BD5">
          <w:rPr>
            <w:rFonts w:eastAsiaTheme="minorEastAsia" w:cstheme="minorBidi"/>
            <w:sz w:val="22"/>
            <w:lang w:eastAsia="en-GB"/>
          </w:rPr>
          <w:tab/>
        </w:r>
        <w:r w:rsidR="00CE5BD5" w:rsidRPr="004C0636">
          <w:rPr>
            <w:rStyle w:val="Hyperlink"/>
          </w:rPr>
          <w:t>Holdings Statements</w:t>
        </w:r>
        <w:r w:rsidR="00CE5BD5">
          <w:rPr>
            <w:webHidden/>
          </w:rPr>
          <w:tab/>
        </w:r>
        <w:r w:rsidR="00CE5BD5">
          <w:rPr>
            <w:webHidden/>
          </w:rPr>
          <w:fldChar w:fldCharType="begin"/>
        </w:r>
        <w:r w:rsidR="00CE5BD5">
          <w:rPr>
            <w:webHidden/>
          </w:rPr>
          <w:instrText xml:space="preserve"> PAGEREF _Toc484589036 \h </w:instrText>
        </w:r>
        <w:r w:rsidR="00CE5BD5">
          <w:rPr>
            <w:webHidden/>
          </w:rPr>
        </w:r>
        <w:r w:rsidR="00CE5BD5">
          <w:rPr>
            <w:webHidden/>
          </w:rPr>
          <w:fldChar w:fldCharType="separate"/>
        </w:r>
        <w:r w:rsidR="00CE5BD5">
          <w:rPr>
            <w:webHidden/>
          </w:rPr>
          <w:t>24</w:t>
        </w:r>
        <w:r w:rsidR="00CE5BD5">
          <w:rPr>
            <w:webHidden/>
          </w:rPr>
          <w:fldChar w:fldCharType="end"/>
        </w:r>
      </w:hyperlink>
    </w:p>
    <w:p w:rsidR="00CE5BD5" w:rsidRDefault="00523F7E">
      <w:pPr>
        <w:pStyle w:val="TOC1"/>
        <w:rPr>
          <w:rFonts w:eastAsiaTheme="minorEastAsia" w:cstheme="minorBidi"/>
          <w:sz w:val="22"/>
          <w:lang w:eastAsia="en-GB"/>
        </w:rPr>
      </w:pPr>
      <w:hyperlink w:anchor="_Toc484589037" w:history="1">
        <w:r w:rsidR="00CE5BD5" w:rsidRPr="004C0636">
          <w:rPr>
            <w:rStyle w:val="Hyperlink"/>
          </w:rPr>
          <w:t>17</w:t>
        </w:r>
        <w:r w:rsidR="00CE5BD5">
          <w:rPr>
            <w:rFonts w:eastAsiaTheme="minorEastAsia" w:cstheme="minorBidi"/>
            <w:sz w:val="22"/>
            <w:lang w:eastAsia="en-GB"/>
          </w:rPr>
          <w:tab/>
        </w:r>
        <w:r w:rsidR="00CE5BD5" w:rsidRPr="004C0636">
          <w:rPr>
            <w:rStyle w:val="Hyperlink"/>
          </w:rPr>
          <w:t>Statement of Transactions</w:t>
        </w:r>
        <w:r w:rsidR="00CE5BD5">
          <w:rPr>
            <w:webHidden/>
          </w:rPr>
          <w:tab/>
        </w:r>
        <w:r w:rsidR="00CE5BD5">
          <w:rPr>
            <w:webHidden/>
          </w:rPr>
          <w:fldChar w:fldCharType="begin"/>
        </w:r>
        <w:r w:rsidR="00CE5BD5">
          <w:rPr>
            <w:webHidden/>
          </w:rPr>
          <w:instrText xml:space="preserve"> PAGEREF _Toc484589037 \h </w:instrText>
        </w:r>
        <w:r w:rsidR="00CE5BD5">
          <w:rPr>
            <w:webHidden/>
          </w:rPr>
        </w:r>
        <w:r w:rsidR="00CE5BD5">
          <w:rPr>
            <w:webHidden/>
          </w:rPr>
          <w:fldChar w:fldCharType="separate"/>
        </w:r>
        <w:r w:rsidR="00CE5BD5">
          <w:rPr>
            <w:webHidden/>
          </w:rPr>
          <w:t>25</w:t>
        </w:r>
        <w:r w:rsidR="00CE5BD5">
          <w:rPr>
            <w:webHidden/>
          </w:rPr>
          <w:fldChar w:fldCharType="end"/>
        </w:r>
      </w:hyperlink>
    </w:p>
    <w:p w:rsidR="00CE5BD5" w:rsidRDefault="00523F7E">
      <w:pPr>
        <w:pStyle w:val="TOC1"/>
        <w:rPr>
          <w:rFonts w:eastAsiaTheme="minorEastAsia" w:cstheme="minorBidi"/>
          <w:sz w:val="22"/>
          <w:lang w:eastAsia="en-GB"/>
        </w:rPr>
      </w:pPr>
      <w:hyperlink w:anchor="_Toc484589038" w:history="1">
        <w:r w:rsidR="00CE5BD5" w:rsidRPr="004C0636">
          <w:rPr>
            <w:rStyle w:val="Hyperlink"/>
          </w:rPr>
          <w:t>18</w:t>
        </w:r>
        <w:r w:rsidR="00CE5BD5">
          <w:rPr>
            <w:rFonts w:eastAsiaTheme="minorEastAsia" w:cstheme="minorBidi"/>
            <w:sz w:val="22"/>
            <w:lang w:eastAsia="en-GB"/>
          </w:rPr>
          <w:tab/>
        </w:r>
        <w:r w:rsidR="00CE5BD5" w:rsidRPr="004C0636">
          <w:rPr>
            <w:rStyle w:val="Hyperlink"/>
          </w:rPr>
          <w:t>Transfers</w:t>
        </w:r>
        <w:r w:rsidR="00CE5BD5">
          <w:rPr>
            <w:webHidden/>
          </w:rPr>
          <w:tab/>
        </w:r>
        <w:r w:rsidR="00CE5BD5">
          <w:rPr>
            <w:webHidden/>
          </w:rPr>
          <w:fldChar w:fldCharType="begin"/>
        </w:r>
        <w:r w:rsidR="00CE5BD5">
          <w:rPr>
            <w:webHidden/>
          </w:rPr>
          <w:instrText xml:space="preserve"> PAGEREF _Toc484589038 \h </w:instrText>
        </w:r>
        <w:r w:rsidR="00CE5BD5">
          <w:rPr>
            <w:webHidden/>
          </w:rPr>
        </w:r>
        <w:r w:rsidR="00CE5BD5">
          <w:rPr>
            <w:webHidden/>
          </w:rPr>
          <w:fldChar w:fldCharType="separate"/>
        </w:r>
        <w:r w:rsidR="00CE5BD5">
          <w:rPr>
            <w:webHidden/>
          </w:rPr>
          <w:t>25</w:t>
        </w:r>
        <w:r w:rsidR="00CE5BD5">
          <w:rPr>
            <w:webHidden/>
          </w:rPr>
          <w:fldChar w:fldCharType="end"/>
        </w:r>
      </w:hyperlink>
    </w:p>
    <w:p w:rsidR="00CE5BD5" w:rsidRDefault="00523F7E">
      <w:pPr>
        <w:pStyle w:val="TOC1"/>
        <w:rPr>
          <w:rFonts w:eastAsiaTheme="minorEastAsia" w:cstheme="minorBidi"/>
          <w:sz w:val="22"/>
          <w:lang w:eastAsia="en-GB"/>
        </w:rPr>
      </w:pPr>
      <w:hyperlink w:anchor="_Toc484589039" w:history="1">
        <w:r w:rsidR="00CE5BD5" w:rsidRPr="004C0636">
          <w:rPr>
            <w:rStyle w:val="Hyperlink"/>
          </w:rPr>
          <w:t>19</w:t>
        </w:r>
        <w:r w:rsidR="00CE5BD5">
          <w:rPr>
            <w:rFonts w:eastAsiaTheme="minorEastAsia" w:cstheme="minorBidi"/>
            <w:sz w:val="22"/>
            <w:lang w:eastAsia="en-GB"/>
          </w:rPr>
          <w:tab/>
        </w:r>
        <w:r w:rsidR="00CE5BD5" w:rsidRPr="004C0636">
          <w:rPr>
            <w:rStyle w:val="Hyperlink"/>
          </w:rPr>
          <w:t>Application Header v Business Application Header</w:t>
        </w:r>
        <w:r w:rsidR="00CE5BD5">
          <w:rPr>
            <w:webHidden/>
          </w:rPr>
          <w:tab/>
        </w:r>
        <w:r w:rsidR="00CE5BD5">
          <w:rPr>
            <w:webHidden/>
          </w:rPr>
          <w:fldChar w:fldCharType="begin"/>
        </w:r>
        <w:r w:rsidR="00CE5BD5">
          <w:rPr>
            <w:webHidden/>
          </w:rPr>
          <w:instrText xml:space="preserve"> PAGEREF _Toc484589039 \h </w:instrText>
        </w:r>
        <w:r w:rsidR="00CE5BD5">
          <w:rPr>
            <w:webHidden/>
          </w:rPr>
        </w:r>
        <w:r w:rsidR="00CE5BD5">
          <w:rPr>
            <w:webHidden/>
          </w:rPr>
          <w:fldChar w:fldCharType="separate"/>
        </w:r>
        <w:r w:rsidR="00CE5BD5">
          <w:rPr>
            <w:webHidden/>
          </w:rPr>
          <w:t>26</w:t>
        </w:r>
        <w:r w:rsidR="00CE5BD5">
          <w:rPr>
            <w:webHidden/>
          </w:rPr>
          <w:fldChar w:fldCharType="end"/>
        </w:r>
      </w:hyperlink>
    </w:p>
    <w:p w:rsidR="00CE5BD5" w:rsidRDefault="00523F7E">
      <w:pPr>
        <w:pStyle w:val="TOC1"/>
        <w:rPr>
          <w:rFonts w:eastAsiaTheme="minorEastAsia" w:cstheme="minorBidi"/>
          <w:sz w:val="22"/>
          <w:lang w:eastAsia="en-GB"/>
        </w:rPr>
      </w:pPr>
      <w:hyperlink w:anchor="_Toc484589040" w:history="1">
        <w:r w:rsidR="00CE5BD5" w:rsidRPr="004C0636">
          <w:rPr>
            <w:rStyle w:val="Hyperlink"/>
          </w:rPr>
          <w:t>20</w:t>
        </w:r>
        <w:r w:rsidR="00CE5BD5">
          <w:rPr>
            <w:rFonts w:eastAsiaTheme="minorEastAsia" w:cstheme="minorBidi"/>
            <w:sz w:val="22"/>
            <w:lang w:eastAsia="en-GB"/>
          </w:rPr>
          <w:tab/>
        </w:r>
        <w:r w:rsidR="00CE5BD5" w:rsidRPr="004C0636">
          <w:rPr>
            <w:rStyle w:val="Hyperlink"/>
          </w:rPr>
          <w:t>Message Statistics</w:t>
        </w:r>
        <w:r w:rsidR="00CE5BD5">
          <w:rPr>
            <w:webHidden/>
          </w:rPr>
          <w:tab/>
        </w:r>
        <w:r w:rsidR="00CE5BD5">
          <w:rPr>
            <w:webHidden/>
          </w:rPr>
          <w:fldChar w:fldCharType="begin"/>
        </w:r>
        <w:r w:rsidR="00CE5BD5">
          <w:rPr>
            <w:webHidden/>
          </w:rPr>
          <w:instrText xml:space="preserve"> PAGEREF _Toc484589040 \h </w:instrText>
        </w:r>
        <w:r w:rsidR="00CE5BD5">
          <w:rPr>
            <w:webHidden/>
          </w:rPr>
        </w:r>
        <w:r w:rsidR="00CE5BD5">
          <w:rPr>
            <w:webHidden/>
          </w:rPr>
          <w:fldChar w:fldCharType="separate"/>
        </w:r>
        <w:r w:rsidR="00CE5BD5">
          <w:rPr>
            <w:webHidden/>
          </w:rPr>
          <w:t>26</w:t>
        </w:r>
        <w:r w:rsidR="00CE5BD5">
          <w:rPr>
            <w:webHidden/>
          </w:rPr>
          <w:fldChar w:fldCharType="end"/>
        </w:r>
      </w:hyperlink>
    </w:p>
    <w:p w:rsidR="00CE5BD5" w:rsidRDefault="00523F7E">
      <w:pPr>
        <w:pStyle w:val="TOC1"/>
        <w:rPr>
          <w:rFonts w:eastAsiaTheme="minorEastAsia" w:cstheme="minorBidi"/>
          <w:sz w:val="22"/>
          <w:lang w:eastAsia="en-GB"/>
        </w:rPr>
      </w:pPr>
      <w:hyperlink w:anchor="_Toc484589041" w:history="1">
        <w:r w:rsidR="00CE5BD5" w:rsidRPr="004C0636">
          <w:rPr>
            <w:rStyle w:val="Hyperlink"/>
          </w:rPr>
          <w:t>21</w:t>
        </w:r>
        <w:r w:rsidR="00CE5BD5">
          <w:rPr>
            <w:rFonts w:eastAsiaTheme="minorEastAsia" w:cstheme="minorBidi"/>
            <w:sz w:val="22"/>
            <w:lang w:eastAsia="en-GB"/>
          </w:rPr>
          <w:tab/>
        </w:r>
        <w:r w:rsidR="00CE5BD5" w:rsidRPr="004C0636">
          <w:rPr>
            <w:rStyle w:val="Hyperlink"/>
          </w:rPr>
          <w:t>Working Group Co-chair Positions</w:t>
        </w:r>
        <w:r w:rsidR="00CE5BD5">
          <w:rPr>
            <w:webHidden/>
          </w:rPr>
          <w:tab/>
        </w:r>
        <w:r w:rsidR="00CE5BD5">
          <w:rPr>
            <w:webHidden/>
          </w:rPr>
          <w:fldChar w:fldCharType="begin"/>
        </w:r>
        <w:r w:rsidR="00CE5BD5">
          <w:rPr>
            <w:webHidden/>
          </w:rPr>
          <w:instrText xml:space="preserve"> PAGEREF _Toc484589041 \h </w:instrText>
        </w:r>
        <w:r w:rsidR="00CE5BD5">
          <w:rPr>
            <w:webHidden/>
          </w:rPr>
        </w:r>
        <w:r w:rsidR="00CE5BD5">
          <w:rPr>
            <w:webHidden/>
          </w:rPr>
          <w:fldChar w:fldCharType="separate"/>
        </w:r>
        <w:r w:rsidR="00CE5BD5">
          <w:rPr>
            <w:webHidden/>
          </w:rPr>
          <w:t>26</w:t>
        </w:r>
        <w:r w:rsidR="00CE5BD5">
          <w:rPr>
            <w:webHidden/>
          </w:rPr>
          <w:fldChar w:fldCharType="end"/>
        </w:r>
      </w:hyperlink>
    </w:p>
    <w:p w:rsidR="00CE5BD5" w:rsidRDefault="00523F7E">
      <w:pPr>
        <w:pStyle w:val="TOC1"/>
        <w:rPr>
          <w:rFonts w:eastAsiaTheme="minorEastAsia" w:cstheme="minorBidi"/>
          <w:sz w:val="22"/>
          <w:lang w:eastAsia="en-GB"/>
        </w:rPr>
      </w:pPr>
      <w:hyperlink w:anchor="_Toc484589042" w:history="1">
        <w:r w:rsidR="00CE5BD5" w:rsidRPr="004C0636">
          <w:rPr>
            <w:rStyle w:val="Hyperlink"/>
          </w:rPr>
          <w:t>22</w:t>
        </w:r>
        <w:r w:rsidR="00CE5BD5">
          <w:rPr>
            <w:rFonts w:eastAsiaTheme="minorEastAsia" w:cstheme="minorBidi"/>
            <w:sz w:val="22"/>
            <w:lang w:eastAsia="en-GB"/>
          </w:rPr>
          <w:tab/>
        </w:r>
        <w:r w:rsidR="00CE5BD5" w:rsidRPr="004C0636">
          <w:rPr>
            <w:rStyle w:val="Hyperlink"/>
          </w:rPr>
          <w:t>Monthly Meeting Schedule</w:t>
        </w:r>
        <w:r w:rsidR="00CE5BD5">
          <w:rPr>
            <w:webHidden/>
          </w:rPr>
          <w:tab/>
        </w:r>
        <w:r w:rsidR="00CE5BD5">
          <w:rPr>
            <w:webHidden/>
          </w:rPr>
          <w:fldChar w:fldCharType="begin"/>
        </w:r>
        <w:r w:rsidR="00CE5BD5">
          <w:rPr>
            <w:webHidden/>
          </w:rPr>
          <w:instrText xml:space="preserve"> PAGEREF _Toc484589042 \h </w:instrText>
        </w:r>
        <w:r w:rsidR="00CE5BD5">
          <w:rPr>
            <w:webHidden/>
          </w:rPr>
        </w:r>
        <w:r w:rsidR="00CE5BD5">
          <w:rPr>
            <w:webHidden/>
          </w:rPr>
          <w:fldChar w:fldCharType="separate"/>
        </w:r>
        <w:r w:rsidR="00CE5BD5">
          <w:rPr>
            <w:webHidden/>
          </w:rPr>
          <w:t>26</w:t>
        </w:r>
        <w:r w:rsidR="00CE5BD5">
          <w:rPr>
            <w:webHidden/>
          </w:rPr>
          <w:fldChar w:fldCharType="end"/>
        </w:r>
      </w:hyperlink>
    </w:p>
    <w:p w:rsidR="00CE5BD5" w:rsidRDefault="00523F7E">
      <w:pPr>
        <w:pStyle w:val="TOC1"/>
        <w:rPr>
          <w:rFonts w:eastAsiaTheme="minorEastAsia" w:cstheme="minorBidi"/>
          <w:sz w:val="22"/>
          <w:lang w:eastAsia="en-GB"/>
        </w:rPr>
      </w:pPr>
      <w:hyperlink w:anchor="_Toc484589043" w:history="1">
        <w:r w:rsidR="00CE5BD5" w:rsidRPr="004C0636">
          <w:rPr>
            <w:rStyle w:val="Hyperlink"/>
          </w:rPr>
          <w:t>23</w:t>
        </w:r>
        <w:r w:rsidR="00CE5BD5">
          <w:rPr>
            <w:rFonts w:eastAsiaTheme="minorEastAsia" w:cstheme="minorBidi"/>
            <w:sz w:val="22"/>
            <w:lang w:eastAsia="en-GB"/>
          </w:rPr>
          <w:tab/>
        </w:r>
        <w:r w:rsidR="00CE5BD5" w:rsidRPr="004C0636">
          <w:rPr>
            <w:rStyle w:val="Hyperlink"/>
          </w:rPr>
          <w:t>Action Items</w:t>
        </w:r>
        <w:r w:rsidR="00CE5BD5">
          <w:rPr>
            <w:webHidden/>
          </w:rPr>
          <w:tab/>
        </w:r>
        <w:r w:rsidR="00CE5BD5">
          <w:rPr>
            <w:webHidden/>
          </w:rPr>
          <w:fldChar w:fldCharType="begin"/>
        </w:r>
        <w:r w:rsidR="00CE5BD5">
          <w:rPr>
            <w:webHidden/>
          </w:rPr>
          <w:instrText xml:space="preserve"> PAGEREF _Toc484589043 \h </w:instrText>
        </w:r>
        <w:r w:rsidR="00CE5BD5">
          <w:rPr>
            <w:webHidden/>
          </w:rPr>
        </w:r>
        <w:r w:rsidR="00CE5BD5">
          <w:rPr>
            <w:webHidden/>
          </w:rPr>
          <w:fldChar w:fldCharType="separate"/>
        </w:r>
        <w:r w:rsidR="00CE5BD5">
          <w:rPr>
            <w:webHidden/>
          </w:rPr>
          <w:t>27</w:t>
        </w:r>
        <w:r w:rsidR="00CE5BD5">
          <w:rPr>
            <w:webHidden/>
          </w:rPr>
          <w:fldChar w:fldCharType="end"/>
        </w:r>
      </w:hyperlink>
    </w:p>
    <w:p w:rsidR="00CE5BD5" w:rsidRDefault="00523F7E">
      <w:pPr>
        <w:pStyle w:val="TOC1"/>
        <w:rPr>
          <w:rFonts w:eastAsiaTheme="minorEastAsia" w:cstheme="minorBidi"/>
          <w:sz w:val="22"/>
          <w:lang w:eastAsia="en-GB"/>
        </w:rPr>
      </w:pPr>
      <w:hyperlink w:anchor="_Toc484589044" w:history="1">
        <w:r w:rsidR="00CE5BD5" w:rsidRPr="004C0636">
          <w:rPr>
            <w:rStyle w:val="Hyperlink"/>
          </w:rPr>
          <w:t>24</w:t>
        </w:r>
        <w:r w:rsidR="00CE5BD5">
          <w:rPr>
            <w:rFonts w:eastAsiaTheme="minorEastAsia" w:cstheme="minorBidi"/>
            <w:sz w:val="22"/>
            <w:lang w:eastAsia="en-GB"/>
          </w:rPr>
          <w:tab/>
        </w:r>
        <w:r w:rsidR="00CE5BD5" w:rsidRPr="004C0636">
          <w:rPr>
            <w:rStyle w:val="Hyperlink"/>
          </w:rPr>
          <w:t>Priorities</w:t>
        </w:r>
        <w:r w:rsidR="00CE5BD5">
          <w:rPr>
            <w:webHidden/>
          </w:rPr>
          <w:tab/>
        </w:r>
        <w:r w:rsidR="00CE5BD5">
          <w:rPr>
            <w:webHidden/>
          </w:rPr>
          <w:fldChar w:fldCharType="begin"/>
        </w:r>
        <w:r w:rsidR="00CE5BD5">
          <w:rPr>
            <w:webHidden/>
          </w:rPr>
          <w:instrText xml:space="preserve"> PAGEREF _Toc484589044 \h </w:instrText>
        </w:r>
        <w:r w:rsidR="00CE5BD5">
          <w:rPr>
            <w:webHidden/>
          </w:rPr>
        </w:r>
        <w:r w:rsidR="00CE5BD5">
          <w:rPr>
            <w:webHidden/>
          </w:rPr>
          <w:fldChar w:fldCharType="separate"/>
        </w:r>
        <w:r w:rsidR="00CE5BD5">
          <w:rPr>
            <w:webHidden/>
          </w:rPr>
          <w:t>27</w:t>
        </w:r>
        <w:r w:rsidR="00CE5BD5">
          <w:rPr>
            <w:webHidden/>
          </w:rPr>
          <w:fldChar w:fldCharType="end"/>
        </w:r>
      </w:hyperlink>
    </w:p>
    <w:p w:rsidR="00CE5BD5" w:rsidRDefault="00523F7E">
      <w:pPr>
        <w:pStyle w:val="TOC1"/>
        <w:rPr>
          <w:rFonts w:eastAsiaTheme="minorEastAsia" w:cstheme="minorBidi"/>
          <w:sz w:val="22"/>
          <w:lang w:eastAsia="en-GB"/>
        </w:rPr>
      </w:pPr>
      <w:hyperlink w:anchor="_Toc484589045" w:history="1">
        <w:r w:rsidR="00CE5BD5" w:rsidRPr="004C0636">
          <w:rPr>
            <w:rStyle w:val="Hyperlink"/>
          </w:rPr>
          <w:t>25</w:t>
        </w:r>
        <w:r w:rsidR="00CE5BD5">
          <w:rPr>
            <w:rFonts w:eastAsiaTheme="minorEastAsia" w:cstheme="minorBidi"/>
            <w:sz w:val="22"/>
            <w:lang w:eastAsia="en-GB"/>
          </w:rPr>
          <w:tab/>
        </w:r>
        <w:r w:rsidR="00CE5BD5" w:rsidRPr="004C0636">
          <w:rPr>
            <w:rStyle w:val="Hyperlink"/>
          </w:rPr>
          <w:t>Business Topics For Autumn Meetings - TBC</w:t>
        </w:r>
        <w:r w:rsidR="00CE5BD5">
          <w:rPr>
            <w:webHidden/>
          </w:rPr>
          <w:tab/>
        </w:r>
        <w:r w:rsidR="00CE5BD5">
          <w:rPr>
            <w:webHidden/>
          </w:rPr>
          <w:fldChar w:fldCharType="begin"/>
        </w:r>
        <w:r w:rsidR="00CE5BD5">
          <w:rPr>
            <w:webHidden/>
          </w:rPr>
          <w:instrText xml:space="preserve"> PAGEREF _Toc484589045 \h </w:instrText>
        </w:r>
        <w:r w:rsidR="00CE5BD5">
          <w:rPr>
            <w:webHidden/>
          </w:rPr>
        </w:r>
        <w:r w:rsidR="00CE5BD5">
          <w:rPr>
            <w:webHidden/>
          </w:rPr>
          <w:fldChar w:fldCharType="separate"/>
        </w:r>
        <w:r w:rsidR="00CE5BD5">
          <w:rPr>
            <w:webHidden/>
          </w:rPr>
          <w:t>27</w:t>
        </w:r>
        <w:r w:rsidR="00CE5BD5">
          <w:rPr>
            <w:webHidden/>
          </w:rPr>
          <w:fldChar w:fldCharType="end"/>
        </w:r>
      </w:hyperlink>
    </w:p>
    <w:p w:rsidR="00FA18EA" w:rsidRDefault="00165712" w:rsidP="000C37E8">
      <w:r>
        <w:rPr>
          <w:b/>
          <w:noProof/>
          <w:snapToGrid w:val="0"/>
          <w:sz w:val="20"/>
        </w:rPr>
        <w:fldChar w:fldCharType="end"/>
      </w:r>
    </w:p>
    <w:p w:rsidR="009544A7" w:rsidRDefault="009544A7" w:rsidP="009544A7">
      <w:pPr>
        <w:pStyle w:val="Heading1"/>
      </w:pPr>
      <w:bookmarkStart w:id="4" w:name="_Toc484589021"/>
      <w:bookmarkStart w:id="5" w:name="_Toc533501210"/>
      <w:r>
        <w:t>Attendees</w:t>
      </w:r>
      <w:bookmarkEnd w:id="4"/>
    </w:p>
    <w:tbl>
      <w:tblPr>
        <w:tblW w:w="8780" w:type="dxa"/>
        <w:jc w:val="center"/>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7"/>
        <w:gridCol w:w="1763"/>
        <w:gridCol w:w="3240"/>
        <w:gridCol w:w="2610"/>
        <w:gridCol w:w="580"/>
      </w:tblGrid>
      <w:tr w:rsidR="000B015D" w:rsidRPr="00D30D22" w:rsidTr="00044BAC">
        <w:trPr>
          <w:jc w:val="center"/>
        </w:trPr>
        <w:tc>
          <w:tcPr>
            <w:tcW w:w="587" w:type="dxa"/>
          </w:tcPr>
          <w:p w:rsidR="000B015D" w:rsidRDefault="00044BAC" w:rsidP="00044BAC">
            <w:pPr>
              <w:spacing w:before="20" w:after="20"/>
              <w:ind w:left="18"/>
            </w:pPr>
            <w:r>
              <w:t>1</w:t>
            </w:r>
          </w:p>
        </w:tc>
        <w:tc>
          <w:tcPr>
            <w:tcW w:w="1763" w:type="dxa"/>
          </w:tcPr>
          <w:p w:rsidR="000B015D" w:rsidRPr="00FB1FA5" w:rsidRDefault="000B015D" w:rsidP="00044BAC">
            <w:pPr>
              <w:spacing w:before="20" w:after="20"/>
              <w:ind w:left="0"/>
            </w:pPr>
            <w:r w:rsidRPr="00FB1FA5">
              <w:t>CH</w:t>
            </w:r>
          </w:p>
        </w:tc>
        <w:tc>
          <w:tcPr>
            <w:tcW w:w="3240" w:type="dxa"/>
            <w:vAlign w:val="center"/>
          </w:tcPr>
          <w:p w:rsidR="000B015D" w:rsidRPr="00FB1FA5" w:rsidRDefault="000B015D" w:rsidP="00044BAC">
            <w:pPr>
              <w:spacing w:before="20" w:after="20"/>
              <w:ind w:left="2"/>
            </w:pPr>
            <w:r w:rsidRPr="00FB1FA5">
              <w:t xml:space="preserve">Rainer </w:t>
            </w:r>
            <w:proofErr w:type="spellStart"/>
            <w:r w:rsidRPr="00FB1FA5">
              <w:t>Vogelgesang</w:t>
            </w:r>
            <w:proofErr w:type="spellEnd"/>
          </w:p>
        </w:tc>
        <w:tc>
          <w:tcPr>
            <w:tcW w:w="2610" w:type="dxa"/>
          </w:tcPr>
          <w:p w:rsidR="000B015D" w:rsidRPr="00FB1FA5" w:rsidRDefault="000B015D" w:rsidP="00044BAC">
            <w:pPr>
              <w:spacing w:before="20" w:after="20"/>
              <w:ind w:left="-29"/>
            </w:pPr>
            <w:r>
              <w:t>SIX Securities Services</w:t>
            </w:r>
          </w:p>
        </w:tc>
        <w:tc>
          <w:tcPr>
            <w:tcW w:w="580" w:type="dxa"/>
          </w:tcPr>
          <w:p w:rsidR="000B015D" w:rsidRDefault="000B015D" w:rsidP="00044BAC">
            <w:pPr>
              <w:spacing w:before="20" w:after="20"/>
              <w:ind w:left="-29"/>
            </w:pPr>
          </w:p>
        </w:tc>
      </w:tr>
      <w:tr w:rsidR="000B015D" w:rsidRPr="00D30D22" w:rsidTr="00044BAC">
        <w:trPr>
          <w:trHeight w:val="70"/>
          <w:jc w:val="center"/>
        </w:trPr>
        <w:tc>
          <w:tcPr>
            <w:tcW w:w="587" w:type="dxa"/>
          </w:tcPr>
          <w:p w:rsidR="000B015D" w:rsidRDefault="00044BAC" w:rsidP="00044BAC">
            <w:pPr>
              <w:spacing w:before="20" w:after="20"/>
              <w:ind w:left="18"/>
            </w:pPr>
            <w:r>
              <w:t>2</w:t>
            </w:r>
          </w:p>
        </w:tc>
        <w:tc>
          <w:tcPr>
            <w:tcW w:w="1763" w:type="dxa"/>
          </w:tcPr>
          <w:p w:rsidR="000B015D" w:rsidRDefault="000B015D" w:rsidP="00044BAC">
            <w:pPr>
              <w:spacing w:before="20" w:after="20"/>
              <w:ind w:left="0"/>
            </w:pPr>
            <w:r>
              <w:t>DK</w:t>
            </w:r>
          </w:p>
        </w:tc>
        <w:tc>
          <w:tcPr>
            <w:tcW w:w="3240" w:type="dxa"/>
          </w:tcPr>
          <w:p w:rsidR="000B015D" w:rsidRPr="00044BAC" w:rsidRDefault="000B015D" w:rsidP="000B015D">
            <w:pPr>
              <w:spacing w:before="20" w:after="20"/>
              <w:ind w:left="0"/>
              <w:rPr>
                <w:rFonts w:ascii="Calibri" w:hAnsi="Calibri" w:cs="Calibri"/>
                <w:bCs/>
                <w:sz w:val="20"/>
              </w:rPr>
            </w:pPr>
            <w:r w:rsidRPr="00044BAC">
              <w:rPr>
                <w:rFonts w:ascii="Calibri" w:hAnsi="Calibri" w:cs="Calibri"/>
                <w:bCs/>
                <w:sz w:val="20"/>
              </w:rPr>
              <w:t xml:space="preserve">Niels </w:t>
            </w:r>
            <w:proofErr w:type="spellStart"/>
            <w:r w:rsidRPr="00044BAC">
              <w:rPr>
                <w:rFonts w:ascii="Calibri" w:hAnsi="Calibri" w:cs="Calibri"/>
                <w:bCs/>
                <w:sz w:val="20"/>
              </w:rPr>
              <w:t>Hougaard</w:t>
            </w:r>
            <w:proofErr w:type="spellEnd"/>
          </w:p>
        </w:tc>
        <w:tc>
          <w:tcPr>
            <w:tcW w:w="2610" w:type="dxa"/>
          </w:tcPr>
          <w:p w:rsidR="000B015D" w:rsidRPr="00850736" w:rsidRDefault="000B015D" w:rsidP="00044BAC">
            <w:pPr>
              <w:spacing w:before="20" w:after="20"/>
              <w:ind w:left="0"/>
              <w:rPr>
                <w:rFonts w:ascii="Calibri" w:hAnsi="Calibri" w:cs="Calibri"/>
                <w:bCs/>
                <w:sz w:val="20"/>
              </w:rPr>
            </w:pPr>
            <w:r w:rsidRPr="00850736">
              <w:rPr>
                <w:rFonts w:ascii="Calibri" w:hAnsi="Calibri" w:cs="Calibri"/>
                <w:bCs/>
                <w:sz w:val="20"/>
              </w:rPr>
              <w:t>VP</w:t>
            </w:r>
          </w:p>
        </w:tc>
        <w:tc>
          <w:tcPr>
            <w:tcW w:w="580" w:type="dxa"/>
          </w:tcPr>
          <w:p w:rsidR="000B015D" w:rsidRDefault="000B015D" w:rsidP="00044BAC">
            <w:pPr>
              <w:spacing w:before="20" w:after="20"/>
              <w:ind w:left="-29"/>
            </w:pPr>
          </w:p>
        </w:tc>
      </w:tr>
      <w:tr w:rsidR="000B015D" w:rsidRPr="00D30D22" w:rsidTr="00044BAC">
        <w:trPr>
          <w:trHeight w:val="70"/>
          <w:jc w:val="center"/>
        </w:trPr>
        <w:tc>
          <w:tcPr>
            <w:tcW w:w="587" w:type="dxa"/>
          </w:tcPr>
          <w:p w:rsidR="000B015D" w:rsidRDefault="00044BAC" w:rsidP="00044BAC">
            <w:pPr>
              <w:spacing w:before="20" w:after="20"/>
              <w:ind w:left="18"/>
            </w:pPr>
            <w:r>
              <w:t>3</w:t>
            </w:r>
          </w:p>
        </w:tc>
        <w:tc>
          <w:tcPr>
            <w:tcW w:w="1763" w:type="dxa"/>
          </w:tcPr>
          <w:p w:rsidR="000B015D" w:rsidRPr="00FB1FA5" w:rsidRDefault="000B015D" w:rsidP="00044BAC">
            <w:pPr>
              <w:spacing w:before="20" w:after="20"/>
              <w:ind w:left="0"/>
            </w:pPr>
            <w:r>
              <w:t>DK</w:t>
            </w:r>
          </w:p>
        </w:tc>
        <w:tc>
          <w:tcPr>
            <w:tcW w:w="3240" w:type="dxa"/>
            <w:vAlign w:val="center"/>
          </w:tcPr>
          <w:p w:rsidR="000B015D" w:rsidRPr="00044BAC" w:rsidRDefault="000B015D" w:rsidP="00044BAC">
            <w:pPr>
              <w:spacing w:before="20" w:after="20"/>
              <w:ind w:left="2"/>
            </w:pPr>
            <w:r w:rsidRPr="00044BAC">
              <w:rPr>
                <w:rFonts w:ascii="Calibri" w:hAnsi="Calibri" w:cs="Calibri"/>
                <w:bCs/>
                <w:sz w:val="20"/>
              </w:rPr>
              <w:t>Bjorn Sven Jensen</w:t>
            </w:r>
          </w:p>
        </w:tc>
        <w:tc>
          <w:tcPr>
            <w:tcW w:w="2610" w:type="dxa"/>
          </w:tcPr>
          <w:p w:rsidR="000B015D" w:rsidRDefault="000B015D" w:rsidP="00044BAC">
            <w:pPr>
              <w:spacing w:before="20" w:after="20"/>
              <w:ind w:left="-29"/>
            </w:pPr>
            <w:r>
              <w:t>VP</w:t>
            </w:r>
          </w:p>
        </w:tc>
        <w:tc>
          <w:tcPr>
            <w:tcW w:w="580" w:type="dxa"/>
          </w:tcPr>
          <w:p w:rsidR="000B015D" w:rsidRDefault="000B015D" w:rsidP="00044BAC">
            <w:pPr>
              <w:spacing w:before="20" w:after="20"/>
              <w:ind w:left="-29"/>
            </w:pPr>
          </w:p>
        </w:tc>
      </w:tr>
      <w:tr w:rsidR="000B015D" w:rsidRPr="00D30D22" w:rsidTr="00044BAC">
        <w:trPr>
          <w:jc w:val="center"/>
        </w:trPr>
        <w:tc>
          <w:tcPr>
            <w:tcW w:w="587" w:type="dxa"/>
          </w:tcPr>
          <w:p w:rsidR="000B015D" w:rsidRDefault="00044BAC" w:rsidP="004126F6">
            <w:pPr>
              <w:spacing w:before="20" w:after="20"/>
              <w:ind w:left="18"/>
            </w:pPr>
            <w:r>
              <w:t>4</w:t>
            </w:r>
          </w:p>
        </w:tc>
        <w:tc>
          <w:tcPr>
            <w:tcW w:w="1763" w:type="dxa"/>
          </w:tcPr>
          <w:p w:rsidR="000B015D" w:rsidRPr="00FB1FA5" w:rsidRDefault="000B015D" w:rsidP="004126F6">
            <w:pPr>
              <w:spacing w:before="20" w:after="20"/>
              <w:ind w:left="0"/>
            </w:pPr>
            <w:r>
              <w:t>GB</w:t>
            </w:r>
          </w:p>
        </w:tc>
        <w:tc>
          <w:tcPr>
            <w:tcW w:w="3240" w:type="dxa"/>
            <w:vAlign w:val="center"/>
          </w:tcPr>
          <w:p w:rsidR="000B015D" w:rsidRPr="00044BAC" w:rsidRDefault="000B015D" w:rsidP="004126F6">
            <w:pPr>
              <w:spacing w:before="20" w:after="20"/>
              <w:ind w:left="2"/>
            </w:pPr>
            <w:r w:rsidRPr="00044BAC">
              <w:t xml:space="preserve">Steve </w:t>
            </w:r>
            <w:proofErr w:type="spellStart"/>
            <w:r w:rsidRPr="00044BAC">
              <w:t>Wallaces</w:t>
            </w:r>
            <w:proofErr w:type="spellEnd"/>
          </w:p>
        </w:tc>
        <w:tc>
          <w:tcPr>
            <w:tcW w:w="2610" w:type="dxa"/>
          </w:tcPr>
          <w:p w:rsidR="000B015D" w:rsidRDefault="000B015D" w:rsidP="004126F6">
            <w:pPr>
              <w:spacing w:before="20" w:after="20"/>
              <w:ind w:left="-29"/>
            </w:pPr>
            <w:r>
              <w:t>Idea Group</w:t>
            </w:r>
          </w:p>
        </w:tc>
        <w:tc>
          <w:tcPr>
            <w:tcW w:w="580" w:type="dxa"/>
          </w:tcPr>
          <w:p w:rsidR="000B015D" w:rsidRDefault="000B015D" w:rsidP="004126F6">
            <w:pPr>
              <w:spacing w:before="20" w:after="20"/>
              <w:ind w:left="-29"/>
            </w:pPr>
          </w:p>
        </w:tc>
      </w:tr>
      <w:tr w:rsidR="00044BAC" w:rsidRPr="00D30D22" w:rsidTr="00044BAC">
        <w:trPr>
          <w:jc w:val="center"/>
        </w:trPr>
        <w:tc>
          <w:tcPr>
            <w:tcW w:w="587" w:type="dxa"/>
          </w:tcPr>
          <w:p w:rsidR="00044BAC" w:rsidRDefault="00044BAC" w:rsidP="004126F6">
            <w:pPr>
              <w:spacing w:before="20" w:after="20"/>
              <w:ind w:left="18"/>
            </w:pPr>
            <w:r>
              <w:t>5</w:t>
            </w:r>
          </w:p>
        </w:tc>
        <w:tc>
          <w:tcPr>
            <w:tcW w:w="1763" w:type="dxa"/>
          </w:tcPr>
          <w:p w:rsidR="00044BAC" w:rsidRDefault="00044BAC" w:rsidP="00044BAC">
            <w:pPr>
              <w:spacing w:before="20" w:after="20"/>
              <w:ind w:left="0"/>
            </w:pPr>
            <w:r>
              <w:t>IE</w:t>
            </w:r>
          </w:p>
        </w:tc>
        <w:tc>
          <w:tcPr>
            <w:tcW w:w="3240" w:type="dxa"/>
            <w:vAlign w:val="center"/>
          </w:tcPr>
          <w:p w:rsidR="00044BAC" w:rsidRPr="00044BAC" w:rsidRDefault="00044BAC" w:rsidP="00044BAC">
            <w:pPr>
              <w:spacing w:before="20" w:after="20"/>
              <w:ind w:left="2"/>
              <w:rPr>
                <w:rFonts w:cs="Arial"/>
              </w:rPr>
            </w:pPr>
            <w:r w:rsidRPr="00044BAC">
              <w:rPr>
                <w:rFonts w:ascii="Calibri" w:hAnsi="Calibri" w:cs="Calibri"/>
                <w:bCs/>
                <w:sz w:val="20"/>
              </w:rPr>
              <w:t>Nicola Jones</w:t>
            </w:r>
          </w:p>
        </w:tc>
        <w:tc>
          <w:tcPr>
            <w:tcW w:w="2610" w:type="dxa"/>
          </w:tcPr>
          <w:p w:rsidR="00044BAC" w:rsidRDefault="00044BAC" w:rsidP="00044BAC">
            <w:pPr>
              <w:spacing w:before="20" w:after="20"/>
              <w:ind w:left="-29"/>
            </w:pPr>
            <w:r>
              <w:rPr>
                <w:rFonts w:ascii="Calibri" w:hAnsi="Calibri" w:cs="Calibri"/>
                <w:bCs/>
                <w:sz w:val="20"/>
              </w:rPr>
              <w:t>JP Morgan</w:t>
            </w:r>
          </w:p>
        </w:tc>
        <w:tc>
          <w:tcPr>
            <w:tcW w:w="580" w:type="dxa"/>
          </w:tcPr>
          <w:p w:rsidR="00044BAC" w:rsidRDefault="00044BAC" w:rsidP="00044BAC">
            <w:pPr>
              <w:spacing w:before="20" w:after="20"/>
              <w:ind w:left="-29"/>
            </w:pPr>
          </w:p>
        </w:tc>
      </w:tr>
      <w:tr w:rsidR="00044BAC" w:rsidRPr="00D30D22" w:rsidTr="00044BAC">
        <w:trPr>
          <w:jc w:val="center"/>
        </w:trPr>
        <w:tc>
          <w:tcPr>
            <w:tcW w:w="587" w:type="dxa"/>
          </w:tcPr>
          <w:p w:rsidR="00044BAC" w:rsidRDefault="00044BAC" w:rsidP="004126F6">
            <w:pPr>
              <w:spacing w:before="20" w:after="20"/>
              <w:ind w:left="18"/>
            </w:pPr>
            <w:r>
              <w:t>6</w:t>
            </w:r>
          </w:p>
        </w:tc>
        <w:tc>
          <w:tcPr>
            <w:tcW w:w="1763" w:type="dxa"/>
          </w:tcPr>
          <w:p w:rsidR="00044BAC" w:rsidRPr="00FB1FA5" w:rsidRDefault="00044BAC" w:rsidP="00044BAC">
            <w:pPr>
              <w:spacing w:before="20" w:after="20"/>
              <w:ind w:left="0"/>
            </w:pPr>
            <w:r w:rsidRPr="00FB1FA5">
              <w:t>IT</w:t>
            </w:r>
          </w:p>
        </w:tc>
        <w:tc>
          <w:tcPr>
            <w:tcW w:w="3240" w:type="dxa"/>
            <w:vAlign w:val="center"/>
          </w:tcPr>
          <w:p w:rsidR="00044BAC" w:rsidRPr="00044BAC" w:rsidRDefault="00044BAC" w:rsidP="00044BAC">
            <w:pPr>
              <w:spacing w:before="20" w:after="20"/>
              <w:ind w:left="2"/>
            </w:pPr>
            <w:r w:rsidRPr="00044BAC">
              <w:t xml:space="preserve">Andrea </w:t>
            </w:r>
            <w:proofErr w:type="spellStart"/>
            <w:r w:rsidRPr="00044BAC">
              <w:t>Milanesio</w:t>
            </w:r>
            <w:proofErr w:type="spellEnd"/>
          </w:p>
        </w:tc>
        <w:tc>
          <w:tcPr>
            <w:tcW w:w="2610" w:type="dxa"/>
          </w:tcPr>
          <w:p w:rsidR="00044BAC" w:rsidRPr="00FB1FA5" w:rsidRDefault="00044BAC" w:rsidP="00044BAC">
            <w:pPr>
              <w:spacing w:before="20" w:after="20"/>
              <w:ind w:left="-29"/>
            </w:pPr>
            <w:r>
              <w:t>Pine 3 Consulting</w:t>
            </w:r>
          </w:p>
        </w:tc>
        <w:tc>
          <w:tcPr>
            <w:tcW w:w="580" w:type="dxa"/>
          </w:tcPr>
          <w:p w:rsidR="00044BAC" w:rsidRDefault="00044BAC" w:rsidP="00044BAC">
            <w:pPr>
              <w:spacing w:before="20" w:after="20"/>
              <w:ind w:left="-29"/>
            </w:pPr>
          </w:p>
        </w:tc>
      </w:tr>
      <w:tr w:rsidR="00044BAC" w:rsidRPr="00D30D22" w:rsidTr="00044BAC">
        <w:trPr>
          <w:jc w:val="center"/>
        </w:trPr>
        <w:tc>
          <w:tcPr>
            <w:tcW w:w="587" w:type="dxa"/>
          </w:tcPr>
          <w:p w:rsidR="00044BAC" w:rsidRDefault="00044BAC" w:rsidP="004126F6">
            <w:pPr>
              <w:spacing w:before="20" w:after="20"/>
              <w:ind w:left="18"/>
            </w:pPr>
            <w:r>
              <w:t>7</w:t>
            </w:r>
          </w:p>
        </w:tc>
        <w:tc>
          <w:tcPr>
            <w:tcW w:w="1763" w:type="dxa"/>
          </w:tcPr>
          <w:p w:rsidR="00044BAC" w:rsidRPr="00FB1FA5" w:rsidRDefault="00044BAC" w:rsidP="004126F6">
            <w:pPr>
              <w:spacing w:before="20" w:after="20"/>
              <w:ind w:left="0"/>
            </w:pPr>
            <w:r w:rsidRPr="00FB1FA5">
              <w:t>NO</w:t>
            </w:r>
          </w:p>
        </w:tc>
        <w:tc>
          <w:tcPr>
            <w:tcW w:w="3240" w:type="dxa"/>
            <w:vAlign w:val="center"/>
          </w:tcPr>
          <w:p w:rsidR="00044BAC" w:rsidRPr="00044BAC" w:rsidRDefault="00044BAC" w:rsidP="004126F6">
            <w:pPr>
              <w:spacing w:before="20" w:after="20"/>
              <w:ind w:left="2"/>
              <w:rPr>
                <w:color w:val="FF0000"/>
              </w:rPr>
            </w:pPr>
            <w:proofErr w:type="spellStart"/>
            <w:r w:rsidRPr="00044BAC">
              <w:t>Svein</w:t>
            </w:r>
            <w:proofErr w:type="spellEnd"/>
            <w:r w:rsidRPr="00044BAC">
              <w:t xml:space="preserve"> R. </w:t>
            </w:r>
            <w:proofErr w:type="spellStart"/>
            <w:r w:rsidRPr="00044BAC">
              <w:t>Borgersen</w:t>
            </w:r>
            <w:proofErr w:type="spellEnd"/>
          </w:p>
        </w:tc>
        <w:tc>
          <w:tcPr>
            <w:tcW w:w="2610" w:type="dxa"/>
          </w:tcPr>
          <w:p w:rsidR="00044BAC" w:rsidRPr="00FB1FA5" w:rsidRDefault="00044BAC" w:rsidP="004126F6">
            <w:pPr>
              <w:spacing w:before="20" w:after="20"/>
              <w:ind w:left="-29"/>
            </w:pPr>
            <w:r>
              <w:t>VPS</w:t>
            </w:r>
          </w:p>
        </w:tc>
        <w:tc>
          <w:tcPr>
            <w:tcW w:w="580" w:type="dxa"/>
          </w:tcPr>
          <w:p w:rsidR="00044BAC" w:rsidRDefault="00044BAC" w:rsidP="004126F6">
            <w:pPr>
              <w:spacing w:before="20" w:after="20"/>
              <w:ind w:left="-29"/>
            </w:pPr>
          </w:p>
        </w:tc>
      </w:tr>
      <w:tr w:rsidR="00044BAC" w:rsidRPr="00D30D22" w:rsidTr="00044BAC">
        <w:trPr>
          <w:jc w:val="center"/>
        </w:trPr>
        <w:tc>
          <w:tcPr>
            <w:tcW w:w="587" w:type="dxa"/>
          </w:tcPr>
          <w:p w:rsidR="00044BAC" w:rsidRPr="00B96664" w:rsidRDefault="00044BAC" w:rsidP="00AF0450">
            <w:pPr>
              <w:spacing w:before="20" w:after="20"/>
              <w:ind w:left="18"/>
            </w:pPr>
            <w:r>
              <w:t>8</w:t>
            </w:r>
          </w:p>
        </w:tc>
        <w:tc>
          <w:tcPr>
            <w:tcW w:w="1763" w:type="dxa"/>
          </w:tcPr>
          <w:p w:rsidR="00044BAC" w:rsidRPr="00FB1FA5" w:rsidRDefault="00044BAC" w:rsidP="00AF0450">
            <w:pPr>
              <w:spacing w:before="20" w:after="20"/>
              <w:ind w:left="0"/>
            </w:pPr>
            <w:r w:rsidRPr="00FB1FA5">
              <w:t>SE</w:t>
            </w:r>
          </w:p>
        </w:tc>
        <w:tc>
          <w:tcPr>
            <w:tcW w:w="3240" w:type="dxa"/>
            <w:vAlign w:val="center"/>
          </w:tcPr>
          <w:p w:rsidR="00044BAC" w:rsidRPr="00044BAC" w:rsidRDefault="00044BAC" w:rsidP="00AF0450">
            <w:pPr>
              <w:spacing w:before="20" w:after="20"/>
              <w:ind w:left="2"/>
            </w:pPr>
            <w:r w:rsidRPr="00044BAC">
              <w:t xml:space="preserve">Henrik </w:t>
            </w:r>
            <w:proofErr w:type="spellStart"/>
            <w:r w:rsidRPr="00044BAC">
              <w:t>Staffas</w:t>
            </w:r>
            <w:proofErr w:type="spellEnd"/>
          </w:p>
        </w:tc>
        <w:tc>
          <w:tcPr>
            <w:tcW w:w="2610" w:type="dxa"/>
          </w:tcPr>
          <w:p w:rsidR="00044BAC" w:rsidRPr="00FB1FA5" w:rsidRDefault="00044BAC" w:rsidP="00AF0450">
            <w:pPr>
              <w:spacing w:before="20" w:after="20"/>
              <w:ind w:left="-29"/>
            </w:pPr>
            <w:r>
              <w:t>Scandia</w:t>
            </w:r>
          </w:p>
        </w:tc>
        <w:tc>
          <w:tcPr>
            <w:tcW w:w="580" w:type="dxa"/>
          </w:tcPr>
          <w:p w:rsidR="00044BAC" w:rsidRDefault="00044BAC" w:rsidP="00AF0450">
            <w:pPr>
              <w:spacing w:before="20" w:after="20"/>
              <w:ind w:left="-29"/>
            </w:pPr>
          </w:p>
        </w:tc>
      </w:tr>
      <w:tr w:rsidR="00044BAC" w:rsidRPr="000B015D" w:rsidTr="00044BAC">
        <w:trPr>
          <w:jc w:val="center"/>
        </w:trPr>
        <w:tc>
          <w:tcPr>
            <w:tcW w:w="587" w:type="dxa"/>
          </w:tcPr>
          <w:p w:rsidR="00044BAC" w:rsidRPr="000B015D" w:rsidRDefault="00044BAC" w:rsidP="00462820">
            <w:pPr>
              <w:spacing w:before="20" w:after="20"/>
              <w:ind w:left="18"/>
            </w:pPr>
            <w:r>
              <w:lastRenderedPageBreak/>
              <w:t>9</w:t>
            </w:r>
          </w:p>
        </w:tc>
        <w:tc>
          <w:tcPr>
            <w:tcW w:w="1763" w:type="dxa"/>
          </w:tcPr>
          <w:p w:rsidR="00044BAC" w:rsidRPr="000B015D" w:rsidRDefault="00044BAC" w:rsidP="00462820">
            <w:pPr>
              <w:spacing w:before="20" w:after="20"/>
              <w:ind w:left="0"/>
            </w:pPr>
            <w:r w:rsidRPr="000B015D">
              <w:t>SE</w:t>
            </w:r>
          </w:p>
        </w:tc>
        <w:tc>
          <w:tcPr>
            <w:tcW w:w="3240" w:type="dxa"/>
            <w:vAlign w:val="center"/>
          </w:tcPr>
          <w:p w:rsidR="00044BAC" w:rsidRPr="00044BAC" w:rsidRDefault="00044BAC" w:rsidP="00462820">
            <w:pPr>
              <w:spacing w:before="20" w:after="20"/>
              <w:ind w:left="2"/>
            </w:pPr>
            <w:proofErr w:type="spellStart"/>
            <w:r w:rsidRPr="00044BAC">
              <w:rPr>
                <w:rFonts w:ascii="Calibri" w:hAnsi="Calibri" w:cs="Calibri"/>
                <w:bCs/>
                <w:sz w:val="20"/>
              </w:rPr>
              <w:t>Krister</w:t>
            </w:r>
            <w:proofErr w:type="spellEnd"/>
            <w:r w:rsidRPr="00044BAC">
              <w:rPr>
                <w:rFonts w:ascii="Calibri" w:hAnsi="Calibri" w:cs="Calibri"/>
                <w:bCs/>
                <w:sz w:val="20"/>
              </w:rPr>
              <w:t xml:space="preserve"> Lindgren</w:t>
            </w:r>
          </w:p>
        </w:tc>
        <w:tc>
          <w:tcPr>
            <w:tcW w:w="2610" w:type="dxa"/>
          </w:tcPr>
          <w:p w:rsidR="00044BAC" w:rsidRPr="000B015D" w:rsidRDefault="00044BAC" w:rsidP="005A1A2B">
            <w:pPr>
              <w:spacing w:before="20" w:after="20"/>
              <w:ind w:left="-29"/>
            </w:pPr>
            <w:r w:rsidRPr="000B015D">
              <w:t>MFEX</w:t>
            </w:r>
          </w:p>
        </w:tc>
        <w:tc>
          <w:tcPr>
            <w:tcW w:w="580" w:type="dxa"/>
          </w:tcPr>
          <w:p w:rsidR="00044BAC" w:rsidRPr="000B015D" w:rsidRDefault="00044BAC" w:rsidP="00B80940">
            <w:pPr>
              <w:spacing w:before="20" w:after="20"/>
              <w:ind w:left="-29"/>
            </w:pPr>
          </w:p>
        </w:tc>
      </w:tr>
      <w:tr w:rsidR="00044BAC" w:rsidRPr="00D30D22" w:rsidTr="00044BAC">
        <w:trPr>
          <w:jc w:val="center"/>
        </w:trPr>
        <w:tc>
          <w:tcPr>
            <w:tcW w:w="587" w:type="dxa"/>
          </w:tcPr>
          <w:p w:rsidR="00044BAC" w:rsidRDefault="00044BAC" w:rsidP="00462820">
            <w:pPr>
              <w:spacing w:before="20" w:after="20"/>
              <w:ind w:left="18"/>
            </w:pPr>
            <w:r>
              <w:t>10</w:t>
            </w:r>
          </w:p>
        </w:tc>
        <w:tc>
          <w:tcPr>
            <w:tcW w:w="1763" w:type="dxa"/>
          </w:tcPr>
          <w:p w:rsidR="00044BAC" w:rsidRPr="00FB1FA5" w:rsidRDefault="00044BAC" w:rsidP="00044BAC">
            <w:pPr>
              <w:spacing w:before="20" w:after="20"/>
              <w:ind w:left="0"/>
            </w:pPr>
            <w:r>
              <w:t>--</w:t>
            </w:r>
          </w:p>
        </w:tc>
        <w:tc>
          <w:tcPr>
            <w:tcW w:w="3240" w:type="dxa"/>
            <w:vAlign w:val="center"/>
          </w:tcPr>
          <w:p w:rsidR="00044BAC" w:rsidRPr="00044BAC" w:rsidRDefault="00044BAC" w:rsidP="00044BAC">
            <w:pPr>
              <w:spacing w:before="20" w:after="20"/>
              <w:ind w:left="2"/>
            </w:pPr>
            <w:r w:rsidRPr="00044BAC">
              <w:t xml:space="preserve">Tomas </w:t>
            </w:r>
            <w:proofErr w:type="spellStart"/>
            <w:r w:rsidRPr="00044BAC">
              <w:t>Bremin</w:t>
            </w:r>
            <w:proofErr w:type="spellEnd"/>
          </w:p>
        </w:tc>
        <w:tc>
          <w:tcPr>
            <w:tcW w:w="2610" w:type="dxa"/>
          </w:tcPr>
          <w:p w:rsidR="00044BAC" w:rsidRPr="00FB1FA5" w:rsidRDefault="00044BAC" w:rsidP="00044BAC">
            <w:pPr>
              <w:spacing w:before="20" w:after="20"/>
              <w:ind w:left="-29"/>
            </w:pPr>
            <w:proofErr w:type="spellStart"/>
            <w:r>
              <w:t>Clearstream</w:t>
            </w:r>
            <w:proofErr w:type="spellEnd"/>
          </w:p>
        </w:tc>
        <w:tc>
          <w:tcPr>
            <w:tcW w:w="580" w:type="dxa"/>
          </w:tcPr>
          <w:p w:rsidR="00044BAC" w:rsidRDefault="00044BAC" w:rsidP="00462820">
            <w:pPr>
              <w:spacing w:before="20" w:after="20"/>
              <w:ind w:left="-29"/>
            </w:pPr>
          </w:p>
        </w:tc>
      </w:tr>
      <w:tr w:rsidR="00044BAC" w:rsidRPr="00D30D22" w:rsidTr="00044BAC">
        <w:trPr>
          <w:jc w:val="center"/>
        </w:trPr>
        <w:tc>
          <w:tcPr>
            <w:tcW w:w="587" w:type="dxa"/>
          </w:tcPr>
          <w:p w:rsidR="00044BAC" w:rsidRDefault="00044BAC" w:rsidP="00462820">
            <w:pPr>
              <w:spacing w:before="20" w:after="20"/>
              <w:ind w:left="18"/>
            </w:pPr>
            <w:r>
              <w:t>11</w:t>
            </w:r>
          </w:p>
        </w:tc>
        <w:tc>
          <w:tcPr>
            <w:tcW w:w="1763" w:type="dxa"/>
          </w:tcPr>
          <w:p w:rsidR="00044BAC" w:rsidRDefault="00044BAC" w:rsidP="00044BAC">
            <w:pPr>
              <w:spacing w:before="20" w:after="20"/>
              <w:ind w:left="0"/>
            </w:pPr>
            <w:r>
              <w:t>--</w:t>
            </w:r>
          </w:p>
        </w:tc>
        <w:tc>
          <w:tcPr>
            <w:tcW w:w="3240" w:type="dxa"/>
            <w:vAlign w:val="center"/>
          </w:tcPr>
          <w:p w:rsidR="00044BAC" w:rsidRPr="00044BAC" w:rsidRDefault="00044BAC" w:rsidP="00044BAC">
            <w:pPr>
              <w:spacing w:before="20" w:after="20"/>
              <w:ind w:left="2"/>
            </w:pPr>
            <w:proofErr w:type="spellStart"/>
            <w:r w:rsidRPr="00044BAC">
              <w:t>Romain</w:t>
            </w:r>
            <w:proofErr w:type="spellEnd"/>
            <w:r w:rsidRPr="00044BAC">
              <w:t xml:space="preserve"> </w:t>
            </w:r>
            <w:proofErr w:type="spellStart"/>
            <w:r w:rsidRPr="00044BAC">
              <w:t>Rovero</w:t>
            </w:r>
            <w:proofErr w:type="spellEnd"/>
          </w:p>
        </w:tc>
        <w:tc>
          <w:tcPr>
            <w:tcW w:w="2610" w:type="dxa"/>
          </w:tcPr>
          <w:p w:rsidR="00044BAC" w:rsidRDefault="00044BAC" w:rsidP="00044BAC">
            <w:pPr>
              <w:spacing w:before="20" w:after="20"/>
              <w:ind w:left="-29"/>
            </w:pPr>
            <w:proofErr w:type="spellStart"/>
            <w:r>
              <w:t>Clearstream</w:t>
            </w:r>
            <w:proofErr w:type="spellEnd"/>
          </w:p>
        </w:tc>
        <w:tc>
          <w:tcPr>
            <w:tcW w:w="580" w:type="dxa"/>
          </w:tcPr>
          <w:p w:rsidR="00044BAC" w:rsidRDefault="00044BAC" w:rsidP="00462820">
            <w:pPr>
              <w:spacing w:before="20" w:after="20"/>
              <w:ind w:left="-29"/>
            </w:pPr>
          </w:p>
        </w:tc>
      </w:tr>
      <w:tr w:rsidR="00044BAC" w:rsidRPr="00D30D22" w:rsidTr="00044BAC">
        <w:trPr>
          <w:jc w:val="center"/>
        </w:trPr>
        <w:tc>
          <w:tcPr>
            <w:tcW w:w="587" w:type="dxa"/>
          </w:tcPr>
          <w:p w:rsidR="00044BAC" w:rsidRDefault="00044BAC" w:rsidP="00462820">
            <w:pPr>
              <w:spacing w:before="20" w:after="20"/>
              <w:ind w:left="18"/>
            </w:pPr>
            <w:r>
              <w:t>12</w:t>
            </w:r>
          </w:p>
        </w:tc>
        <w:tc>
          <w:tcPr>
            <w:tcW w:w="1763" w:type="dxa"/>
          </w:tcPr>
          <w:p w:rsidR="00044BAC" w:rsidRDefault="00044BAC" w:rsidP="00462820">
            <w:pPr>
              <w:spacing w:before="20" w:after="20"/>
              <w:ind w:left="0"/>
            </w:pPr>
            <w:r>
              <w:t>--</w:t>
            </w:r>
          </w:p>
        </w:tc>
        <w:tc>
          <w:tcPr>
            <w:tcW w:w="3240" w:type="dxa"/>
            <w:vAlign w:val="center"/>
          </w:tcPr>
          <w:p w:rsidR="00044BAC" w:rsidRPr="00044BAC" w:rsidRDefault="00044BAC" w:rsidP="00462820">
            <w:pPr>
              <w:spacing w:before="20" w:after="20"/>
              <w:ind w:left="2"/>
            </w:pPr>
            <w:r w:rsidRPr="00044BAC">
              <w:t xml:space="preserve">Carmelo </w:t>
            </w:r>
            <w:proofErr w:type="spellStart"/>
            <w:r w:rsidRPr="00044BAC">
              <w:rPr>
                <w:rFonts w:ascii="Calibri" w:hAnsi="Calibri" w:cs="Calibri"/>
                <w:bCs/>
                <w:sz w:val="20"/>
              </w:rPr>
              <w:t>Interisano</w:t>
            </w:r>
            <w:proofErr w:type="spellEnd"/>
          </w:p>
        </w:tc>
        <w:tc>
          <w:tcPr>
            <w:tcW w:w="2610" w:type="dxa"/>
          </w:tcPr>
          <w:p w:rsidR="00044BAC" w:rsidRDefault="00044BAC" w:rsidP="00462820">
            <w:pPr>
              <w:spacing w:before="20" w:after="20"/>
              <w:ind w:left="-29"/>
            </w:pPr>
            <w:proofErr w:type="spellStart"/>
            <w:r>
              <w:t>Euroclear</w:t>
            </w:r>
            <w:proofErr w:type="spellEnd"/>
          </w:p>
        </w:tc>
        <w:tc>
          <w:tcPr>
            <w:tcW w:w="580" w:type="dxa"/>
          </w:tcPr>
          <w:p w:rsidR="00044BAC" w:rsidRDefault="00044BAC" w:rsidP="00462820">
            <w:pPr>
              <w:spacing w:before="20" w:after="20"/>
              <w:ind w:left="-29"/>
            </w:pPr>
          </w:p>
        </w:tc>
      </w:tr>
      <w:tr w:rsidR="00044BAC" w:rsidRPr="00D30D22" w:rsidTr="00044BAC">
        <w:trPr>
          <w:jc w:val="center"/>
        </w:trPr>
        <w:tc>
          <w:tcPr>
            <w:tcW w:w="587" w:type="dxa"/>
          </w:tcPr>
          <w:p w:rsidR="00044BAC" w:rsidRDefault="00044BAC" w:rsidP="00462820">
            <w:pPr>
              <w:spacing w:before="20" w:after="20"/>
              <w:ind w:left="18"/>
            </w:pPr>
            <w:r>
              <w:t>13</w:t>
            </w:r>
          </w:p>
        </w:tc>
        <w:tc>
          <w:tcPr>
            <w:tcW w:w="1763" w:type="dxa"/>
          </w:tcPr>
          <w:p w:rsidR="00044BAC" w:rsidRPr="00FB1FA5" w:rsidRDefault="00044BAC" w:rsidP="00462820">
            <w:pPr>
              <w:spacing w:before="20" w:after="20"/>
              <w:ind w:left="0"/>
            </w:pPr>
            <w:r>
              <w:t>--</w:t>
            </w:r>
          </w:p>
        </w:tc>
        <w:tc>
          <w:tcPr>
            <w:tcW w:w="3240" w:type="dxa"/>
            <w:vAlign w:val="center"/>
          </w:tcPr>
          <w:p w:rsidR="00044BAC" w:rsidRPr="00FB1FA5" w:rsidRDefault="00044BAC" w:rsidP="00462820">
            <w:pPr>
              <w:spacing w:before="20" w:after="20"/>
              <w:ind w:left="2"/>
            </w:pPr>
            <w:r>
              <w:t>Jon Willis</w:t>
            </w:r>
          </w:p>
        </w:tc>
        <w:tc>
          <w:tcPr>
            <w:tcW w:w="2610" w:type="dxa"/>
          </w:tcPr>
          <w:p w:rsidR="00044BAC" w:rsidRDefault="00044BAC" w:rsidP="00462820">
            <w:pPr>
              <w:spacing w:before="20" w:after="20"/>
              <w:ind w:left="-29"/>
            </w:pPr>
            <w:proofErr w:type="spellStart"/>
            <w:r>
              <w:t>Calastone</w:t>
            </w:r>
            <w:proofErr w:type="spellEnd"/>
          </w:p>
        </w:tc>
        <w:tc>
          <w:tcPr>
            <w:tcW w:w="580" w:type="dxa"/>
          </w:tcPr>
          <w:p w:rsidR="00044BAC" w:rsidRDefault="00044BAC" w:rsidP="00462820">
            <w:pPr>
              <w:spacing w:before="20" w:after="20"/>
              <w:ind w:left="-29"/>
            </w:pPr>
          </w:p>
        </w:tc>
      </w:tr>
      <w:tr w:rsidR="00044BAC" w:rsidRPr="00D30D22" w:rsidTr="00044BAC">
        <w:trPr>
          <w:jc w:val="center"/>
        </w:trPr>
        <w:tc>
          <w:tcPr>
            <w:tcW w:w="587" w:type="dxa"/>
          </w:tcPr>
          <w:p w:rsidR="00044BAC" w:rsidRDefault="00044BAC" w:rsidP="00DD496E">
            <w:pPr>
              <w:spacing w:before="20" w:after="20"/>
              <w:ind w:left="18"/>
            </w:pPr>
            <w:r>
              <w:t>14</w:t>
            </w:r>
          </w:p>
        </w:tc>
        <w:tc>
          <w:tcPr>
            <w:tcW w:w="1763" w:type="dxa"/>
          </w:tcPr>
          <w:p w:rsidR="00044BAC" w:rsidRDefault="00044BAC" w:rsidP="00DD496E">
            <w:pPr>
              <w:spacing w:before="20" w:after="20"/>
              <w:ind w:left="0"/>
            </w:pPr>
            <w:r>
              <w:t>Facilitator</w:t>
            </w:r>
          </w:p>
        </w:tc>
        <w:tc>
          <w:tcPr>
            <w:tcW w:w="3240" w:type="dxa"/>
          </w:tcPr>
          <w:p w:rsidR="00044BAC" w:rsidRPr="004C611D" w:rsidRDefault="00044BAC" w:rsidP="00DD496E">
            <w:pPr>
              <w:spacing w:before="20" w:after="20"/>
              <w:ind w:left="2"/>
              <w:rPr>
                <w:rFonts w:ascii="Calibri" w:hAnsi="Calibri" w:cs="Calibri"/>
                <w:bCs/>
                <w:sz w:val="20"/>
              </w:rPr>
            </w:pPr>
            <w:r>
              <w:rPr>
                <w:rFonts w:ascii="Calibri" w:hAnsi="Calibri" w:cs="Calibri"/>
                <w:bCs/>
                <w:sz w:val="20"/>
              </w:rPr>
              <w:t>Janice Chapman</w:t>
            </w:r>
          </w:p>
        </w:tc>
        <w:tc>
          <w:tcPr>
            <w:tcW w:w="2610" w:type="dxa"/>
          </w:tcPr>
          <w:p w:rsidR="00044BAC" w:rsidRDefault="00044BAC" w:rsidP="00DD496E">
            <w:pPr>
              <w:spacing w:before="20" w:after="20"/>
              <w:ind w:left="-29"/>
              <w:rPr>
                <w:lang w:val="en-US"/>
              </w:rPr>
            </w:pPr>
            <w:r>
              <w:rPr>
                <w:lang w:val="en-US"/>
              </w:rPr>
              <w:t>SWIFT</w:t>
            </w:r>
          </w:p>
        </w:tc>
        <w:tc>
          <w:tcPr>
            <w:tcW w:w="580" w:type="dxa"/>
          </w:tcPr>
          <w:p w:rsidR="00044BAC" w:rsidRDefault="00044BAC" w:rsidP="00DD496E">
            <w:pPr>
              <w:spacing w:before="20" w:after="20"/>
              <w:ind w:left="-29"/>
              <w:rPr>
                <w:lang w:val="en-US"/>
              </w:rPr>
            </w:pPr>
          </w:p>
        </w:tc>
      </w:tr>
      <w:tr w:rsidR="00044BAC" w:rsidRPr="00D30D22" w:rsidTr="00044BAC">
        <w:trPr>
          <w:jc w:val="center"/>
        </w:trPr>
        <w:tc>
          <w:tcPr>
            <w:tcW w:w="587" w:type="dxa"/>
          </w:tcPr>
          <w:p w:rsidR="00044BAC" w:rsidRDefault="00044BAC" w:rsidP="00DD496E">
            <w:pPr>
              <w:spacing w:before="20" w:after="20"/>
              <w:ind w:left="18"/>
            </w:pPr>
            <w:r>
              <w:t>15</w:t>
            </w:r>
          </w:p>
        </w:tc>
        <w:tc>
          <w:tcPr>
            <w:tcW w:w="1763" w:type="dxa"/>
          </w:tcPr>
          <w:p w:rsidR="00044BAC" w:rsidRDefault="00044BAC" w:rsidP="00044BAC">
            <w:pPr>
              <w:spacing w:before="20" w:after="20"/>
              <w:ind w:left="0"/>
              <w:rPr>
                <w:i/>
              </w:rPr>
            </w:pPr>
            <w:r>
              <w:rPr>
                <w:i/>
              </w:rPr>
              <w:t>Co-chair</w:t>
            </w:r>
          </w:p>
        </w:tc>
        <w:tc>
          <w:tcPr>
            <w:tcW w:w="3240" w:type="dxa"/>
            <w:vAlign w:val="center"/>
          </w:tcPr>
          <w:p w:rsidR="00044BAC" w:rsidRDefault="00044BAC" w:rsidP="00044BAC">
            <w:pPr>
              <w:spacing w:before="20" w:after="20"/>
              <w:ind w:left="2"/>
            </w:pPr>
            <w:r>
              <w:t xml:space="preserve">Charles </w:t>
            </w:r>
            <w:proofErr w:type="spellStart"/>
            <w:r>
              <w:t>Boniver</w:t>
            </w:r>
            <w:proofErr w:type="spellEnd"/>
          </w:p>
        </w:tc>
        <w:tc>
          <w:tcPr>
            <w:tcW w:w="2610" w:type="dxa"/>
          </w:tcPr>
          <w:p w:rsidR="00044BAC" w:rsidRDefault="00044BAC" w:rsidP="00044BAC">
            <w:pPr>
              <w:spacing w:before="20" w:after="20"/>
              <w:ind w:left="-29"/>
            </w:pPr>
            <w:r>
              <w:t>SWIFT</w:t>
            </w:r>
          </w:p>
        </w:tc>
        <w:tc>
          <w:tcPr>
            <w:tcW w:w="580" w:type="dxa"/>
          </w:tcPr>
          <w:p w:rsidR="00044BAC" w:rsidRDefault="00044BAC" w:rsidP="00044BAC">
            <w:pPr>
              <w:spacing w:before="20" w:after="20"/>
              <w:ind w:left="-29"/>
            </w:pPr>
          </w:p>
        </w:tc>
      </w:tr>
      <w:tr w:rsidR="00044BAC" w:rsidRPr="00D30D22" w:rsidTr="00044BAC">
        <w:trPr>
          <w:jc w:val="center"/>
        </w:trPr>
        <w:tc>
          <w:tcPr>
            <w:tcW w:w="587" w:type="dxa"/>
          </w:tcPr>
          <w:p w:rsidR="00044BAC" w:rsidRDefault="00044BAC" w:rsidP="00DD496E">
            <w:pPr>
              <w:spacing w:before="20" w:after="20"/>
              <w:ind w:left="18"/>
            </w:pPr>
            <w:r>
              <w:t>16</w:t>
            </w:r>
          </w:p>
        </w:tc>
        <w:tc>
          <w:tcPr>
            <w:tcW w:w="1763" w:type="dxa"/>
          </w:tcPr>
          <w:p w:rsidR="00044BAC" w:rsidRPr="004126F6" w:rsidRDefault="00044BAC" w:rsidP="00044BAC">
            <w:pPr>
              <w:spacing w:before="20" w:after="20"/>
              <w:ind w:left="0"/>
              <w:rPr>
                <w:i/>
              </w:rPr>
            </w:pPr>
            <w:r>
              <w:rPr>
                <w:i/>
              </w:rPr>
              <w:t>--</w:t>
            </w:r>
          </w:p>
        </w:tc>
        <w:tc>
          <w:tcPr>
            <w:tcW w:w="3240" w:type="dxa"/>
            <w:vAlign w:val="center"/>
          </w:tcPr>
          <w:p w:rsidR="00044BAC" w:rsidRPr="00FB1FA5" w:rsidRDefault="00044BAC" w:rsidP="00044BAC">
            <w:pPr>
              <w:spacing w:before="20" w:after="20"/>
              <w:ind w:left="2"/>
            </w:pPr>
            <w:r>
              <w:t>Rudolf Siebel</w:t>
            </w:r>
          </w:p>
        </w:tc>
        <w:tc>
          <w:tcPr>
            <w:tcW w:w="2610" w:type="dxa"/>
          </w:tcPr>
          <w:p w:rsidR="00044BAC" w:rsidRDefault="00044BAC" w:rsidP="00044BAC">
            <w:pPr>
              <w:spacing w:before="20" w:after="20"/>
              <w:ind w:left="-29"/>
            </w:pPr>
            <w:r>
              <w:t>BVI, DE</w:t>
            </w:r>
          </w:p>
        </w:tc>
        <w:tc>
          <w:tcPr>
            <w:tcW w:w="580" w:type="dxa"/>
          </w:tcPr>
          <w:p w:rsidR="00044BAC" w:rsidRDefault="00044BAC" w:rsidP="00044BAC">
            <w:pPr>
              <w:spacing w:before="20" w:after="20"/>
              <w:ind w:left="-29"/>
            </w:pPr>
          </w:p>
        </w:tc>
      </w:tr>
    </w:tbl>
    <w:p w:rsidR="00070C4D" w:rsidRDefault="00070C4D" w:rsidP="00044BAC">
      <w:pPr>
        <w:spacing w:before="240"/>
      </w:pPr>
      <w:r>
        <w:t>SMPG investment Funds Organisation</w:t>
      </w:r>
    </w:p>
    <w:p w:rsidR="00070C4D" w:rsidRPr="00D30D22" w:rsidRDefault="00070C4D" w:rsidP="000C37E8">
      <w:pPr>
        <w:pStyle w:val="ListParagraph"/>
        <w:numPr>
          <w:ilvl w:val="4"/>
          <w:numId w:val="24"/>
        </w:numPr>
      </w:pPr>
      <w:r w:rsidRPr="00D30D22">
        <w:t>Co-Chairs</w:t>
      </w:r>
    </w:p>
    <w:p w:rsidR="00070C4D" w:rsidRDefault="00974AA1" w:rsidP="000C37E8">
      <w:pPr>
        <w:pStyle w:val="ListParagraph"/>
        <w:numPr>
          <w:ilvl w:val="5"/>
          <w:numId w:val="25"/>
        </w:numPr>
      </w:pPr>
      <w:r>
        <w:t xml:space="preserve">Nadine </w:t>
      </w:r>
      <w:proofErr w:type="spellStart"/>
      <w:r>
        <w:t>Muhigiri</w:t>
      </w:r>
      <w:proofErr w:type="spellEnd"/>
      <w:r>
        <w:t xml:space="preserve">, </w:t>
      </w:r>
      <w:proofErr w:type="spellStart"/>
      <w:r w:rsidR="00070C4D" w:rsidRPr="00D30D22">
        <w:t>Euroclear</w:t>
      </w:r>
      <w:proofErr w:type="spellEnd"/>
      <w:r w:rsidR="00070C4D" w:rsidRPr="00D30D22">
        <w:t xml:space="preserve"> </w:t>
      </w:r>
      <w:r w:rsidR="000B015D">
        <w:t xml:space="preserve"> (outgoing)</w:t>
      </w:r>
    </w:p>
    <w:p w:rsidR="000B015D" w:rsidRDefault="000B015D" w:rsidP="000C37E8">
      <w:pPr>
        <w:pStyle w:val="ListParagraph"/>
        <w:numPr>
          <w:ilvl w:val="5"/>
          <w:numId w:val="25"/>
        </w:numPr>
      </w:pPr>
      <w:r>
        <w:t xml:space="preserve">Henrik </w:t>
      </w:r>
      <w:proofErr w:type="spellStart"/>
      <w:r>
        <w:t>Staffas</w:t>
      </w:r>
      <w:proofErr w:type="spellEnd"/>
      <w:r>
        <w:t xml:space="preserve"> </w:t>
      </w:r>
      <w:r w:rsidR="00044BAC">
        <w:t xml:space="preserve"> (in-coming</w:t>
      </w:r>
    </w:p>
    <w:p w:rsidR="00070C4D" w:rsidRDefault="00070C4D" w:rsidP="00957945">
      <w:pPr>
        <w:pStyle w:val="ListParagraph"/>
        <w:numPr>
          <w:ilvl w:val="5"/>
          <w:numId w:val="25"/>
        </w:numPr>
        <w:spacing w:after="240"/>
      </w:pPr>
      <w:r>
        <w:t xml:space="preserve">Charles </w:t>
      </w:r>
      <w:proofErr w:type="spellStart"/>
      <w:r>
        <w:t>Boniver</w:t>
      </w:r>
      <w:proofErr w:type="spellEnd"/>
      <w:r w:rsidR="00974AA1">
        <w:t>, RBC,</w:t>
      </w:r>
      <w:r w:rsidR="0047588E">
        <w:t xml:space="preserve"> </w:t>
      </w:r>
      <w:r>
        <w:t xml:space="preserve">(LU) </w:t>
      </w:r>
      <w:r w:rsidR="000B015D">
        <w:t>(outgoing)</w:t>
      </w:r>
    </w:p>
    <w:p w:rsidR="00070C4D" w:rsidRPr="00D30D22" w:rsidRDefault="00070C4D" w:rsidP="000C37E8">
      <w:pPr>
        <w:pStyle w:val="ListParagraph"/>
        <w:numPr>
          <w:ilvl w:val="4"/>
          <w:numId w:val="25"/>
        </w:numPr>
      </w:pPr>
      <w:r w:rsidRPr="00D30D22">
        <w:t>Facilitator</w:t>
      </w:r>
    </w:p>
    <w:p w:rsidR="00070C4D" w:rsidRPr="00D30D22" w:rsidRDefault="00974AA1" w:rsidP="00957945">
      <w:pPr>
        <w:pStyle w:val="ListParagraph"/>
        <w:numPr>
          <w:ilvl w:val="5"/>
          <w:numId w:val="25"/>
        </w:numPr>
        <w:spacing w:after="240"/>
      </w:pPr>
      <w:r>
        <w:t xml:space="preserve">Janice E. Chapman , </w:t>
      </w:r>
      <w:r w:rsidR="00070C4D" w:rsidRPr="00D30D22">
        <w:t xml:space="preserve">S.W.I.F.T. </w:t>
      </w:r>
      <w:proofErr w:type="spellStart"/>
      <w:r w:rsidR="00070C4D" w:rsidRPr="00D30D22">
        <w:t>Scrl</w:t>
      </w:r>
      <w:proofErr w:type="spellEnd"/>
    </w:p>
    <w:p w:rsidR="00070C4D" w:rsidRPr="00D30D22" w:rsidRDefault="00070C4D" w:rsidP="000C37E8">
      <w:pPr>
        <w:pStyle w:val="ListParagraph"/>
        <w:numPr>
          <w:ilvl w:val="4"/>
          <w:numId w:val="25"/>
        </w:numPr>
      </w:pPr>
      <w:r w:rsidRPr="00D30D22">
        <w:t>Steering Committee Sponsor</w:t>
      </w:r>
    </w:p>
    <w:p w:rsidR="00070C4D" w:rsidRPr="000C37E8" w:rsidRDefault="00974AA1" w:rsidP="000C37E8">
      <w:pPr>
        <w:pStyle w:val="ListParagraph"/>
        <w:numPr>
          <w:ilvl w:val="5"/>
          <w:numId w:val="25"/>
        </w:numPr>
        <w:rPr>
          <w:lang w:val="de-DE"/>
        </w:rPr>
      </w:pPr>
      <w:r w:rsidRPr="000C37E8">
        <w:rPr>
          <w:lang w:val="de-DE"/>
        </w:rPr>
        <w:t xml:space="preserve">Rudolf Siebel, </w:t>
      </w:r>
      <w:r w:rsidR="00070C4D" w:rsidRPr="000C37E8">
        <w:rPr>
          <w:lang w:val="de-DE"/>
        </w:rPr>
        <w:t>Bundesverband Investment und Asset Management e.V. (DE)</w:t>
      </w:r>
    </w:p>
    <w:p w:rsidR="002F2D3F" w:rsidRPr="002F2D3F" w:rsidRDefault="0031420F" w:rsidP="002F2D3F">
      <w:pPr>
        <w:pStyle w:val="Heading2"/>
        <w:numPr>
          <w:ilvl w:val="0"/>
          <w:numId w:val="0"/>
        </w:numPr>
        <w:ind w:left="720"/>
        <w:rPr>
          <w:lang w:val="de-DE"/>
        </w:rPr>
      </w:pPr>
      <w:r w:rsidRPr="00D75FF7">
        <w:rPr>
          <w:lang w:val="de-DE"/>
        </w:rPr>
        <w:br w:type="page"/>
      </w:r>
    </w:p>
    <w:p w:rsidR="00623218" w:rsidRDefault="00591D2F" w:rsidP="00623218">
      <w:pPr>
        <w:pStyle w:val="Heading1"/>
      </w:pPr>
      <w:bookmarkStart w:id="6" w:name="_Toc484589022"/>
      <w:r w:rsidRPr="00424C95">
        <w:lastRenderedPageBreak/>
        <w:t>Presentations</w:t>
      </w:r>
      <w:r w:rsidR="00070C4D" w:rsidRPr="00424C95">
        <w:t xml:space="preserve"> and Documents</w:t>
      </w:r>
      <w:bookmarkEnd w:id="6"/>
    </w:p>
    <w:p w:rsidR="00BF2DB1" w:rsidRDefault="008A032D" w:rsidP="008A032D">
      <w:pPr>
        <w:pStyle w:val="Heading2"/>
      </w:pPr>
      <w:r>
        <w:t>P</w:t>
      </w:r>
      <w:r w:rsidR="003574AD" w:rsidRPr="00BD5C81">
        <w:t xml:space="preserve">resentations </w:t>
      </w:r>
      <w:r>
        <w:t>are available on</w:t>
      </w:r>
      <w:r w:rsidR="003574AD" w:rsidRPr="00BD5C81">
        <w:t xml:space="preserve"> smpg.info</w:t>
      </w:r>
      <w:r w:rsidR="001F5DDC">
        <w:t xml:space="preserve"> </w:t>
      </w:r>
    </w:p>
    <w:tbl>
      <w:tblPr>
        <w:tblStyle w:val="TableGrid"/>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4"/>
        <w:gridCol w:w="6166"/>
        <w:gridCol w:w="1890"/>
      </w:tblGrid>
      <w:tr w:rsidR="001C1ECE" w:rsidRPr="00EE1F18" w:rsidTr="00465FA6">
        <w:trPr>
          <w:tblHeader/>
        </w:trPr>
        <w:tc>
          <w:tcPr>
            <w:tcW w:w="494" w:type="dxa"/>
            <w:shd w:val="clear" w:color="auto" w:fill="F2F2F2" w:themeFill="background1" w:themeFillShade="F2"/>
          </w:tcPr>
          <w:p w:rsidR="001C1ECE" w:rsidRPr="001C1ECE" w:rsidRDefault="001C1ECE" w:rsidP="00462820">
            <w:pPr>
              <w:spacing w:before="20" w:after="20"/>
              <w:ind w:left="72"/>
              <w:rPr>
                <w:sz w:val="20"/>
                <w:szCs w:val="20"/>
              </w:rPr>
            </w:pPr>
            <w:r w:rsidRPr="001C1ECE">
              <w:rPr>
                <w:sz w:val="20"/>
                <w:szCs w:val="20"/>
              </w:rPr>
              <w:t>#</w:t>
            </w:r>
          </w:p>
        </w:tc>
        <w:tc>
          <w:tcPr>
            <w:tcW w:w="6166" w:type="dxa"/>
            <w:shd w:val="clear" w:color="auto" w:fill="F2F2F2" w:themeFill="background1" w:themeFillShade="F2"/>
          </w:tcPr>
          <w:p w:rsidR="001C1ECE" w:rsidRPr="001C1ECE" w:rsidRDefault="001C1ECE" w:rsidP="00462820">
            <w:pPr>
              <w:spacing w:before="20" w:after="20"/>
              <w:rPr>
                <w:sz w:val="20"/>
                <w:szCs w:val="20"/>
              </w:rPr>
            </w:pPr>
            <w:r w:rsidRPr="001C1ECE">
              <w:rPr>
                <w:sz w:val="20"/>
                <w:szCs w:val="20"/>
              </w:rPr>
              <w:t>File Name</w:t>
            </w:r>
          </w:p>
        </w:tc>
        <w:tc>
          <w:tcPr>
            <w:tcW w:w="1890" w:type="dxa"/>
            <w:shd w:val="clear" w:color="auto" w:fill="F2F2F2" w:themeFill="background1" w:themeFillShade="F2"/>
          </w:tcPr>
          <w:p w:rsidR="001C1ECE" w:rsidRPr="001C1ECE" w:rsidRDefault="001C1ECE" w:rsidP="00AB6EA3">
            <w:pPr>
              <w:spacing w:before="20" w:after="20"/>
              <w:ind w:left="0"/>
              <w:rPr>
                <w:sz w:val="20"/>
                <w:szCs w:val="20"/>
              </w:rPr>
            </w:pPr>
            <w:r w:rsidRPr="001C1ECE">
              <w:rPr>
                <w:sz w:val="20"/>
                <w:szCs w:val="20"/>
              </w:rPr>
              <w:t>Source</w:t>
            </w:r>
          </w:p>
        </w:tc>
      </w:tr>
      <w:tr w:rsidR="00E06116" w:rsidRPr="00EE1F18" w:rsidTr="00CE5BD5">
        <w:tc>
          <w:tcPr>
            <w:tcW w:w="494" w:type="dxa"/>
          </w:tcPr>
          <w:p w:rsidR="00E06116" w:rsidRDefault="00E06116" w:rsidP="00CE5BD5">
            <w:pPr>
              <w:spacing w:before="20" w:after="20"/>
              <w:ind w:left="72"/>
              <w:rPr>
                <w:sz w:val="20"/>
                <w:szCs w:val="20"/>
              </w:rPr>
            </w:pPr>
            <w:r>
              <w:rPr>
                <w:sz w:val="20"/>
                <w:szCs w:val="20"/>
              </w:rPr>
              <w:t>1</w:t>
            </w:r>
          </w:p>
        </w:tc>
        <w:tc>
          <w:tcPr>
            <w:tcW w:w="6166" w:type="dxa"/>
          </w:tcPr>
          <w:p w:rsidR="00E06116" w:rsidRPr="003E36DE" w:rsidRDefault="00E06116" w:rsidP="00CE5BD5">
            <w:pPr>
              <w:spacing w:before="20" w:after="20"/>
              <w:ind w:left="0"/>
              <w:rPr>
                <w:i/>
              </w:rPr>
            </w:pPr>
            <w:proofErr w:type="spellStart"/>
            <w:r w:rsidRPr="003E36DE">
              <w:rPr>
                <w:i/>
              </w:rPr>
              <w:t>AcctManagement</w:t>
            </w:r>
            <w:proofErr w:type="spellEnd"/>
            <w:r w:rsidRPr="003E36DE">
              <w:rPr>
                <w:i/>
              </w:rPr>
              <w:t xml:space="preserve"> MP updates for 2017_2017-04-18.pptx</w:t>
            </w:r>
          </w:p>
        </w:tc>
        <w:tc>
          <w:tcPr>
            <w:tcW w:w="1890" w:type="dxa"/>
          </w:tcPr>
          <w:p w:rsidR="00E06116" w:rsidRDefault="00E06116" w:rsidP="00CE5BD5">
            <w:pPr>
              <w:spacing w:before="20" w:after="20"/>
              <w:ind w:left="0"/>
              <w:rPr>
                <w:sz w:val="20"/>
                <w:szCs w:val="20"/>
              </w:rPr>
            </w:pPr>
            <w:r>
              <w:rPr>
                <w:sz w:val="20"/>
                <w:szCs w:val="20"/>
              </w:rPr>
              <w:t>SWIFT Standards</w:t>
            </w:r>
          </w:p>
        </w:tc>
      </w:tr>
      <w:tr w:rsidR="00E06116" w:rsidRPr="00EE1F18" w:rsidTr="00CE5BD5">
        <w:tc>
          <w:tcPr>
            <w:tcW w:w="494" w:type="dxa"/>
          </w:tcPr>
          <w:p w:rsidR="00E06116" w:rsidRPr="001C1ECE" w:rsidRDefault="00E06116" w:rsidP="00CE5BD5">
            <w:pPr>
              <w:spacing w:before="20" w:after="20"/>
              <w:ind w:left="72"/>
              <w:rPr>
                <w:sz w:val="20"/>
                <w:szCs w:val="20"/>
              </w:rPr>
            </w:pPr>
            <w:r>
              <w:rPr>
                <w:sz w:val="20"/>
                <w:szCs w:val="20"/>
              </w:rPr>
              <w:t>2</w:t>
            </w:r>
          </w:p>
        </w:tc>
        <w:tc>
          <w:tcPr>
            <w:tcW w:w="6166" w:type="dxa"/>
          </w:tcPr>
          <w:p w:rsidR="00E06116" w:rsidRPr="003E36DE" w:rsidRDefault="00E06116" w:rsidP="00CE5BD5">
            <w:pPr>
              <w:spacing w:before="20" w:after="20"/>
              <w:ind w:left="0"/>
              <w:rPr>
                <w:i/>
                <w:sz w:val="20"/>
                <w:szCs w:val="20"/>
              </w:rPr>
            </w:pPr>
            <w:r w:rsidRPr="003E36DE">
              <w:rPr>
                <w:i/>
              </w:rPr>
              <w:t>Funds Overview semt.009 Diff between V02 and V09_v2.pptx</w:t>
            </w:r>
            <w:r>
              <w:rPr>
                <w:i/>
              </w:rPr>
              <w:t xml:space="preserve"> (updated)</w:t>
            </w:r>
          </w:p>
        </w:tc>
        <w:tc>
          <w:tcPr>
            <w:tcW w:w="1890" w:type="dxa"/>
          </w:tcPr>
          <w:p w:rsidR="00E06116" w:rsidRPr="001C1ECE" w:rsidRDefault="00E06116" w:rsidP="00CE5BD5">
            <w:pPr>
              <w:spacing w:before="20" w:after="20"/>
              <w:ind w:left="0"/>
              <w:rPr>
                <w:sz w:val="20"/>
                <w:szCs w:val="20"/>
              </w:rPr>
            </w:pPr>
            <w:r>
              <w:rPr>
                <w:sz w:val="20"/>
                <w:szCs w:val="20"/>
              </w:rPr>
              <w:t>SWIFT Standards</w:t>
            </w:r>
          </w:p>
        </w:tc>
      </w:tr>
      <w:tr w:rsidR="001C1ECE" w:rsidRPr="00EE1F18" w:rsidTr="00465FA6">
        <w:tc>
          <w:tcPr>
            <w:tcW w:w="494" w:type="dxa"/>
          </w:tcPr>
          <w:p w:rsidR="001C1ECE" w:rsidRPr="001C1ECE" w:rsidRDefault="00E06116" w:rsidP="00462820">
            <w:pPr>
              <w:spacing w:before="20" w:after="20"/>
              <w:ind w:left="72"/>
              <w:rPr>
                <w:sz w:val="20"/>
                <w:szCs w:val="20"/>
              </w:rPr>
            </w:pPr>
            <w:r>
              <w:rPr>
                <w:sz w:val="20"/>
                <w:szCs w:val="20"/>
              </w:rPr>
              <w:t>3</w:t>
            </w:r>
          </w:p>
        </w:tc>
        <w:tc>
          <w:tcPr>
            <w:tcW w:w="6166" w:type="dxa"/>
          </w:tcPr>
          <w:p w:rsidR="001C1ECE" w:rsidRPr="003E36DE" w:rsidRDefault="00465FA6" w:rsidP="003E36DE">
            <w:pPr>
              <w:spacing w:before="20" w:after="20"/>
              <w:ind w:left="0"/>
              <w:rPr>
                <w:i/>
                <w:color w:val="000000"/>
                <w:sz w:val="20"/>
                <w:szCs w:val="20"/>
                <w:lang w:val="da-DK"/>
              </w:rPr>
            </w:pPr>
            <w:r w:rsidRPr="003E36DE">
              <w:rPr>
                <w:i/>
              </w:rPr>
              <w:t xml:space="preserve">MiFID II_ OICR_SMPG AM_2.xlsx </w:t>
            </w:r>
          </w:p>
        </w:tc>
        <w:tc>
          <w:tcPr>
            <w:tcW w:w="1890" w:type="dxa"/>
          </w:tcPr>
          <w:p w:rsidR="001C1ECE" w:rsidRPr="001C1ECE" w:rsidRDefault="00465FA6" w:rsidP="00D524AA">
            <w:pPr>
              <w:spacing w:before="20" w:after="20"/>
              <w:ind w:left="0"/>
              <w:rPr>
                <w:sz w:val="20"/>
                <w:szCs w:val="20"/>
              </w:rPr>
            </w:pPr>
            <w:r>
              <w:rPr>
                <w:sz w:val="20"/>
                <w:szCs w:val="20"/>
              </w:rPr>
              <w:t xml:space="preserve">Andrea </w:t>
            </w:r>
            <w:proofErr w:type="spellStart"/>
            <w:r>
              <w:rPr>
                <w:sz w:val="20"/>
                <w:szCs w:val="20"/>
              </w:rPr>
              <w:t>Milanesio</w:t>
            </w:r>
            <w:proofErr w:type="spellEnd"/>
          </w:p>
        </w:tc>
      </w:tr>
      <w:tr w:rsidR="00E06116" w:rsidRPr="00EE1F18" w:rsidTr="00CE5BD5">
        <w:tc>
          <w:tcPr>
            <w:tcW w:w="494" w:type="dxa"/>
          </w:tcPr>
          <w:p w:rsidR="00E06116" w:rsidRDefault="00E06116" w:rsidP="00CE5BD5">
            <w:pPr>
              <w:spacing w:before="20" w:after="20"/>
              <w:ind w:left="72"/>
              <w:rPr>
                <w:sz w:val="20"/>
                <w:szCs w:val="20"/>
              </w:rPr>
            </w:pPr>
            <w:r>
              <w:rPr>
                <w:sz w:val="20"/>
                <w:szCs w:val="20"/>
              </w:rPr>
              <w:t>4</w:t>
            </w:r>
          </w:p>
        </w:tc>
        <w:tc>
          <w:tcPr>
            <w:tcW w:w="6166" w:type="dxa"/>
          </w:tcPr>
          <w:p w:rsidR="00E06116" w:rsidRPr="003E36DE" w:rsidRDefault="00E06116" w:rsidP="00E06116">
            <w:pPr>
              <w:spacing w:before="20" w:after="20"/>
              <w:ind w:left="0"/>
              <w:rPr>
                <w:i/>
              </w:rPr>
            </w:pPr>
            <w:r w:rsidRPr="00E06116">
              <w:rPr>
                <w:i/>
              </w:rPr>
              <w:t>Order MP Inclusion Hedge_2017-04-21.pptx</w:t>
            </w:r>
          </w:p>
        </w:tc>
        <w:tc>
          <w:tcPr>
            <w:tcW w:w="1890" w:type="dxa"/>
          </w:tcPr>
          <w:p w:rsidR="00E06116" w:rsidRDefault="00E06116" w:rsidP="00CE5BD5">
            <w:pPr>
              <w:spacing w:before="20" w:after="20"/>
              <w:ind w:left="0"/>
              <w:rPr>
                <w:sz w:val="20"/>
                <w:szCs w:val="20"/>
              </w:rPr>
            </w:pPr>
            <w:r>
              <w:rPr>
                <w:sz w:val="20"/>
                <w:szCs w:val="20"/>
              </w:rPr>
              <w:t>SWIFT Standards</w:t>
            </w:r>
          </w:p>
        </w:tc>
      </w:tr>
      <w:tr w:rsidR="00E06116" w:rsidRPr="00EE1F18" w:rsidTr="00CE5BD5">
        <w:tc>
          <w:tcPr>
            <w:tcW w:w="494" w:type="dxa"/>
          </w:tcPr>
          <w:p w:rsidR="00E06116" w:rsidRDefault="00E06116" w:rsidP="00CE5BD5">
            <w:pPr>
              <w:spacing w:before="20" w:after="20"/>
              <w:ind w:left="72"/>
              <w:rPr>
                <w:sz w:val="20"/>
                <w:szCs w:val="20"/>
              </w:rPr>
            </w:pPr>
            <w:r>
              <w:rPr>
                <w:sz w:val="20"/>
                <w:szCs w:val="20"/>
              </w:rPr>
              <w:t>5</w:t>
            </w:r>
          </w:p>
        </w:tc>
        <w:tc>
          <w:tcPr>
            <w:tcW w:w="6166" w:type="dxa"/>
          </w:tcPr>
          <w:p w:rsidR="00E06116" w:rsidRPr="003E36DE" w:rsidRDefault="00E06116" w:rsidP="00E06116">
            <w:pPr>
              <w:spacing w:before="20" w:after="20"/>
              <w:ind w:left="0"/>
              <w:rPr>
                <w:i/>
              </w:rPr>
            </w:pPr>
            <w:r w:rsidRPr="003E36DE">
              <w:rPr>
                <w:i/>
              </w:rPr>
              <w:t>Order MP Meeting Material_Revised_2016-03-22.pptx</w:t>
            </w:r>
          </w:p>
        </w:tc>
        <w:tc>
          <w:tcPr>
            <w:tcW w:w="1890" w:type="dxa"/>
          </w:tcPr>
          <w:p w:rsidR="00E06116" w:rsidRPr="001C1ECE" w:rsidRDefault="00E06116" w:rsidP="00CE5BD5">
            <w:pPr>
              <w:spacing w:before="20" w:after="20"/>
              <w:ind w:left="0"/>
              <w:rPr>
                <w:sz w:val="20"/>
                <w:szCs w:val="20"/>
              </w:rPr>
            </w:pPr>
            <w:r>
              <w:rPr>
                <w:sz w:val="20"/>
                <w:szCs w:val="20"/>
              </w:rPr>
              <w:t>SWIFT Standards</w:t>
            </w:r>
          </w:p>
        </w:tc>
      </w:tr>
      <w:tr w:rsidR="00E06116" w:rsidRPr="001C1ECE" w:rsidTr="00CE5BD5">
        <w:tc>
          <w:tcPr>
            <w:tcW w:w="494" w:type="dxa"/>
          </w:tcPr>
          <w:p w:rsidR="00E06116" w:rsidRDefault="00E06116" w:rsidP="00CE5BD5">
            <w:pPr>
              <w:spacing w:before="20" w:after="20"/>
              <w:ind w:left="72"/>
              <w:rPr>
                <w:sz w:val="20"/>
                <w:szCs w:val="20"/>
              </w:rPr>
            </w:pPr>
            <w:r>
              <w:rPr>
                <w:sz w:val="20"/>
                <w:szCs w:val="20"/>
              </w:rPr>
              <w:t>6</w:t>
            </w:r>
          </w:p>
        </w:tc>
        <w:tc>
          <w:tcPr>
            <w:tcW w:w="6166" w:type="dxa"/>
          </w:tcPr>
          <w:p w:rsidR="00E06116" w:rsidRPr="003E36DE" w:rsidRDefault="00E06116" w:rsidP="00CE5BD5">
            <w:pPr>
              <w:spacing w:before="20" w:after="20"/>
              <w:ind w:left="0"/>
              <w:rPr>
                <w:i/>
                <w:color w:val="000000"/>
                <w:sz w:val="20"/>
                <w:szCs w:val="20"/>
                <w:lang w:val="da-DK"/>
              </w:rPr>
            </w:pPr>
            <w:r w:rsidRPr="003E36DE">
              <w:rPr>
                <w:i/>
              </w:rPr>
              <w:t>setr.010_UG_Comparison_2017-05-10.xlsx</w:t>
            </w:r>
            <w:r>
              <w:rPr>
                <w:i/>
              </w:rPr>
              <w:t xml:space="preserve"> (updated)</w:t>
            </w:r>
          </w:p>
        </w:tc>
        <w:tc>
          <w:tcPr>
            <w:tcW w:w="1890" w:type="dxa"/>
          </w:tcPr>
          <w:p w:rsidR="00E06116" w:rsidRDefault="00E06116" w:rsidP="00CE5BD5">
            <w:pPr>
              <w:spacing w:before="20" w:after="20"/>
              <w:ind w:left="0"/>
              <w:rPr>
                <w:sz w:val="20"/>
                <w:szCs w:val="20"/>
              </w:rPr>
            </w:pPr>
            <w:r>
              <w:rPr>
                <w:sz w:val="20"/>
                <w:szCs w:val="20"/>
              </w:rPr>
              <w:t>SWIFT Standards</w:t>
            </w:r>
          </w:p>
        </w:tc>
      </w:tr>
      <w:tr w:rsidR="00E06116" w:rsidRPr="001C1ECE" w:rsidTr="00CE5BD5">
        <w:tc>
          <w:tcPr>
            <w:tcW w:w="494" w:type="dxa"/>
          </w:tcPr>
          <w:p w:rsidR="00E06116" w:rsidRDefault="00E06116" w:rsidP="00CE5BD5">
            <w:pPr>
              <w:spacing w:before="20" w:after="20"/>
              <w:ind w:left="72"/>
              <w:rPr>
                <w:sz w:val="20"/>
                <w:szCs w:val="20"/>
              </w:rPr>
            </w:pPr>
            <w:r>
              <w:rPr>
                <w:sz w:val="20"/>
                <w:szCs w:val="20"/>
              </w:rPr>
              <w:t>7</w:t>
            </w:r>
          </w:p>
        </w:tc>
        <w:tc>
          <w:tcPr>
            <w:tcW w:w="6166" w:type="dxa"/>
          </w:tcPr>
          <w:p w:rsidR="00E06116" w:rsidRPr="003E36DE" w:rsidRDefault="00E06116" w:rsidP="00CE5BD5">
            <w:pPr>
              <w:spacing w:before="20" w:after="20"/>
              <w:ind w:left="0"/>
              <w:rPr>
                <w:i/>
              </w:rPr>
            </w:pPr>
            <w:r w:rsidRPr="003E36DE">
              <w:rPr>
                <w:i/>
              </w:rPr>
              <w:t>setr.012_UG_Comparison_2017-05-10.xlsx</w:t>
            </w:r>
            <w:r>
              <w:rPr>
                <w:i/>
              </w:rPr>
              <w:t xml:space="preserve"> (updated)</w:t>
            </w:r>
          </w:p>
        </w:tc>
        <w:tc>
          <w:tcPr>
            <w:tcW w:w="1890" w:type="dxa"/>
          </w:tcPr>
          <w:p w:rsidR="00E06116" w:rsidRDefault="00E06116" w:rsidP="00CE5BD5">
            <w:pPr>
              <w:spacing w:before="20" w:after="20"/>
              <w:ind w:left="0"/>
              <w:rPr>
                <w:sz w:val="20"/>
                <w:szCs w:val="20"/>
              </w:rPr>
            </w:pPr>
            <w:r>
              <w:rPr>
                <w:sz w:val="20"/>
                <w:szCs w:val="20"/>
              </w:rPr>
              <w:t>SWIFT Standards</w:t>
            </w:r>
          </w:p>
        </w:tc>
      </w:tr>
      <w:tr w:rsidR="00E06116" w:rsidRPr="00EE1F18" w:rsidTr="00CE5BD5">
        <w:tc>
          <w:tcPr>
            <w:tcW w:w="494" w:type="dxa"/>
          </w:tcPr>
          <w:p w:rsidR="00E06116" w:rsidRPr="001C1ECE" w:rsidRDefault="00E06116" w:rsidP="00CE5BD5">
            <w:pPr>
              <w:spacing w:before="20" w:after="20"/>
              <w:ind w:left="72"/>
              <w:rPr>
                <w:sz w:val="20"/>
                <w:szCs w:val="20"/>
              </w:rPr>
            </w:pPr>
            <w:r>
              <w:rPr>
                <w:sz w:val="20"/>
                <w:szCs w:val="20"/>
              </w:rPr>
              <w:t>8</w:t>
            </w:r>
          </w:p>
        </w:tc>
        <w:tc>
          <w:tcPr>
            <w:tcW w:w="6166" w:type="dxa"/>
          </w:tcPr>
          <w:p w:rsidR="00E06116" w:rsidRPr="003E36DE" w:rsidRDefault="00E06116" w:rsidP="00CE5BD5">
            <w:pPr>
              <w:spacing w:before="20" w:after="20"/>
              <w:ind w:left="0"/>
              <w:rPr>
                <w:i/>
                <w:color w:val="000000"/>
                <w:sz w:val="20"/>
                <w:szCs w:val="20"/>
                <w:lang w:val="da-DK"/>
              </w:rPr>
            </w:pPr>
            <w:r w:rsidRPr="003E36DE">
              <w:rPr>
                <w:i/>
              </w:rPr>
              <w:t>SMPG-</w:t>
            </w:r>
            <w:proofErr w:type="spellStart"/>
            <w:r w:rsidRPr="003E36DE">
              <w:rPr>
                <w:i/>
              </w:rPr>
              <w:t>IFWG_ResearchFee</w:t>
            </w:r>
            <w:proofErr w:type="spellEnd"/>
            <w:r w:rsidRPr="003E36DE">
              <w:rPr>
                <w:i/>
              </w:rPr>
              <w:t xml:space="preserve"> and other MiFID.pptx</w:t>
            </w:r>
          </w:p>
        </w:tc>
        <w:tc>
          <w:tcPr>
            <w:tcW w:w="1890" w:type="dxa"/>
          </w:tcPr>
          <w:p w:rsidR="00E06116" w:rsidRPr="001C1ECE" w:rsidRDefault="00E06116" w:rsidP="00CE5BD5">
            <w:pPr>
              <w:spacing w:before="20" w:after="20"/>
              <w:ind w:left="0"/>
              <w:rPr>
                <w:sz w:val="20"/>
                <w:szCs w:val="20"/>
              </w:rPr>
            </w:pPr>
            <w:r>
              <w:rPr>
                <w:sz w:val="20"/>
                <w:szCs w:val="20"/>
              </w:rPr>
              <w:t>SWIFT Standards</w:t>
            </w:r>
          </w:p>
        </w:tc>
      </w:tr>
    </w:tbl>
    <w:p w:rsidR="008A032D" w:rsidRDefault="008A032D" w:rsidP="006E3A6E">
      <w:r>
        <w:t xml:space="preserve">The presentations are stored in the folder </w:t>
      </w:r>
      <w:r w:rsidR="00044BAC">
        <w:rPr>
          <w:b/>
        </w:rPr>
        <w:t>2017-1</w:t>
      </w:r>
      <w:r w:rsidRPr="008A032D">
        <w:rPr>
          <w:b/>
        </w:rPr>
        <w:t>_</w:t>
      </w:r>
      <w:r w:rsidR="00044BAC">
        <w:rPr>
          <w:b/>
        </w:rPr>
        <w:t>Spring</w:t>
      </w:r>
      <w:r w:rsidRPr="008A032D">
        <w:rPr>
          <w:b/>
        </w:rPr>
        <w:t>_</w:t>
      </w:r>
      <w:r w:rsidR="00A664CD">
        <w:rPr>
          <w:b/>
        </w:rPr>
        <w:t>Dublin</w:t>
      </w:r>
      <w:r>
        <w:rPr>
          <w:b/>
        </w:rPr>
        <w:t>:</w:t>
      </w:r>
    </w:p>
    <w:p w:rsidR="008A032D" w:rsidRDefault="00044BAC" w:rsidP="006E3A6E">
      <w:r>
        <w:rPr>
          <w:noProof/>
          <w:lang w:eastAsia="en-GB"/>
        </w:rPr>
        <w:drawing>
          <wp:inline distT="0" distB="0" distL="0" distR="0" wp14:anchorId="3C88D84F" wp14:editId="68DF13EE">
            <wp:extent cx="3738245"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8245" cy="1638300"/>
                    </a:xfrm>
                    <a:prstGeom prst="rect">
                      <a:avLst/>
                    </a:prstGeom>
                    <a:noFill/>
                    <a:ln>
                      <a:noFill/>
                    </a:ln>
                  </pic:spPr>
                </pic:pic>
              </a:graphicData>
            </a:graphic>
          </wp:inline>
        </w:drawing>
      </w:r>
    </w:p>
    <w:p w:rsidR="006E3A6E" w:rsidRDefault="006E3A6E" w:rsidP="006E3A6E"/>
    <w:p w:rsidR="008A032D" w:rsidRDefault="008A032D" w:rsidP="008A032D">
      <w:pPr>
        <w:pStyle w:val="Heading2"/>
      </w:pPr>
      <w:r>
        <w:t>Minutes and Action items</w:t>
      </w:r>
      <w:r w:rsidR="001F5DDC">
        <w:t xml:space="preserve"> Documents</w:t>
      </w:r>
    </w:p>
    <w:p w:rsidR="008A032D" w:rsidRDefault="001F5DDC" w:rsidP="008A032D">
      <w:r>
        <w:t>This document and the action items spreadsheet</w:t>
      </w:r>
      <w:r w:rsidR="008A032D">
        <w:t xml:space="preserve"> are stored in the folder </w:t>
      </w:r>
      <w:r w:rsidR="00777400">
        <w:rPr>
          <w:b/>
        </w:rPr>
        <w:t>2017-1</w:t>
      </w:r>
      <w:r w:rsidR="008A032D" w:rsidRPr="008A032D">
        <w:rPr>
          <w:b/>
        </w:rPr>
        <w:t>_</w:t>
      </w:r>
      <w:r w:rsidR="00777400">
        <w:rPr>
          <w:b/>
        </w:rPr>
        <w:t>Spring</w:t>
      </w:r>
      <w:r w:rsidR="008A032D" w:rsidRPr="008A032D">
        <w:rPr>
          <w:b/>
        </w:rPr>
        <w:t>_</w:t>
      </w:r>
      <w:r w:rsidR="00777400">
        <w:rPr>
          <w:b/>
        </w:rPr>
        <w:t>Dublin</w:t>
      </w:r>
      <w:r w:rsidR="00050122">
        <w:rPr>
          <w:b/>
        </w:rPr>
        <w:t xml:space="preserve"> </w:t>
      </w:r>
      <w:r w:rsidR="008A032D" w:rsidRPr="008A032D">
        <w:t>at the root</w:t>
      </w:r>
      <w:r w:rsidR="008A032D">
        <w:t xml:space="preserve"> (click on the fo</w:t>
      </w:r>
      <w:r w:rsidR="001A4434">
        <w:t>lder name and look to the right side</w:t>
      </w:r>
      <w:r w:rsidR="008A032D">
        <w:t xml:space="preserve"> of the screen).</w:t>
      </w:r>
    </w:p>
    <w:p w:rsidR="001D4ED1" w:rsidRPr="008A032D" w:rsidRDefault="002C58F7" w:rsidP="001D4ED1">
      <w:pPr>
        <w:ind w:left="0"/>
      </w:pPr>
      <w:r>
        <w:rPr>
          <w:noProof/>
          <w:lang w:eastAsia="en-GB"/>
        </w:rPr>
        <w:drawing>
          <wp:inline distT="0" distB="0" distL="0" distR="0">
            <wp:extent cx="5903595" cy="138239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3595" cy="1382395"/>
                    </a:xfrm>
                    <a:prstGeom prst="rect">
                      <a:avLst/>
                    </a:prstGeom>
                    <a:noFill/>
                    <a:ln>
                      <a:noFill/>
                    </a:ln>
                  </pic:spPr>
                </pic:pic>
              </a:graphicData>
            </a:graphic>
          </wp:inline>
        </w:drawing>
      </w:r>
    </w:p>
    <w:p w:rsidR="00623218" w:rsidRPr="00EE1F18" w:rsidRDefault="00623218" w:rsidP="00623218">
      <w:pPr>
        <w:pStyle w:val="Heading1"/>
      </w:pPr>
      <w:bookmarkStart w:id="7" w:name="_Toc484589023"/>
      <w:r w:rsidRPr="00EE1F18">
        <w:t>Agenda Overview</w:t>
      </w:r>
      <w:bookmarkEnd w:id="7"/>
    </w:p>
    <w:p w:rsidR="00623218" w:rsidRDefault="00623218" w:rsidP="000C37E8">
      <w:pPr>
        <w:pStyle w:val="ListParagraph"/>
        <w:numPr>
          <w:ilvl w:val="0"/>
          <w:numId w:val="26"/>
        </w:numPr>
      </w:pPr>
      <w:r w:rsidRPr="00D30D22">
        <w:t xml:space="preserve">NMPG </w:t>
      </w:r>
      <w:r w:rsidR="009D7EC7">
        <w:t xml:space="preserve">country </w:t>
      </w:r>
      <w:r w:rsidRPr="00D30D22">
        <w:t>updates</w:t>
      </w:r>
      <w:r>
        <w:t xml:space="preserve"> </w:t>
      </w:r>
    </w:p>
    <w:p w:rsidR="00867FC3" w:rsidRDefault="00777400" w:rsidP="000C37E8">
      <w:pPr>
        <w:pStyle w:val="ListParagraph"/>
        <w:numPr>
          <w:ilvl w:val="0"/>
          <w:numId w:val="26"/>
        </w:numPr>
      </w:pPr>
      <w:r>
        <w:t>Order Market Practice – elements for anti-money laundering (AML)</w:t>
      </w:r>
    </w:p>
    <w:p w:rsidR="00777400" w:rsidRDefault="00777400" w:rsidP="000C37E8">
      <w:pPr>
        <w:pStyle w:val="ListParagraph"/>
        <w:numPr>
          <w:ilvl w:val="0"/>
          <w:numId w:val="26"/>
        </w:numPr>
      </w:pPr>
      <w:r>
        <w:t xml:space="preserve">Order Market Practice – MiFID: </w:t>
      </w:r>
      <w:r w:rsidR="00C95CE6">
        <w:t>impact</w:t>
      </w:r>
    </w:p>
    <w:p w:rsidR="00777400" w:rsidRDefault="00777400" w:rsidP="000C37E8">
      <w:pPr>
        <w:pStyle w:val="ListParagraph"/>
        <w:numPr>
          <w:ilvl w:val="0"/>
          <w:numId w:val="26"/>
        </w:numPr>
      </w:pPr>
      <w:r>
        <w:lastRenderedPageBreak/>
        <w:t>MiFID – impact on other messages (Price Reports)</w:t>
      </w:r>
    </w:p>
    <w:p w:rsidR="00BF2DB1" w:rsidRDefault="00777400" w:rsidP="000C37E8">
      <w:pPr>
        <w:pStyle w:val="ListParagraph"/>
        <w:numPr>
          <w:ilvl w:val="0"/>
          <w:numId w:val="26"/>
        </w:numPr>
      </w:pPr>
      <w:r>
        <w:t>Order Market Practice – ‘process’ document</w:t>
      </w:r>
    </w:p>
    <w:p w:rsidR="00867FC3" w:rsidRDefault="00777400" w:rsidP="00867FC3">
      <w:pPr>
        <w:pStyle w:val="ListParagraph"/>
        <w:numPr>
          <w:ilvl w:val="0"/>
          <w:numId w:val="26"/>
        </w:numPr>
      </w:pPr>
      <w:r>
        <w:t>Order Market Practice – review &amp; finalisation</w:t>
      </w:r>
    </w:p>
    <w:p w:rsidR="00777400" w:rsidRDefault="00777400" w:rsidP="00867FC3">
      <w:pPr>
        <w:pStyle w:val="ListParagraph"/>
        <w:numPr>
          <w:ilvl w:val="0"/>
          <w:numId w:val="26"/>
        </w:numPr>
      </w:pPr>
      <w:r>
        <w:t>Alternative/hedge funds – order market practice</w:t>
      </w:r>
    </w:p>
    <w:p w:rsidR="00777400" w:rsidRDefault="00777400" w:rsidP="00867FC3">
      <w:pPr>
        <w:pStyle w:val="ListParagraph"/>
        <w:numPr>
          <w:ilvl w:val="0"/>
          <w:numId w:val="26"/>
        </w:numPr>
      </w:pPr>
      <w:r>
        <w:t xml:space="preserve">Account Management Market </w:t>
      </w:r>
      <w:r w:rsidR="00C95CE6">
        <w:t>Practice</w:t>
      </w:r>
      <w:r>
        <w:t xml:space="preserve"> – review &amp; finalisation</w:t>
      </w:r>
    </w:p>
    <w:p w:rsidR="00AC0EDF" w:rsidRDefault="00C95CE6" w:rsidP="00867FC3">
      <w:pPr>
        <w:pStyle w:val="ListParagraph"/>
        <w:numPr>
          <w:ilvl w:val="0"/>
          <w:numId w:val="26"/>
        </w:numPr>
      </w:pPr>
      <w:r>
        <w:t>Transfers</w:t>
      </w:r>
      <w:r w:rsidR="00AC0EDF">
        <w:t xml:space="preserve"> – where are we?</w:t>
      </w:r>
    </w:p>
    <w:p w:rsidR="00BF2DB1" w:rsidRDefault="00BF2DB1" w:rsidP="000C37E8">
      <w:pPr>
        <w:pStyle w:val="ListParagraph"/>
        <w:numPr>
          <w:ilvl w:val="0"/>
          <w:numId w:val="26"/>
        </w:numPr>
      </w:pPr>
      <w:r>
        <w:t>Statements</w:t>
      </w:r>
      <w:r w:rsidR="00777400">
        <w:t xml:space="preserve"> (if time)</w:t>
      </w:r>
    </w:p>
    <w:p w:rsidR="00BF2DB1" w:rsidRDefault="00BF2DB1" w:rsidP="00867FC3">
      <w:pPr>
        <w:pStyle w:val="ListParagraph"/>
        <w:numPr>
          <w:ilvl w:val="0"/>
          <w:numId w:val="26"/>
        </w:numPr>
      </w:pPr>
      <w:r>
        <w:t xml:space="preserve">Working Group Co-chairs </w:t>
      </w:r>
    </w:p>
    <w:p w:rsidR="005B7298" w:rsidRDefault="00882C10" w:rsidP="005B7298">
      <w:pPr>
        <w:pStyle w:val="ListParagraph"/>
        <w:numPr>
          <w:ilvl w:val="0"/>
          <w:numId w:val="26"/>
        </w:numPr>
      </w:pPr>
      <w:r>
        <w:t>Action i</w:t>
      </w:r>
      <w:r w:rsidR="004633C2">
        <w:t xml:space="preserve">tems </w:t>
      </w:r>
      <w:r>
        <w:t>r</w:t>
      </w:r>
      <w:r w:rsidR="004633C2">
        <w:t xml:space="preserve">eview, </w:t>
      </w:r>
      <w:r>
        <w:t>p</w:t>
      </w:r>
      <w:r w:rsidR="004633C2">
        <w:t xml:space="preserve">riorities, </w:t>
      </w:r>
      <w:r>
        <w:t>f</w:t>
      </w:r>
      <w:r w:rsidR="00623218">
        <w:t>uture work plan</w:t>
      </w:r>
    </w:p>
    <w:p w:rsidR="009544A7" w:rsidRDefault="009544A7" w:rsidP="009544A7">
      <w:pPr>
        <w:pStyle w:val="Heading1"/>
      </w:pPr>
      <w:bookmarkStart w:id="8" w:name="_Toc484589024"/>
      <w:r>
        <w:t>NMPG Country Update</w:t>
      </w:r>
      <w:r w:rsidR="00015BCC">
        <w:t xml:space="preserve"> – </w:t>
      </w:r>
      <w:r w:rsidR="00FB2A6E">
        <w:t>BR Brazil</w:t>
      </w:r>
      <w:bookmarkEnd w:id="8"/>
      <w:r w:rsidR="001F5DDC">
        <w:t xml:space="preserve"> </w:t>
      </w:r>
    </w:p>
    <w:p w:rsidR="00367BA7" w:rsidRDefault="00367BA7" w:rsidP="00367BA7">
      <w:pPr>
        <w:pStyle w:val="Heading2"/>
      </w:pPr>
      <w:r>
        <w:t>Current Market Practice Status</w:t>
      </w:r>
    </w:p>
    <w:p w:rsidR="00367BA7" w:rsidRDefault="00367BA7" w:rsidP="00367BA7">
      <w:pPr>
        <w:pStyle w:val="Heading3"/>
      </w:pPr>
      <w:r>
        <w:t>Securities Management</w:t>
      </w:r>
    </w:p>
    <w:p w:rsidR="00367BA7" w:rsidRPr="00E95FAF" w:rsidRDefault="00367BA7" w:rsidP="00367BA7">
      <w:pPr>
        <w:pStyle w:val="Normal2"/>
        <w:rPr>
          <w:b/>
        </w:rPr>
      </w:pPr>
      <w:r w:rsidRPr="00E95FAF">
        <w:t>Since 2015, the custodians are already adopting a message based on th</w:t>
      </w:r>
      <w:r>
        <w:t xml:space="preserve">e </w:t>
      </w:r>
      <w:r w:rsidRPr="00E95FAF">
        <w:t>SecuritiesBalanceAccountingReportV04 – ISO 20022. On November,</w:t>
      </w:r>
      <w:r>
        <w:t xml:space="preserve"> </w:t>
      </w:r>
      <w:r w:rsidRPr="00E95FAF">
        <w:t>2016 the Brazilian Regulatory Agency for Pension Funds</w:t>
      </w:r>
      <w:r>
        <w:t xml:space="preserve"> (PREVIC)</w:t>
      </w:r>
      <w:r w:rsidRPr="00E95FAF">
        <w:t xml:space="preserve"> decided to adopt this message in order to receive information regarding the portfolio of pension funds. Having a regulatory obligation helps a lot developing more knowledge of the standard within the Brazilian securities market.</w:t>
      </w:r>
    </w:p>
    <w:p w:rsidR="00367BA7" w:rsidRDefault="00367BA7" w:rsidP="00367BA7">
      <w:pPr>
        <w:pStyle w:val="Heading2"/>
      </w:pPr>
      <w:r>
        <w:t>Next Steps / Future Market Practice</w:t>
      </w:r>
    </w:p>
    <w:p w:rsidR="00367BA7" w:rsidRPr="00E95FAF" w:rsidRDefault="00367BA7" w:rsidP="00367BA7">
      <w:pPr>
        <w:pStyle w:val="Heading3"/>
      </w:pPr>
      <w:r w:rsidRPr="00E95FAF">
        <w:t>Reference Data Messages</w:t>
      </w:r>
    </w:p>
    <w:p w:rsidR="00367BA7" w:rsidRPr="00E95FAF" w:rsidRDefault="00367BA7" w:rsidP="00367BA7">
      <w:pPr>
        <w:pStyle w:val="Normal2"/>
      </w:pPr>
      <w:r w:rsidRPr="00E95FAF">
        <w:t xml:space="preserve">B³ (merge between </w:t>
      </w:r>
      <w:proofErr w:type="spellStart"/>
      <w:r w:rsidRPr="00E95FAF">
        <w:t>Cetip</w:t>
      </w:r>
      <w:proofErr w:type="spellEnd"/>
      <w:r w:rsidRPr="00E95FAF">
        <w:t xml:space="preserve"> and BM&amp;F BOVESPA) submitted, in December 2016, a ISO 20022 Business Justification proposing the development of standardized and automated processes for securities reference data report and response, within the pre-investment and pre-trade business areas.</w:t>
      </w:r>
    </w:p>
    <w:p w:rsidR="00367BA7" w:rsidRPr="00E95FAF" w:rsidRDefault="00367BA7" w:rsidP="00367BA7">
      <w:pPr>
        <w:pStyle w:val="Normal2"/>
      </w:pPr>
      <w:r w:rsidRPr="00E95FAF">
        <w:rPr>
          <w:b/>
        </w:rPr>
        <w:t>Objective:</w:t>
      </w:r>
      <w:r w:rsidRPr="00E95FAF">
        <w:t xml:space="preserve"> enable and disseminate information to the market participants (both national and international) as a whole, and seeks to increase transparency for investors, intermediaries and regulators regarding the securities available in a certain market place.</w:t>
      </w:r>
    </w:p>
    <w:p w:rsidR="00367BA7" w:rsidRPr="00E95FAF" w:rsidRDefault="00367BA7" w:rsidP="00367BA7">
      <w:pPr>
        <w:pStyle w:val="Normal2"/>
      </w:pPr>
      <w:r w:rsidRPr="00E95FAF">
        <w:rPr>
          <w:b/>
        </w:rPr>
        <w:t>RMG:</w:t>
      </w:r>
      <w:r w:rsidRPr="00E95FAF">
        <w:t xml:space="preserve"> indicated that a similar set of ISO 20022 securities reference data messages were being submitted by the European Central Bank, in the scope of the T2S (Target to Securities) project.</w:t>
      </w:r>
    </w:p>
    <w:p w:rsidR="00367BA7" w:rsidRDefault="00367BA7" w:rsidP="00367BA7">
      <w:pPr>
        <w:pStyle w:val="Normal2"/>
      </w:pPr>
      <w:r w:rsidRPr="00E95FAF">
        <w:rPr>
          <w:b/>
        </w:rPr>
        <w:t>Next Steps:</w:t>
      </w:r>
      <w:r>
        <w:t xml:space="preserve"> B³ </w:t>
      </w:r>
      <w:r w:rsidRPr="00E95FAF">
        <w:t>is currently reviewing the ISO 20022 securities reference data draft messages that are being developed under the SEG Securities , looking forward to working together with the international community on developing and implementing the new ISO 20022 messages set.</w:t>
      </w:r>
    </w:p>
    <w:p w:rsidR="00367BA7" w:rsidRDefault="00367BA7" w:rsidP="00367BA7">
      <w:pPr>
        <w:pStyle w:val="Heading2"/>
      </w:pPr>
      <w:r>
        <w:t>National Group / Initiative</w:t>
      </w:r>
    </w:p>
    <w:p w:rsidR="00367BA7" w:rsidRPr="00B51813" w:rsidRDefault="00367BA7" w:rsidP="00367BA7">
      <w:pPr>
        <w:pStyle w:val="Normal2"/>
        <w:rPr>
          <w:lang w:val="en-US"/>
        </w:rPr>
      </w:pPr>
      <w:r w:rsidRPr="00B51813">
        <w:t xml:space="preserve">The national market practice group in Brazil is composed of 15 custodians and administrators (Citibank, Banco do </w:t>
      </w:r>
      <w:proofErr w:type="spellStart"/>
      <w:r w:rsidRPr="00B51813">
        <w:t>Brasil</w:t>
      </w:r>
      <w:proofErr w:type="spellEnd"/>
      <w:r w:rsidRPr="00B51813">
        <w:t xml:space="preserve">, BNP Paribas, Bradesco, BNY Mellon, </w:t>
      </w:r>
      <w:proofErr w:type="spellStart"/>
      <w:r w:rsidRPr="00B51813">
        <w:t>Caixa</w:t>
      </w:r>
      <w:proofErr w:type="spellEnd"/>
      <w:r w:rsidRPr="00B51813">
        <w:t xml:space="preserve"> </w:t>
      </w:r>
      <w:proofErr w:type="spellStart"/>
      <w:r w:rsidRPr="00B51813">
        <w:t>Economica</w:t>
      </w:r>
      <w:proofErr w:type="spellEnd"/>
      <w:r w:rsidRPr="00B51813">
        <w:t xml:space="preserve"> Federal, Credit Suisse, Banco </w:t>
      </w:r>
      <w:proofErr w:type="spellStart"/>
      <w:r w:rsidRPr="00B51813">
        <w:t>Daycoval</w:t>
      </w:r>
      <w:proofErr w:type="spellEnd"/>
      <w:r w:rsidRPr="00B51813">
        <w:t xml:space="preserve">, Deutsche Bank, HSBC, </w:t>
      </w:r>
      <w:proofErr w:type="spellStart"/>
      <w:r w:rsidRPr="00B51813">
        <w:t>Itaú-Unibanco</w:t>
      </w:r>
      <w:proofErr w:type="spellEnd"/>
      <w:r w:rsidRPr="00B51813">
        <w:t xml:space="preserve">, JP Morgan, Santander and </w:t>
      </w:r>
      <w:proofErr w:type="spellStart"/>
      <w:r w:rsidRPr="00B51813">
        <w:t>Votorantim</w:t>
      </w:r>
      <w:proofErr w:type="spellEnd"/>
      <w:r w:rsidRPr="00B51813">
        <w:t xml:space="preserve">) and also the biggest vendors present in the Brazilian market. </w:t>
      </w:r>
    </w:p>
    <w:p w:rsidR="00367BA7" w:rsidRDefault="00367BA7" w:rsidP="00367BA7">
      <w:pPr>
        <w:pStyle w:val="Heading2"/>
      </w:pPr>
      <w:r>
        <w:lastRenderedPageBreak/>
        <w:t>News</w:t>
      </w:r>
    </w:p>
    <w:p w:rsidR="00367BA7" w:rsidRDefault="00367BA7" w:rsidP="00367BA7">
      <w:pPr>
        <w:pStyle w:val="Heading3"/>
      </w:pPr>
      <w:r>
        <w:t xml:space="preserve"> </w:t>
      </w:r>
      <w:r w:rsidRPr="00E95FAF">
        <w:t>Working Group ISO 20022:</w:t>
      </w:r>
      <w:r>
        <w:t xml:space="preserve"> </w:t>
      </w:r>
    </w:p>
    <w:p w:rsidR="00367BA7" w:rsidRDefault="00367BA7" w:rsidP="00367BA7">
      <w:pPr>
        <w:pStyle w:val="Normal2"/>
      </w:pPr>
      <w:r>
        <w:t>In June 2016, the Brazilian Central Bank established a working group together with representatives from all Brazilian market’s FMIs, financial institutions associations and the National Treasury aiming to establish a study for the accommodation of ISO 20022 communication standard in the Brazilian payments market.</w:t>
      </w:r>
    </w:p>
    <w:p w:rsidR="00367BA7" w:rsidRDefault="00367BA7" w:rsidP="00367BA7">
      <w:pPr>
        <w:pStyle w:val="Normal2"/>
      </w:pPr>
      <w:r w:rsidRPr="00E95FAF">
        <w:rPr>
          <w:b/>
        </w:rPr>
        <w:t>Objective:</w:t>
      </w:r>
      <w:r>
        <w:t xml:space="preserve"> The current study is ongoing and the goal is to provide the necessary information for the future assessment, which consists in whether the current ISO 20022 business models and message catalogues comprehend all communication needs within the Brazilian market.</w:t>
      </w:r>
    </w:p>
    <w:p w:rsidR="00367BA7" w:rsidRPr="00E95FAF" w:rsidRDefault="00367BA7" w:rsidP="00367BA7">
      <w:pPr>
        <w:pStyle w:val="Normal2"/>
        <w:rPr>
          <w:lang w:val="en-US"/>
        </w:rPr>
      </w:pPr>
      <w:r w:rsidRPr="00E95FAF">
        <w:rPr>
          <w:b/>
        </w:rPr>
        <w:t>Next Steps:</w:t>
      </w:r>
      <w:r>
        <w:t xml:space="preserve"> The final paperwork will then be presented as an official Technical Note which will serve as a cornerstone for future evaluations and strategic decisions taken by the Brazilian regulator and the financial market’s institutions. These initiatives will certainly bring Brazilian institutions closer to the ISO 20022 Standard, along with its concepts and benefits, as well as shedding light in the understanding of best practices within different markets.</w:t>
      </w:r>
    </w:p>
    <w:p w:rsidR="00367BA7" w:rsidRDefault="00367BA7" w:rsidP="00367BA7">
      <w:pPr>
        <w:pStyle w:val="Copyrighttext"/>
        <w:jc w:val="both"/>
      </w:pPr>
    </w:p>
    <w:p w:rsidR="00FB2A6E" w:rsidRDefault="00FB2A6E" w:rsidP="00FB2A6E">
      <w:pPr>
        <w:pStyle w:val="Heading1"/>
      </w:pPr>
      <w:bookmarkStart w:id="9" w:name="_Toc484589025"/>
      <w:r>
        <w:t>NMPG Country Update – DE Germany</w:t>
      </w:r>
      <w:bookmarkEnd w:id="9"/>
      <w:r>
        <w:t xml:space="preserve"> </w:t>
      </w:r>
    </w:p>
    <w:p w:rsidR="00A30845" w:rsidRDefault="00A30845" w:rsidP="00A30845">
      <w:pPr>
        <w:pStyle w:val="Heading2"/>
      </w:pPr>
      <w:r>
        <w:t>Current Market Practice Status</w:t>
      </w:r>
    </w:p>
    <w:p w:rsidR="00A30845" w:rsidRPr="00FA7B18" w:rsidRDefault="00A30845" w:rsidP="00A30845">
      <w:r>
        <w:t xml:space="preserve">Complete DE MP migrated from GEFEK to MyStandards. </w:t>
      </w:r>
      <w:r w:rsidRPr="00FA7B18">
        <w:t xml:space="preserve">„Golden Copy“ of the </w:t>
      </w:r>
      <w:r>
        <w:t>German market practice (</w:t>
      </w:r>
      <w:r w:rsidRPr="00FA7B18">
        <w:t>GMP</w:t>
      </w:r>
      <w:r>
        <w:t>)</w:t>
      </w:r>
      <w:r w:rsidRPr="00FA7B18">
        <w:t xml:space="preserve"> </w:t>
      </w:r>
      <w:r>
        <w:t xml:space="preserve">to be stored on </w:t>
      </w:r>
      <w:r w:rsidRPr="00FA7B18">
        <w:t>MyStandards</w:t>
      </w:r>
      <w:r>
        <w:t xml:space="preserve"> w</w:t>
      </w:r>
      <w:r w:rsidRPr="00AF0E17">
        <w:t>eb</w:t>
      </w:r>
      <w:r>
        <w:t xml:space="preserve"> s</w:t>
      </w:r>
      <w:r w:rsidRPr="00AF0E17">
        <w:t>ite</w:t>
      </w:r>
      <w:r>
        <w:t xml:space="preserve"> (internet link on </w:t>
      </w:r>
      <w:r w:rsidRPr="00AF0E17">
        <w:t>SMPG Web</w:t>
      </w:r>
      <w:r>
        <w:t xml:space="preserve"> s</w:t>
      </w:r>
      <w:r w:rsidRPr="00AF0E17">
        <w:t xml:space="preserve">ite </w:t>
      </w:r>
      <w:r>
        <w:t xml:space="preserve">leading to </w:t>
      </w:r>
      <w:r w:rsidRPr="00AF0E17">
        <w:t>M</w:t>
      </w:r>
      <w:r>
        <w:t>yStandards).</w:t>
      </w:r>
    </w:p>
    <w:p w:rsidR="00A30845" w:rsidRDefault="00A30845" w:rsidP="00A30845">
      <w:pPr>
        <w:pStyle w:val="Heading3"/>
      </w:pPr>
      <w:r w:rsidRPr="00B2288A">
        <w:t>Orders</w:t>
      </w:r>
    </w:p>
    <w:p w:rsidR="00A30845" w:rsidRDefault="00A30845" w:rsidP="00A30845">
      <w:pPr>
        <w:pStyle w:val="Normal2"/>
      </w:pPr>
      <w:r>
        <w:t xml:space="preserve">In May: Validation of </w:t>
      </w:r>
      <w:r w:rsidRPr="00E302DC">
        <w:t>November 2017</w:t>
      </w:r>
      <w:r>
        <w:t xml:space="preserve"> Release for</w:t>
      </w:r>
    </w:p>
    <w:p w:rsidR="00A30845" w:rsidRDefault="00A30845" w:rsidP="00A30845">
      <w:pPr>
        <w:pStyle w:val="Normal2"/>
        <w:ind w:left="1260" w:hanging="540"/>
      </w:pPr>
      <w:r w:rsidRPr="00E302DC">
        <w:t>•</w:t>
      </w:r>
      <w:r w:rsidRPr="00E302DC">
        <w:tab/>
        <w:t>SecuritiesMessageRejectionV03_semt.001.001.03</w:t>
      </w:r>
    </w:p>
    <w:p w:rsidR="00A30845" w:rsidRPr="00E302DC" w:rsidRDefault="00A30845" w:rsidP="00A30845">
      <w:pPr>
        <w:pStyle w:val="Normal2"/>
        <w:ind w:left="1260" w:hanging="540"/>
      </w:pPr>
      <w:r w:rsidRPr="00E302DC">
        <w:t>•</w:t>
      </w:r>
      <w:r w:rsidRPr="00E302DC">
        <w:tab/>
        <w:t>OrderCancellationStatusReportV03_setr_017_001_03_20170307_1723</w:t>
      </w:r>
    </w:p>
    <w:p w:rsidR="00A30845" w:rsidRPr="00E302DC" w:rsidRDefault="00A30845" w:rsidP="00A30845">
      <w:pPr>
        <w:pStyle w:val="Normal2"/>
        <w:ind w:left="1260" w:hanging="540"/>
      </w:pPr>
      <w:r w:rsidRPr="00E302DC">
        <w:t>•</w:t>
      </w:r>
      <w:r w:rsidRPr="00E302DC">
        <w:tab/>
        <w:t>OrderConfirmationStatusReportV01_setr_057_001_01_20170307_1729</w:t>
      </w:r>
    </w:p>
    <w:p w:rsidR="00A30845" w:rsidRPr="00E302DC" w:rsidRDefault="00A30845" w:rsidP="00A30845">
      <w:pPr>
        <w:pStyle w:val="Normal2"/>
        <w:ind w:left="1260" w:hanging="540"/>
      </w:pPr>
      <w:r w:rsidRPr="00E302DC">
        <w:t>•</w:t>
      </w:r>
      <w:r w:rsidRPr="00E302DC">
        <w:tab/>
        <w:t>OrderInstructionStatusReportV03_setr_016_001_03_20170307_1724</w:t>
      </w:r>
    </w:p>
    <w:p w:rsidR="00A30845" w:rsidRPr="00E302DC" w:rsidRDefault="00A30845" w:rsidP="00A30845">
      <w:pPr>
        <w:pStyle w:val="Normal2"/>
        <w:ind w:left="1260" w:hanging="540"/>
      </w:pPr>
      <w:r w:rsidRPr="00E302DC">
        <w:t>•</w:t>
      </w:r>
      <w:r w:rsidRPr="00E302DC">
        <w:tab/>
        <w:t>RedemptionOrderCancellationRequestV03_setr_005_001_03_20170307_1720</w:t>
      </w:r>
    </w:p>
    <w:p w:rsidR="00A30845" w:rsidRPr="00E302DC" w:rsidRDefault="00A30845" w:rsidP="00A30845">
      <w:pPr>
        <w:pStyle w:val="Normal2"/>
        <w:ind w:left="1260" w:hanging="540"/>
      </w:pPr>
      <w:r w:rsidRPr="00E302DC">
        <w:t>•</w:t>
      </w:r>
      <w:r w:rsidRPr="00E302DC">
        <w:tab/>
      </w:r>
      <w:proofErr w:type="spellStart"/>
      <w:r w:rsidRPr="00E302DC">
        <w:t>RedemptionOrderConfirmationCancellationInstruction</w:t>
      </w:r>
      <w:proofErr w:type="spellEnd"/>
      <w:r>
        <w:t xml:space="preserve"> </w:t>
      </w:r>
      <w:r w:rsidRPr="00E302DC">
        <w:t>V01_setr_051_001_01_20170307_1727</w:t>
      </w:r>
    </w:p>
    <w:p w:rsidR="00A30845" w:rsidRPr="00E302DC" w:rsidRDefault="00A30845" w:rsidP="00A30845">
      <w:pPr>
        <w:pStyle w:val="Normal2"/>
        <w:ind w:left="1260" w:hanging="540"/>
      </w:pPr>
      <w:r w:rsidRPr="00E302DC">
        <w:t>•</w:t>
      </w:r>
      <w:r w:rsidRPr="00E302DC">
        <w:tab/>
        <w:t>RedemptionOrderV03_setr_004_001_03_20170307_1726</w:t>
      </w:r>
    </w:p>
    <w:p w:rsidR="00A30845" w:rsidRPr="00E302DC" w:rsidRDefault="00A30845" w:rsidP="00A30845">
      <w:pPr>
        <w:pStyle w:val="Normal2"/>
        <w:ind w:left="1260" w:hanging="540"/>
      </w:pPr>
      <w:r w:rsidRPr="00E302DC">
        <w:t>•</w:t>
      </w:r>
      <w:r w:rsidRPr="00E302DC">
        <w:tab/>
        <w:t>SubscriptionOrderCancellationRequestV03_setr_011_001_03_20170307_1722</w:t>
      </w:r>
    </w:p>
    <w:p w:rsidR="00A30845" w:rsidRDefault="00A30845" w:rsidP="00A30845">
      <w:pPr>
        <w:pStyle w:val="Normal2"/>
        <w:ind w:left="1260" w:hanging="540"/>
      </w:pPr>
      <w:r w:rsidRPr="00E302DC">
        <w:t>•</w:t>
      </w:r>
      <w:r w:rsidRPr="00E302DC">
        <w:tab/>
      </w:r>
      <w:proofErr w:type="spellStart"/>
      <w:r w:rsidRPr="00E302DC">
        <w:t>SubscriptionOrderConfirmationCancellationInstruction</w:t>
      </w:r>
      <w:proofErr w:type="spellEnd"/>
    </w:p>
    <w:p w:rsidR="00A30845" w:rsidRPr="00E302DC" w:rsidRDefault="00A30845" w:rsidP="00A30845">
      <w:pPr>
        <w:pStyle w:val="Normal2"/>
        <w:ind w:left="1260" w:hanging="540"/>
      </w:pPr>
      <w:r w:rsidRPr="00E302DC">
        <w:t>V01_setr_047_001_01_20170307_1719</w:t>
      </w:r>
    </w:p>
    <w:p w:rsidR="00A30845" w:rsidRPr="00E302DC" w:rsidRDefault="00A30845" w:rsidP="00A30845">
      <w:pPr>
        <w:pStyle w:val="Normal2"/>
        <w:ind w:left="1260" w:hanging="540"/>
      </w:pPr>
      <w:r>
        <w:t>(All others are validated)</w:t>
      </w:r>
    </w:p>
    <w:p w:rsidR="00A30845" w:rsidRDefault="00A30845" w:rsidP="00A30845">
      <w:pPr>
        <w:pStyle w:val="Heading3"/>
      </w:pPr>
      <w:r>
        <w:lastRenderedPageBreak/>
        <w:t>Statements</w:t>
      </w:r>
    </w:p>
    <w:p w:rsidR="00A30845" w:rsidRDefault="00A30845" w:rsidP="00A30845">
      <w:pPr>
        <w:pStyle w:val="Normal2"/>
      </w:pPr>
      <w:r>
        <w:t xml:space="preserve">The following </w:t>
      </w:r>
      <w:proofErr w:type="spellStart"/>
      <w:r>
        <w:t>msg</w:t>
      </w:r>
      <w:proofErr w:type="spellEnd"/>
      <w:r>
        <w:t xml:space="preserve"> will be handled by the settlement WG (currently in ISO 15022)</w:t>
      </w:r>
    </w:p>
    <w:p w:rsidR="00A30845" w:rsidRPr="00D75AAB" w:rsidRDefault="00A30845" w:rsidP="00A30845">
      <w:pPr>
        <w:pStyle w:val="Normal2"/>
        <w:ind w:left="1260" w:hanging="540"/>
      </w:pPr>
      <w:r w:rsidRPr="00D75AAB">
        <w:t>•</w:t>
      </w:r>
      <w:r w:rsidRPr="00D75AAB">
        <w:tab/>
        <w:t>Acco</w:t>
      </w:r>
      <w:r>
        <w:t>untingStatementOfHoldingsV02</w:t>
      </w:r>
      <w:r>
        <w:tab/>
      </w:r>
      <w:r>
        <w:tab/>
      </w:r>
      <w:r w:rsidRPr="00D75AAB">
        <w:t>semt.003.001.02</w:t>
      </w:r>
    </w:p>
    <w:p w:rsidR="00A30845" w:rsidRPr="00D75AAB" w:rsidRDefault="00A30845" w:rsidP="00A30845">
      <w:pPr>
        <w:pStyle w:val="Normal2"/>
        <w:ind w:left="1260" w:hanging="540"/>
      </w:pPr>
      <w:r w:rsidRPr="00D75AAB">
        <w:t>•</w:t>
      </w:r>
      <w:r w:rsidRPr="00D75AAB">
        <w:tab/>
        <w:t>AccountingStat</w:t>
      </w:r>
      <w:r>
        <w:t>ementOfHoldingsCancellationV02</w:t>
      </w:r>
      <w:r>
        <w:tab/>
      </w:r>
      <w:r w:rsidRPr="00D75AAB">
        <w:t>semt.005.001.02</w:t>
      </w:r>
    </w:p>
    <w:p w:rsidR="00A30845" w:rsidRPr="00D75AAB" w:rsidRDefault="00A30845" w:rsidP="00A30845">
      <w:pPr>
        <w:pStyle w:val="Normal2"/>
        <w:ind w:left="1260" w:hanging="540"/>
      </w:pPr>
      <w:r w:rsidRPr="00D75AAB">
        <w:t>•</w:t>
      </w:r>
      <w:r w:rsidRPr="00D75AAB">
        <w:tab/>
        <w:t>CustodyStatementOfHoldingsV02</w:t>
      </w:r>
      <w:r w:rsidRPr="00D75AAB">
        <w:tab/>
      </w:r>
      <w:r w:rsidRPr="00D75AAB">
        <w:tab/>
        <w:t>semt.002.001.02</w:t>
      </w:r>
    </w:p>
    <w:p w:rsidR="00A30845" w:rsidRPr="00D75AAB" w:rsidRDefault="00A30845" w:rsidP="00A30845">
      <w:pPr>
        <w:pStyle w:val="Normal2"/>
        <w:ind w:left="1260" w:hanging="540"/>
      </w:pPr>
      <w:r w:rsidRPr="00D75AAB">
        <w:t>•</w:t>
      </w:r>
      <w:r w:rsidRPr="00D75AAB">
        <w:tab/>
        <w:t>CustodyStatementOfHoldingsCancellationV02</w:t>
      </w:r>
      <w:r w:rsidRPr="00D75AAB">
        <w:tab/>
      </w:r>
      <w:r w:rsidRPr="00D75AAB">
        <w:tab/>
        <w:t>semt.004.001.02</w:t>
      </w:r>
    </w:p>
    <w:p w:rsidR="00A30845" w:rsidRPr="00D75AAB" w:rsidRDefault="00A30845" w:rsidP="00A30845">
      <w:pPr>
        <w:pStyle w:val="Normal2"/>
        <w:ind w:left="1260" w:hanging="540"/>
      </w:pPr>
      <w:r w:rsidRPr="00D75AAB">
        <w:t>•</w:t>
      </w:r>
      <w:r w:rsidRPr="00D75AAB">
        <w:tab/>
        <w:t>StatementOfInvestmentFundTransactionsV03</w:t>
      </w:r>
      <w:r w:rsidRPr="00D75AAB">
        <w:tab/>
      </w:r>
      <w:r w:rsidRPr="00D75AAB">
        <w:tab/>
        <w:t>semt.006.001.03</w:t>
      </w:r>
    </w:p>
    <w:p w:rsidR="00A30845" w:rsidRPr="00E302DC" w:rsidRDefault="00A30845" w:rsidP="00A30845">
      <w:pPr>
        <w:pStyle w:val="Normal2"/>
        <w:ind w:left="1260" w:hanging="540"/>
      </w:pPr>
      <w:r w:rsidRPr="00D75AAB">
        <w:t>•</w:t>
      </w:r>
      <w:r w:rsidRPr="00D75AAB">
        <w:tab/>
        <w:t>StatementOfInvestmentFundTransactionsCancellationV03</w:t>
      </w:r>
      <w:r w:rsidRPr="00D75AAB">
        <w:tab/>
        <w:t>semt.007.001.03</w:t>
      </w:r>
    </w:p>
    <w:p w:rsidR="00A30845" w:rsidRDefault="00A30845" w:rsidP="00A30845">
      <w:pPr>
        <w:pStyle w:val="Heading3"/>
      </w:pPr>
      <w:r>
        <w:t>Price Reporting</w:t>
      </w:r>
    </w:p>
    <w:p w:rsidR="00A30845" w:rsidRPr="00E302DC" w:rsidRDefault="00A30845" w:rsidP="00A30845">
      <w:pPr>
        <w:pStyle w:val="Normal2"/>
      </w:pPr>
      <w:r>
        <w:t>All validated</w:t>
      </w:r>
    </w:p>
    <w:p w:rsidR="00A30845" w:rsidRDefault="00A30845" w:rsidP="00A30845">
      <w:pPr>
        <w:pStyle w:val="Heading3"/>
      </w:pPr>
      <w:r>
        <w:t>Transfers</w:t>
      </w:r>
    </w:p>
    <w:p w:rsidR="00A30845" w:rsidRPr="00E302DC" w:rsidRDefault="00A30845" w:rsidP="00A30845">
      <w:pPr>
        <w:pStyle w:val="Normal2"/>
      </w:pPr>
      <w:r>
        <w:t>N/A (existing ISO 15022 Standard maintained by the Settlement NMPG)</w:t>
      </w:r>
    </w:p>
    <w:p w:rsidR="00A30845" w:rsidRDefault="00A30845" w:rsidP="00A30845">
      <w:pPr>
        <w:pStyle w:val="Heading3"/>
      </w:pPr>
      <w:r>
        <w:t>Funds Cash Forecast</w:t>
      </w:r>
    </w:p>
    <w:p w:rsidR="00A30845" w:rsidRDefault="00A30845" w:rsidP="00A30845">
      <w:pPr>
        <w:pStyle w:val="Normal2"/>
      </w:pPr>
      <w:r>
        <w:t xml:space="preserve">In May: Validation of </w:t>
      </w:r>
      <w:r w:rsidRPr="00E302DC">
        <w:t>November 2017</w:t>
      </w:r>
      <w:r>
        <w:t xml:space="preserve"> Release for</w:t>
      </w:r>
    </w:p>
    <w:p w:rsidR="00A30845" w:rsidRPr="00E302DC" w:rsidRDefault="00A30845" w:rsidP="00A30845">
      <w:pPr>
        <w:pStyle w:val="Normal2"/>
        <w:ind w:left="1260" w:hanging="540"/>
      </w:pPr>
      <w:r w:rsidRPr="00E302DC">
        <w:t>•</w:t>
      </w:r>
      <w:r w:rsidRPr="00E302DC">
        <w:tab/>
        <w:t>FundDetailedConfirmedCashForecastReportV04_camt.043.001.04</w:t>
      </w:r>
    </w:p>
    <w:p w:rsidR="00A30845" w:rsidRPr="00E302DC" w:rsidRDefault="00A30845" w:rsidP="00A30845">
      <w:pPr>
        <w:pStyle w:val="Normal2"/>
        <w:ind w:left="1260" w:hanging="540"/>
      </w:pPr>
      <w:r w:rsidRPr="00E302DC">
        <w:t>•</w:t>
      </w:r>
      <w:r w:rsidRPr="00E302DC">
        <w:tab/>
        <w:t>FundDetailedEstimatedCashForecastReportV04_camt.042.001.04</w:t>
      </w:r>
    </w:p>
    <w:p w:rsidR="00A30845" w:rsidRDefault="00A30845" w:rsidP="00A30845">
      <w:pPr>
        <w:pStyle w:val="Heading2"/>
      </w:pPr>
      <w:r>
        <w:t>Next Steps / Future Market Practice</w:t>
      </w:r>
    </w:p>
    <w:p w:rsidR="00A30845" w:rsidRDefault="00A30845" w:rsidP="00A30845">
      <w:pPr>
        <w:pStyle w:val="Normal2"/>
      </w:pPr>
      <w:r>
        <w:t xml:space="preserve">Pending validation of </w:t>
      </w:r>
      <w:r w:rsidRPr="00E302DC">
        <w:t>November 2017</w:t>
      </w:r>
      <w:r>
        <w:t xml:space="preserve"> Release (in May)</w:t>
      </w:r>
    </w:p>
    <w:p w:rsidR="00A30845" w:rsidRDefault="00A30845" w:rsidP="00A30845">
      <w:pPr>
        <w:pStyle w:val="Heading2"/>
      </w:pPr>
      <w:r>
        <w:t>Maintenance of market Practice</w:t>
      </w:r>
    </w:p>
    <w:p w:rsidR="00A30845" w:rsidRPr="00D75AAB" w:rsidRDefault="00A30845" w:rsidP="00A30845">
      <w:r>
        <w:t xml:space="preserve">Not relevant for GMP: </w:t>
      </w:r>
    </w:p>
    <w:p w:rsidR="00A30845" w:rsidRPr="00122B37" w:rsidRDefault="00A30845" w:rsidP="00A30845">
      <w:r w:rsidRPr="00122B37">
        <w:t>AccountDetailsConfirmationV05 acmt.002.001.05</w:t>
      </w:r>
    </w:p>
    <w:p w:rsidR="00A30845" w:rsidRPr="00122B37" w:rsidRDefault="00A30845" w:rsidP="00A30845">
      <w:r w:rsidRPr="00122B37">
        <w:t>AccountManagementStatusReportV04 acmt.006.001.04</w:t>
      </w:r>
    </w:p>
    <w:p w:rsidR="00A30845" w:rsidRPr="00122B37" w:rsidRDefault="00A30845" w:rsidP="00A30845">
      <w:r w:rsidRPr="00122B37">
        <w:t>AccountModificationInstructionV05 acmt.003.001.05</w:t>
      </w:r>
    </w:p>
    <w:p w:rsidR="00A30845" w:rsidRPr="00D75AAB" w:rsidRDefault="00A30845" w:rsidP="00A30845">
      <w:r w:rsidRPr="00D75AAB">
        <w:t>AccountOpeningIns</w:t>
      </w:r>
      <w:r>
        <w:t xml:space="preserve">tructionV06 </w:t>
      </w:r>
      <w:r w:rsidRPr="00D75AAB">
        <w:t>acmt.001.001.06</w:t>
      </w:r>
    </w:p>
    <w:p w:rsidR="00A30845" w:rsidRPr="00122B37" w:rsidRDefault="00A30845" w:rsidP="00A30845">
      <w:r w:rsidRPr="00122B37">
        <w:t>FundConfirmedCashForecastReportCancellationV03 camt.044.001.03</w:t>
      </w:r>
    </w:p>
    <w:p w:rsidR="00A30845" w:rsidRPr="00122B37" w:rsidRDefault="00A30845" w:rsidP="00A30845">
      <w:r w:rsidRPr="00122B37">
        <w:t>FundConfirmedCashForecastReportV04 camt.041.001.04</w:t>
      </w:r>
    </w:p>
    <w:p w:rsidR="00A30845" w:rsidRPr="00122B37" w:rsidRDefault="00A30845" w:rsidP="00A30845">
      <w:r w:rsidRPr="00122B37">
        <w:t>FundDetailedConfirmedCashForecastReportCancellationV03 camt.045.001.03</w:t>
      </w:r>
    </w:p>
    <w:p w:rsidR="00A30845" w:rsidRPr="00122B37" w:rsidRDefault="00A30845" w:rsidP="00A30845">
      <w:r w:rsidRPr="00122B37">
        <w:t>FundProcessingPassportReportV02 reda.004.001.02</w:t>
      </w:r>
    </w:p>
    <w:p w:rsidR="00A30845" w:rsidRPr="00122B37" w:rsidRDefault="00A30845" w:rsidP="00A30845">
      <w:pPr>
        <w:rPr>
          <w:lang w:val="de-DE"/>
        </w:rPr>
      </w:pPr>
      <w:r w:rsidRPr="00122B37">
        <w:rPr>
          <w:lang w:val="de-DE"/>
        </w:rPr>
        <w:t>InvestmentFundReportRequestV02 reda.005.001.02</w:t>
      </w:r>
    </w:p>
    <w:p w:rsidR="00A30845" w:rsidRPr="00122B37" w:rsidRDefault="00A30845" w:rsidP="00A30845">
      <w:pPr>
        <w:rPr>
          <w:lang w:val="de-DE"/>
        </w:rPr>
      </w:pPr>
      <w:r w:rsidRPr="00122B37">
        <w:rPr>
          <w:lang w:val="de-DE"/>
        </w:rPr>
        <w:t>RedemptionOrderConfirmationAmendmentV01 setr.052.001.01</w:t>
      </w:r>
    </w:p>
    <w:p w:rsidR="00A30845" w:rsidRPr="00122B37" w:rsidRDefault="00A30845" w:rsidP="00A30845">
      <w:pPr>
        <w:rPr>
          <w:lang w:val="de-DE"/>
        </w:rPr>
      </w:pPr>
      <w:r w:rsidRPr="00122B37">
        <w:rPr>
          <w:lang w:val="de-DE"/>
        </w:rPr>
        <w:t>RequestForAccountManagementStatusReportV03 acmt.005.001.03</w:t>
      </w:r>
    </w:p>
    <w:p w:rsidR="00A30845" w:rsidRPr="00122B37" w:rsidRDefault="00A30845" w:rsidP="00A30845">
      <w:pPr>
        <w:rPr>
          <w:lang w:val="de-DE"/>
        </w:rPr>
      </w:pPr>
      <w:r w:rsidRPr="00122B37">
        <w:rPr>
          <w:lang w:val="de-DE"/>
        </w:rPr>
        <w:lastRenderedPageBreak/>
        <w:t>SubscriptionOrderConfirmationAmendmentV01 setr.048.001.01</w:t>
      </w:r>
    </w:p>
    <w:p w:rsidR="00A30845" w:rsidRPr="00122B37" w:rsidRDefault="00A30845" w:rsidP="00A30845">
      <w:r w:rsidRPr="00122B37">
        <w:t>SwitchOrderConfirmationCancellationInstructionV01 setr.055.001.01</w:t>
      </w:r>
    </w:p>
    <w:p w:rsidR="00A30845" w:rsidRDefault="00A30845" w:rsidP="00A30845">
      <w:pPr>
        <w:pStyle w:val="Heading2"/>
      </w:pPr>
      <w:r>
        <w:t>National Group / Initiative</w:t>
      </w:r>
    </w:p>
    <w:p w:rsidR="00A30845" w:rsidRPr="00F12999" w:rsidRDefault="00A30845" w:rsidP="00A30845">
      <w:r>
        <w:t xml:space="preserve">- Following the </w:t>
      </w:r>
      <w:r w:rsidRPr="00AF0E17">
        <w:t>European Post-Trade Forum (EPTF)</w:t>
      </w:r>
      <w:r>
        <w:t xml:space="preserve"> and it impact on the GMP. </w:t>
      </w:r>
    </w:p>
    <w:p w:rsidR="00A30845" w:rsidRDefault="00A30845" w:rsidP="00A30845">
      <w:r>
        <w:t>- Looking into the feasibility for DE of h</w:t>
      </w:r>
      <w:r w:rsidRPr="00F12999">
        <w:t>armonising and Standardisation of ETF processing: A proposal of the Joint Working Group ETF Processing</w:t>
      </w:r>
      <w:r>
        <w:t>.</w:t>
      </w:r>
    </w:p>
    <w:p w:rsidR="00A30845" w:rsidRDefault="00A30845" w:rsidP="00A30845">
      <w:r>
        <w:t>- Looking into increasing transparency</w:t>
      </w:r>
      <w:r w:rsidRPr="006D621F">
        <w:t xml:space="preserve"> in </w:t>
      </w:r>
      <w:r>
        <w:t>fu</w:t>
      </w:r>
      <w:r w:rsidRPr="006D621F">
        <w:t>nds</w:t>
      </w:r>
      <w:r>
        <w:t xml:space="preserve"> processing with the example of earmarking (FR)</w:t>
      </w:r>
    </w:p>
    <w:p w:rsidR="00A30845" w:rsidRDefault="00A30845" w:rsidP="00A30845">
      <w:pPr>
        <w:pStyle w:val="Heading2"/>
      </w:pPr>
      <w:r>
        <w:t>Migration ISO 15022 to 20022 Status</w:t>
      </w:r>
    </w:p>
    <w:p w:rsidR="00A30845" w:rsidRPr="003F1395" w:rsidRDefault="00A30845" w:rsidP="00A30845">
      <w:r w:rsidRPr="003F1395">
        <w:rPr>
          <w:noProof/>
          <w:lang w:eastAsia="en-GB"/>
        </w:rPr>
        <w:drawing>
          <wp:inline distT="0" distB="0" distL="0" distR="0" wp14:anchorId="10F8AE8A" wp14:editId="2F4C92E4">
            <wp:extent cx="5906135" cy="20160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6135" cy="2016045"/>
                    </a:xfrm>
                    <a:prstGeom prst="rect">
                      <a:avLst/>
                    </a:prstGeom>
                    <a:noFill/>
                    <a:ln>
                      <a:noFill/>
                    </a:ln>
                  </pic:spPr>
                </pic:pic>
              </a:graphicData>
            </a:graphic>
          </wp:inline>
        </w:drawing>
      </w:r>
    </w:p>
    <w:p w:rsidR="00A30845" w:rsidRDefault="00A30845" w:rsidP="00A30845">
      <w:pPr>
        <w:pStyle w:val="Heading2"/>
        <w:tabs>
          <w:tab w:val="clear" w:pos="4014"/>
          <w:tab w:val="clear" w:pos="6534"/>
          <w:tab w:val="clear" w:pos="7614"/>
        </w:tabs>
        <w:spacing w:before="180"/>
        <w:ind w:left="994" w:hanging="634"/>
      </w:pPr>
      <w:r>
        <w:t>Events</w:t>
      </w:r>
    </w:p>
    <w:p w:rsidR="00A30845" w:rsidRPr="003F1395" w:rsidRDefault="00A30845" w:rsidP="00A30845">
      <w:pPr>
        <w:pStyle w:val="Normallevel2"/>
      </w:pPr>
      <w:r>
        <w:t>Next DESSUG/ funds WG on 15/16 May 2017</w:t>
      </w:r>
    </w:p>
    <w:p w:rsidR="00FB2A6E" w:rsidRDefault="00FB2A6E" w:rsidP="00FB2A6E">
      <w:pPr>
        <w:pStyle w:val="Heading1"/>
      </w:pPr>
      <w:bookmarkStart w:id="10" w:name="_Toc484589026"/>
      <w:r>
        <w:t>NMPG Country Update – DK Denmark</w:t>
      </w:r>
      <w:bookmarkEnd w:id="10"/>
      <w:r>
        <w:t xml:space="preserve"> </w:t>
      </w:r>
    </w:p>
    <w:p w:rsidR="008A7AC3" w:rsidRDefault="008A7AC3" w:rsidP="008A7AC3">
      <w:pPr>
        <w:pStyle w:val="Heading2"/>
      </w:pPr>
      <w:r>
        <w:t>Current Market Practice Status</w:t>
      </w:r>
    </w:p>
    <w:p w:rsidR="008A7AC3" w:rsidRDefault="008A7AC3" w:rsidP="008A7AC3">
      <w:r>
        <w:t>VP SECURITIES offers a solution entirely in ISO 20022. The solution are using master variant and the newest version when the facility was developed in 2013. Therefore, our solution is not in line with other providers with respect to which versions we are using. We plan to update the solution in line with the SR2017 funds maintenance.</w:t>
      </w:r>
    </w:p>
    <w:p w:rsidR="008A7AC3" w:rsidRDefault="008A7AC3" w:rsidP="008A7AC3">
      <w:pPr>
        <w:pStyle w:val="Heading3"/>
      </w:pPr>
      <w:r>
        <w:t>Orders</w:t>
      </w:r>
    </w:p>
    <w:p w:rsidR="008A7AC3" w:rsidRDefault="008A7AC3" w:rsidP="008A7AC3">
      <w:pPr>
        <w:pStyle w:val="Normal2"/>
      </w:pPr>
      <w:r>
        <w:t>We accept both single and bulk orders</w:t>
      </w:r>
      <w:r>
        <w:tab/>
      </w:r>
    </w:p>
    <w:p w:rsidR="008A7AC3" w:rsidRDefault="008A7AC3" w:rsidP="008A7AC3">
      <w:pPr>
        <w:pStyle w:val="Heading3"/>
      </w:pPr>
      <w:r>
        <w:t>Account Management</w:t>
      </w:r>
    </w:p>
    <w:p w:rsidR="008A7AC3" w:rsidRDefault="008A7AC3" w:rsidP="008A7AC3">
      <w:pPr>
        <w:pStyle w:val="Normal2"/>
      </w:pPr>
      <w:r>
        <w:t>Under development and will be put in production November 2017.</w:t>
      </w:r>
    </w:p>
    <w:p w:rsidR="008A7AC3" w:rsidRDefault="008A7AC3" w:rsidP="008A7AC3">
      <w:pPr>
        <w:pStyle w:val="Heading3"/>
      </w:pPr>
      <w:r>
        <w:t>Statements</w:t>
      </w:r>
    </w:p>
    <w:p w:rsidR="008A7AC3" w:rsidRDefault="008A7AC3" w:rsidP="008A7AC3">
      <w:pPr>
        <w:pStyle w:val="Normal2"/>
      </w:pPr>
      <w:r>
        <w:t>Not offered</w:t>
      </w:r>
    </w:p>
    <w:p w:rsidR="008A7AC3" w:rsidRDefault="008A7AC3" w:rsidP="008A7AC3">
      <w:pPr>
        <w:pStyle w:val="Heading3"/>
      </w:pPr>
      <w:r>
        <w:lastRenderedPageBreak/>
        <w:t>Price Reporting</w:t>
      </w:r>
    </w:p>
    <w:p w:rsidR="008A7AC3" w:rsidRDefault="008A7AC3" w:rsidP="008A7AC3">
      <w:pPr>
        <w:pStyle w:val="Normal2"/>
      </w:pPr>
      <w:r>
        <w:t>Received directly from TA</w:t>
      </w:r>
    </w:p>
    <w:p w:rsidR="008A7AC3" w:rsidRDefault="008A7AC3" w:rsidP="008A7AC3">
      <w:pPr>
        <w:pStyle w:val="Heading3"/>
      </w:pPr>
      <w:r>
        <w:t>Transfers</w:t>
      </w:r>
    </w:p>
    <w:p w:rsidR="008A7AC3" w:rsidRDefault="008A7AC3" w:rsidP="008A7AC3">
      <w:pPr>
        <w:pStyle w:val="Normal2"/>
      </w:pPr>
      <w:r>
        <w:t xml:space="preserve">Only single legged as </w:t>
      </w:r>
      <w:proofErr w:type="spellStart"/>
      <w:r>
        <w:t>FoP</w:t>
      </w:r>
      <w:proofErr w:type="spellEnd"/>
      <w:r>
        <w:t xml:space="preserve"> transfers via a sese.023</w:t>
      </w:r>
    </w:p>
    <w:p w:rsidR="008A7AC3" w:rsidRDefault="008A7AC3" w:rsidP="008A7AC3">
      <w:pPr>
        <w:pStyle w:val="Heading3"/>
      </w:pPr>
      <w:r>
        <w:t>Funds Cash Forecast</w:t>
      </w:r>
    </w:p>
    <w:p w:rsidR="008A7AC3" w:rsidRDefault="008A7AC3" w:rsidP="008A7AC3">
      <w:pPr>
        <w:pStyle w:val="Normal2"/>
      </w:pPr>
      <w:r>
        <w:t>TA sends a semt.041 when NAV is calculated.</w:t>
      </w:r>
    </w:p>
    <w:p w:rsidR="008A7AC3" w:rsidRDefault="008A7AC3" w:rsidP="008A7AC3">
      <w:pPr>
        <w:pStyle w:val="Heading3"/>
      </w:pPr>
      <w:r>
        <w:t>Hedge / Alternative Funds</w:t>
      </w:r>
    </w:p>
    <w:p w:rsidR="008A7AC3" w:rsidRDefault="008A7AC3" w:rsidP="008A7AC3">
      <w:pPr>
        <w:pStyle w:val="Normal2"/>
      </w:pPr>
      <w:r>
        <w:t>Not offered</w:t>
      </w:r>
    </w:p>
    <w:p w:rsidR="008A7AC3" w:rsidRDefault="008A7AC3" w:rsidP="008A7AC3">
      <w:pPr>
        <w:pStyle w:val="Heading2"/>
      </w:pPr>
      <w:r>
        <w:t>Next Steps / Future Market Practice</w:t>
      </w:r>
    </w:p>
    <w:p w:rsidR="008A7AC3" w:rsidRDefault="008A7AC3" w:rsidP="008A7AC3">
      <w:r>
        <w:t xml:space="preserve">We have no plans for changing/updating the system. However, we will take the SR2017 versions in. </w:t>
      </w:r>
    </w:p>
    <w:p w:rsidR="008A7AC3" w:rsidRDefault="008A7AC3" w:rsidP="008A7AC3">
      <w:pPr>
        <w:pStyle w:val="Heading2"/>
      </w:pPr>
      <w:r>
        <w:t>Maintenance of market Practice</w:t>
      </w:r>
    </w:p>
    <w:p w:rsidR="008A7AC3" w:rsidRDefault="008A7AC3" w:rsidP="008A7AC3">
      <w:r>
        <w:t>According to SWIFT standard maintenance cycle and as described in ISO 20022 Harmonisation Charter.</w:t>
      </w:r>
    </w:p>
    <w:p w:rsidR="008A7AC3" w:rsidRDefault="008A7AC3" w:rsidP="008A7AC3">
      <w:pPr>
        <w:pStyle w:val="Heading2"/>
      </w:pPr>
      <w:r>
        <w:t>National Group / Initiative</w:t>
      </w:r>
    </w:p>
    <w:p w:rsidR="008A7AC3" w:rsidRDefault="008A7AC3" w:rsidP="008A7AC3">
      <w:r>
        <w:t xml:space="preserve">A DK IFWG does not exists. Dialogue takes place on semi-annual user group meetings with the entire Danish SWIFT community. </w:t>
      </w:r>
    </w:p>
    <w:p w:rsidR="008A7AC3" w:rsidRDefault="008A7AC3" w:rsidP="008A7AC3">
      <w:pPr>
        <w:pStyle w:val="Heading2"/>
      </w:pPr>
      <w:r>
        <w:t>Migration ISO 15022 to 20022 Status</w:t>
      </w:r>
    </w:p>
    <w:p w:rsidR="008A7AC3" w:rsidRDefault="008A7AC3" w:rsidP="008A7AC3">
      <w:r>
        <w:t>We have never offered service in ISO 15022</w:t>
      </w:r>
    </w:p>
    <w:p w:rsidR="008A7AC3" w:rsidRDefault="008A7AC3" w:rsidP="008A7AC3">
      <w:pPr>
        <w:pStyle w:val="Heading2"/>
      </w:pPr>
      <w:r>
        <w:t>Other Market Practice</w:t>
      </w:r>
    </w:p>
    <w:p w:rsidR="008A7AC3" w:rsidRDefault="008A7AC3" w:rsidP="008A7AC3">
      <w:r>
        <w:t>N/A</w:t>
      </w:r>
    </w:p>
    <w:p w:rsidR="008A7AC3" w:rsidRDefault="008A7AC3" w:rsidP="008A7AC3">
      <w:pPr>
        <w:pStyle w:val="Heading2"/>
      </w:pPr>
      <w:r>
        <w:t>Legislation Impacts / News</w:t>
      </w:r>
    </w:p>
    <w:p w:rsidR="008A7AC3" w:rsidRDefault="008A7AC3" w:rsidP="008A7AC3">
      <w:r>
        <w:t>N/A</w:t>
      </w:r>
    </w:p>
    <w:p w:rsidR="008A7AC3" w:rsidRDefault="008A7AC3" w:rsidP="008A7AC3">
      <w:pPr>
        <w:pStyle w:val="Heading3"/>
      </w:pPr>
      <w:r>
        <w:t>Miscellaneous</w:t>
      </w:r>
    </w:p>
    <w:p w:rsidR="008A7AC3" w:rsidRDefault="008A7AC3" w:rsidP="008A7AC3">
      <w:r>
        <w:t>N/A</w:t>
      </w:r>
    </w:p>
    <w:p w:rsidR="008A7AC3" w:rsidRPr="008A7AC3" w:rsidRDefault="008A7AC3" w:rsidP="008A7AC3"/>
    <w:p w:rsidR="00FB2A6E" w:rsidRDefault="00FB2A6E" w:rsidP="00FB2A6E">
      <w:pPr>
        <w:pStyle w:val="Heading1"/>
      </w:pPr>
      <w:bookmarkStart w:id="11" w:name="_Toc484589027"/>
      <w:r>
        <w:lastRenderedPageBreak/>
        <w:t>NMPG Country Update – CH Switzerland</w:t>
      </w:r>
      <w:bookmarkEnd w:id="11"/>
      <w:r>
        <w:t xml:space="preserve"> </w:t>
      </w:r>
    </w:p>
    <w:p w:rsidR="00050122" w:rsidRDefault="00050122" w:rsidP="00050122">
      <w:pPr>
        <w:pStyle w:val="Heading2"/>
      </w:pPr>
      <w:r>
        <w:t>Current Market Practice Status</w:t>
      </w:r>
    </w:p>
    <w:p w:rsidR="00050122" w:rsidRDefault="00050122" w:rsidP="00050122">
      <w:pPr>
        <w:pStyle w:val="Heading3"/>
      </w:pPr>
      <w:r w:rsidRPr="00B2288A">
        <w:t>Orders</w:t>
      </w:r>
    </w:p>
    <w:p w:rsidR="00050122" w:rsidRPr="008B5840" w:rsidRDefault="00050122" w:rsidP="00050122">
      <w:pPr>
        <w:pStyle w:val="Normal2"/>
      </w:pPr>
      <w:r w:rsidRPr="008B5840">
        <w:t>The Swiss Commission for Financial Standardisation (SCFS) conducts market coordination activities of the MT-MX-migration of ISO 20022 IF order processes, based on the mandate of the Swiss SWIFT NUG. The cornerstones of the coordination are agreed timeline, MT-MX-migration market practice and MP tooling environment (SCFS validation portal).</w:t>
      </w:r>
    </w:p>
    <w:p w:rsidR="00050122" w:rsidRPr="008B5840" w:rsidRDefault="00050122" w:rsidP="00050122">
      <w:pPr>
        <w:pStyle w:val="Normal2"/>
      </w:pPr>
      <w:r w:rsidRPr="008B5840">
        <w:t>The Swiss MT-MX-migration Market Practice was developed during 2011-2012 and the first release</w:t>
      </w:r>
      <w:r>
        <w:t xml:space="preserve"> (1.0)</w:t>
      </w:r>
      <w:r w:rsidRPr="008B5840">
        <w:t xml:space="preserve"> finalised at the end of 2012. Contrary to other national funds market practices, the Swiss MT-MX-migration Market Practice does not apply to the order message flow towards the domestic TAs, but instead specifies the market practice in the national distribution chain for cross-border funds order flows going to other TA markets.</w:t>
      </w:r>
    </w:p>
    <w:p w:rsidR="00050122" w:rsidRPr="008B5840" w:rsidRDefault="00050122" w:rsidP="00050122">
      <w:pPr>
        <w:pStyle w:val="Normal2"/>
      </w:pPr>
      <w:r>
        <w:t>A</w:t>
      </w:r>
      <w:r w:rsidRPr="008B5840">
        <w:t>t the end of April 2014</w:t>
      </w:r>
      <w:r>
        <w:t xml:space="preserve">, the second </w:t>
      </w:r>
      <w:r w:rsidRPr="008B5840">
        <w:t xml:space="preserve">MP release </w:t>
      </w:r>
      <w:r>
        <w:t>(</w:t>
      </w:r>
      <w:r w:rsidRPr="008B5840">
        <w:t>1.1</w:t>
      </w:r>
      <w:r>
        <w:t>)</w:t>
      </w:r>
      <w:r w:rsidRPr="008B5840">
        <w:t xml:space="preserve"> was published.</w:t>
      </w:r>
    </w:p>
    <w:p w:rsidR="00050122" w:rsidRDefault="00050122" w:rsidP="00050122">
      <w:pPr>
        <w:pStyle w:val="Normal2"/>
      </w:pPr>
      <w:r w:rsidRPr="008B5840">
        <w:t>Whilst a large number of funds players in the Swiss market expect</w:t>
      </w:r>
      <w:r>
        <w:t>ed</w:t>
      </w:r>
      <w:r w:rsidRPr="008B5840">
        <w:t xml:space="preserve"> to migrate by the NOV-2015 deadline to the ISO 20022 funds messages, there are some remaining players that </w:t>
      </w:r>
      <w:r>
        <w:t>continue to enjoy</w:t>
      </w:r>
      <w:r w:rsidRPr="008B5840">
        <w:t xml:space="preserve"> the facilities provided by SWIFT for continued use of the MT message set beyond NOV-2015.</w:t>
      </w:r>
      <w:r>
        <w:t xml:space="preserve"> </w:t>
      </w:r>
    </w:p>
    <w:p w:rsidR="00050122" w:rsidRDefault="00050122" w:rsidP="00050122">
      <w:pPr>
        <w:pStyle w:val="Heading3"/>
      </w:pPr>
      <w:bookmarkStart w:id="12" w:name="_Ref447898116"/>
      <w:r>
        <w:t>Transfers</w:t>
      </w:r>
      <w:bookmarkEnd w:id="12"/>
    </w:p>
    <w:p w:rsidR="00050122" w:rsidRDefault="00050122" w:rsidP="00050122">
      <w:pPr>
        <w:pStyle w:val="Normal2"/>
      </w:pPr>
      <w:r>
        <w:t>Starting in April 2014, the SCFS has investigated opportunities for automating portfolio transfers.</w:t>
      </w:r>
    </w:p>
    <w:p w:rsidR="00050122" w:rsidRDefault="00050122" w:rsidP="00050122">
      <w:pPr>
        <w:pStyle w:val="Normal2"/>
      </w:pPr>
      <w:r>
        <w:t>Within the Swiss securities market, the settlement and reconciliation processes are highly automated through ISO 15022 messaging. Thus, the ISO 15022 MT 586 message constituted a natural choice for a standardised message-based portfolio transfer process. In the Swiss market, investment funds instruments are included in the scope of the MT 586-based processes.</w:t>
      </w:r>
    </w:p>
    <w:p w:rsidR="00050122" w:rsidRDefault="00050122" w:rsidP="00050122">
      <w:pPr>
        <w:pStyle w:val="Normal2"/>
      </w:pPr>
      <w:r>
        <w:t xml:space="preserve">Based on an earlier draft global SMPG market practice using the MT 586, the SCFS has developed a portfolio transfer market practice for the Swiss securities market which in the meantime has been approved by the SMPG </w:t>
      </w:r>
      <w:proofErr w:type="spellStart"/>
      <w:r>
        <w:t>SnR</w:t>
      </w:r>
      <w:proofErr w:type="spellEnd"/>
      <w:r>
        <w:t xml:space="preserve"> WG as a final global SMPG market practice.</w:t>
      </w:r>
    </w:p>
    <w:p w:rsidR="00050122" w:rsidRDefault="00050122" w:rsidP="00050122">
      <w:pPr>
        <w:pStyle w:val="Normal2"/>
      </w:pPr>
      <w:r>
        <w:t>The SCFS is aware of the need to extend the MT 586-based SMPG market practice by a stock transfer process in a suitable manner in order to reach funds players that employ ISO 20022 messaging. This would be conducive in cases of cross-border flows to ISO 20022-based TAs and/or cross-border flows to securities markets that have migrated to ISO 20022 messaging.</w:t>
      </w:r>
    </w:p>
    <w:p w:rsidR="00050122" w:rsidRDefault="00050122" w:rsidP="00050122">
      <w:pPr>
        <w:pStyle w:val="Heading3"/>
      </w:pPr>
      <w:r>
        <w:t>Hedge / Alternative Funds</w:t>
      </w:r>
    </w:p>
    <w:p w:rsidR="00050122" w:rsidRPr="00AA48E8" w:rsidRDefault="00050122" w:rsidP="00050122">
      <w:pPr>
        <w:pStyle w:val="Normal2"/>
      </w:pPr>
      <w:r>
        <w:t>During the MT-MX-migration, it became apparent that a number of alternative funds processes had been implemented by the Swiss funds players in the ISO 15022 message set. These processes were however not harmonised throughout the Swiss funds market. In absence of any messaging standard for alternative funds processes, the Swiss NMPG decided that there was not sufficient a case for a domestic initiative to harmonise the various implementations of alternative funds processes by use of the ISO 20022 investment funds messages set, as this message set does not cater for alternative funds processes.</w:t>
      </w:r>
    </w:p>
    <w:p w:rsidR="00050122" w:rsidRPr="00AA48E8" w:rsidRDefault="00050122" w:rsidP="00050122">
      <w:pPr>
        <w:pStyle w:val="Normallevel2"/>
      </w:pPr>
      <w:r>
        <w:lastRenderedPageBreak/>
        <w:t>Therefore, i</w:t>
      </w:r>
      <w:r w:rsidRPr="00AA48E8">
        <w:t>n the first half of 2014, the SCFS conducted an investigation into the investment funds distribution related message sets of the two ISO 20022 business justifications entitled ‘investment funds distribution (BJ 2)’ and ‘alternative funds (BJ 37)’. The aim of this investigation consisted in analysing whether there were sufficient potential for harmonising both message sets.</w:t>
      </w:r>
    </w:p>
    <w:p w:rsidR="00050122" w:rsidRDefault="00050122" w:rsidP="00050122">
      <w:pPr>
        <w:pStyle w:val="Normallevel2"/>
      </w:pPr>
      <w:r w:rsidRPr="00AA48E8">
        <w:t xml:space="preserve">Following the presentation of this topic at the spring 2014 meeting of the SMPG IFWG, the SCFS has </w:t>
      </w:r>
      <w:r>
        <w:t xml:space="preserve">raised an ISO CR to merge the two message sets. The CR has </w:t>
      </w:r>
      <w:r w:rsidRPr="00AA48E8">
        <w:t xml:space="preserve">in the meantime been accepted by the </w:t>
      </w:r>
      <w:r>
        <w:t xml:space="preserve">ISO 20022 Securities Standards Evaluation Group (Securities SEG) for the 2016-2017 ISO 20022 maintenance cycle. SWIFT has confirmed that the merged message set will be made available with the </w:t>
      </w:r>
      <w:proofErr w:type="spellStart"/>
      <w:r>
        <w:t>SWIFTNet</w:t>
      </w:r>
      <w:proofErr w:type="spellEnd"/>
      <w:r>
        <w:t xml:space="preserve"> Funds release in November 2017.</w:t>
      </w:r>
    </w:p>
    <w:p w:rsidR="00050122" w:rsidRDefault="00050122" w:rsidP="00050122">
      <w:pPr>
        <w:pStyle w:val="Normallevel2"/>
      </w:pPr>
      <w:r>
        <w:t xml:space="preserve">Currently, the </w:t>
      </w:r>
      <w:r w:rsidRPr="00AA48E8">
        <w:t>SCFS SC FUND</w:t>
      </w:r>
      <w:r>
        <w:t xml:space="preserve"> is in the preparation phase for once more gathering the Swiss market practice working group in order to lift the current market practice (ver. 1.1) onto the forthcoming message set of the November 2017 release.</w:t>
      </w:r>
    </w:p>
    <w:p w:rsidR="00050122" w:rsidRDefault="00050122" w:rsidP="00050122">
      <w:pPr>
        <w:pStyle w:val="Heading2"/>
      </w:pPr>
      <w:r>
        <w:t>Maintenance of Market Practice</w:t>
      </w:r>
    </w:p>
    <w:p w:rsidR="00050122" w:rsidRPr="00823103" w:rsidRDefault="00050122" w:rsidP="00050122">
      <w:r>
        <w:t>The SCFS SC FUND has decided that any change requests for the ISO 20022 funds order messages implemented in the Swiss market should be consolidated within the SCFS SC FUND.</w:t>
      </w:r>
    </w:p>
    <w:p w:rsidR="00050122" w:rsidRDefault="00050122" w:rsidP="00050122">
      <w:pPr>
        <w:pStyle w:val="Heading2"/>
      </w:pPr>
      <w:r>
        <w:t>National Group / Initiative</w:t>
      </w:r>
    </w:p>
    <w:p w:rsidR="00050122" w:rsidRDefault="00050122" w:rsidP="00050122">
      <w:r>
        <w:t xml:space="preserve">See reference to the Portfolio Transfer market practice above (see section </w:t>
      </w:r>
      <w:r>
        <w:fldChar w:fldCharType="begin"/>
      </w:r>
      <w:r>
        <w:instrText xml:space="preserve"> REF _Ref447898116 \r \h </w:instrText>
      </w:r>
      <w:r>
        <w:fldChar w:fldCharType="separate"/>
      </w:r>
      <w:r>
        <w:t>1.2</w:t>
      </w:r>
      <w:r>
        <w:fldChar w:fldCharType="end"/>
      </w:r>
      <w:r>
        <w:t xml:space="preserve">). </w:t>
      </w:r>
    </w:p>
    <w:p w:rsidR="00050122" w:rsidRDefault="00050122" w:rsidP="00050122">
      <w:pPr>
        <w:pStyle w:val="Heading2"/>
      </w:pPr>
      <w:r>
        <w:t>Migration ISO 15022 to 20022 Status</w:t>
      </w:r>
    </w:p>
    <w:p w:rsidR="00050122" w:rsidRDefault="00050122" w:rsidP="00050122">
      <w:r>
        <w:t xml:space="preserve">By using the Swiss investment funds market practice as a recommendation, </w:t>
      </w:r>
      <w:r w:rsidRPr="001C68EB">
        <w:t>a large number of funds players in the Swiss market migrate</w:t>
      </w:r>
      <w:r>
        <w:t>d</w:t>
      </w:r>
      <w:r w:rsidRPr="001C68EB">
        <w:t xml:space="preserve"> by the N</w:t>
      </w:r>
      <w:r>
        <w:t xml:space="preserve">ov </w:t>
      </w:r>
      <w:r w:rsidRPr="001C68EB">
        <w:t>2015 deadline to the ISO 20022 funds messages</w:t>
      </w:r>
      <w:r>
        <w:t>. T</w:t>
      </w:r>
      <w:r w:rsidRPr="001C68EB">
        <w:t xml:space="preserve">here are </w:t>
      </w:r>
      <w:r>
        <w:t xml:space="preserve">nevertheless </w:t>
      </w:r>
      <w:r w:rsidRPr="001C68EB">
        <w:t>some remaining players that continue to enjoy the facilities provided by SWIFT for continued use of the MT message set beyond N</w:t>
      </w:r>
      <w:r>
        <w:t xml:space="preserve">ov </w:t>
      </w:r>
      <w:r w:rsidRPr="001C68EB">
        <w:t>2015.</w:t>
      </w:r>
    </w:p>
    <w:p w:rsidR="00050122" w:rsidRPr="001C68EB" w:rsidRDefault="00050122" w:rsidP="00050122">
      <w:r>
        <w:t>As these users of the FIN funds template are catered for by SWIFT in a closed user group (CUG), the SCFS has no reliable intelligence of its own on the progress being made by this CUG. It is believed that the MT-MX-migration rate in the Swiss funds market stands at around 80% (status date: mid-2016).</w:t>
      </w:r>
    </w:p>
    <w:p w:rsidR="00050122" w:rsidRDefault="00050122" w:rsidP="00050122">
      <w:pPr>
        <w:pStyle w:val="Heading2"/>
      </w:pPr>
      <w:r>
        <w:t>Miscellaneous</w:t>
      </w:r>
    </w:p>
    <w:p w:rsidR="00050122" w:rsidRDefault="00050122" w:rsidP="00050122">
      <w:pPr>
        <w:pStyle w:val="Heading3"/>
      </w:pPr>
      <w:r>
        <w:t>Document Resources</w:t>
      </w:r>
    </w:p>
    <w:p w:rsidR="00050122" w:rsidRDefault="00050122" w:rsidP="00050122">
      <w:pPr>
        <w:pStyle w:val="Heading4"/>
      </w:pPr>
      <w:r w:rsidRPr="00856357">
        <w:t>SCFS Validation Portal - SCFS Investment Funds Market Practice</w:t>
      </w:r>
    </w:p>
    <w:p w:rsidR="00050122" w:rsidRDefault="00050122" w:rsidP="00050122">
      <w:pPr>
        <w:pStyle w:val="Normal2"/>
      </w:pPr>
      <w:r>
        <w:t>The SCFS Validation Portal, b</w:t>
      </w:r>
      <w:r w:rsidRPr="00DE12F0">
        <w:t xml:space="preserve">ased on solution provided by GEFEG </w:t>
      </w:r>
      <w:proofErr w:type="spellStart"/>
      <w:r w:rsidRPr="00DE12F0">
        <w:t>mbH</w:t>
      </w:r>
      <w:proofErr w:type="spellEnd"/>
      <w:r>
        <w:t xml:space="preserve">, is being migrated onto a new technical hosting platform. </w:t>
      </w:r>
    </w:p>
    <w:p w:rsidR="00050122" w:rsidRDefault="00050122" w:rsidP="00050122">
      <w:pPr>
        <w:pStyle w:val="Normal2"/>
      </w:pPr>
      <w:r>
        <w:t>Whilst the previous platform was hosted in the cloud, the new platform will be hosted on a platform maintained by the Swiss Financial Market Infrastructure SIX Interbank Clearing. Any test files uploaded onto the platform are consequently stored on servers located within Switzerland.</w:t>
      </w:r>
    </w:p>
    <w:p w:rsidR="00050122" w:rsidRDefault="00050122" w:rsidP="00050122">
      <w:pPr>
        <w:pStyle w:val="Normal2"/>
      </w:pPr>
      <w:r>
        <w:t xml:space="preserve">The new hosting platform contains the Swiss investment funds market practice version 1.1 and is provided free of charge in the public domain under the following URL: </w:t>
      </w:r>
      <w:hyperlink r:id="rId19" w:history="1">
        <w:r w:rsidRPr="00444E3F">
          <w:rPr>
            <w:rStyle w:val="Hyperlink"/>
          </w:rPr>
          <w:t>https://validation.iso-payments.ch/scfs</w:t>
        </w:r>
      </w:hyperlink>
      <w:r>
        <w:t xml:space="preserve"> </w:t>
      </w:r>
    </w:p>
    <w:p w:rsidR="00050122" w:rsidRDefault="00050122" w:rsidP="00050122">
      <w:pPr>
        <w:pStyle w:val="Heading3"/>
      </w:pPr>
      <w:r>
        <w:lastRenderedPageBreak/>
        <w:t>Events</w:t>
      </w:r>
    </w:p>
    <w:p w:rsidR="00050122" w:rsidRDefault="00050122" w:rsidP="00050122">
      <w:pPr>
        <w:pStyle w:val="Normal2"/>
      </w:pPr>
      <w:r>
        <w:t xml:space="preserve">This year's edition of the annual SCFS Investment Funds Conference will take place on 24 August 2017. Agenda and further information will be published in due course on the SCFS web-site: </w:t>
      </w:r>
      <w:hyperlink r:id="rId20" w:history="1">
        <w:r w:rsidRPr="00444E3F">
          <w:rPr>
            <w:rStyle w:val="Hyperlink"/>
          </w:rPr>
          <w:t>www.scfs.ch</w:t>
        </w:r>
      </w:hyperlink>
      <w:r>
        <w:t xml:space="preserve"> </w:t>
      </w:r>
    </w:p>
    <w:p w:rsidR="00FB2A6E" w:rsidRDefault="00FB2A6E" w:rsidP="00FB2A6E">
      <w:pPr>
        <w:pStyle w:val="Heading1"/>
      </w:pPr>
      <w:bookmarkStart w:id="13" w:name="_Toc484589028"/>
      <w:r>
        <w:t>NMPG Country Update – FR France</w:t>
      </w:r>
      <w:bookmarkEnd w:id="13"/>
      <w:r>
        <w:t xml:space="preserve"> </w:t>
      </w:r>
    </w:p>
    <w:p w:rsidR="006819E4" w:rsidRDefault="006819E4" w:rsidP="006819E4">
      <w:pPr>
        <w:pStyle w:val="Heading2"/>
      </w:pPr>
      <w:r>
        <w:t>Current Market Practice Status</w:t>
      </w:r>
    </w:p>
    <w:p w:rsidR="006819E4" w:rsidRDefault="006819E4" w:rsidP="006819E4">
      <w:pPr>
        <w:pStyle w:val="Heading3"/>
      </w:pPr>
      <w:r>
        <w:t>Orders</w:t>
      </w:r>
    </w:p>
    <w:p w:rsidR="006819E4" w:rsidRDefault="006819E4" w:rsidP="006819E4">
      <w:pPr>
        <w:pStyle w:val="Normal2"/>
      </w:pPr>
      <w:r>
        <w:t>The 5 templates for Funds are available on MyStandards (public access).</w:t>
      </w:r>
      <w:r>
        <w:tab/>
      </w:r>
    </w:p>
    <w:p w:rsidR="006819E4" w:rsidRDefault="006819E4" w:rsidP="006819E4">
      <w:pPr>
        <w:pStyle w:val="Heading2"/>
      </w:pPr>
      <w:r>
        <w:t>Next Steps / Future Market Practice</w:t>
      </w:r>
    </w:p>
    <w:p w:rsidR="006819E4" w:rsidRDefault="006819E4" w:rsidP="006819E4">
      <w:r>
        <w:t>The big project for 2017 is the 2017 Maintenance ISO-20022 Funds messages which will take place in November 2017.</w:t>
      </w:r>
    </w:p>
    <w:p w:rsidR="006819E4" w:rsidRDefault="006819E4" w:rsidP="006819E4">
      <w:r>
        <w:t xml:space="preserve">French CSD </w:t>
      </w:r>
      <w:proofErr w:type="spellStart"/>
      <w:r>
        <w:t>Euroclear</w:t>
      </w:r>
      <w:proofErr w:type="spellEnd"/>
      <w:r>
        <w:t xml:space="preserve"> France announced 6 weeks of Market testing. Market tests should become on October the 9th.</w:t>
      </w:r>
    </w:p>
    <w:p w:rsidR="006819E4" w:rsidRDefault="006819E4" w:rsidP="006819E4">
      <w:pPr>
        <w:pStyle w:val="Heading2"/>
      </w:pPr>
      <w:r>
        <w:t>Maintenance of market Practice</w:t>
      </w:r>
    </w:p>
    <w:p w:rsidR="006819E4" w:rsidRDefault="006819E4" w:rsidP="006819E4">
      <w:r>
        <w:t>We will have to update Market Practice following Swift Release 2017 Go Live.</w:t>
      </w:r>
    </w:p>
    <w:p w:rsidR="006819E4" w:rsidRDefault="006819E4" w:rsidP="006819E4">
      <w:pPr>
        <w:pStyle w:val="Heading2"/>
      </w:pPr>
      <w:r>
        <w:t>Migration ISO 15022 to 20022 Status</w:t>
      </w:r>
    </w:p>
    <w:p w:rsidR="006819E4" w:rsidRDefault="006819E4" w:rsidP="006819E4">
      <w:r>
        <w:t>Most of the French actors are working with ISO 20022 messages (more than 80% of the French traffic for Funds).</w:t>
      </w:r>
    </w:p>
    <w:p w:rsidR="006819E4" w:rsidRDefault="006819E4" w:rsidP="006819E4">
      <w:pPr>
        <w:pStyle w:val="Heading2"/>
      </w:pPr>
      <w:r>
        <w:t>Miscellaneous</w:t>
      </w:r>
    </w:p>
    <w:p w:rsidR="006819E4" w:rsidRDefault="006819E4" w:rsidP="006819E4">
      <w:pPr>
        <w:pStyle w:val="Heading3"/>
      </w:pPr>
      <w:r>
        <w:t>Events</w:t>
      </w:r>
    </w:p>
    <w:p w:rsidR="006819E4" w:rsidRDefault="006819E4" w:rsidP="006819E4">
      <w:pPr>
        <w:pStyle w:val="Normal2"/>
      </w:pPr>
      <w:r>
        <w:t>Swift Forum in Paris on June 27th.</w:t>
      </w:r>
    </w:p>
    <w:p w:rsidR="00FB2A6E" w:rsidRDefault="00FB2A6E" w:rsidP="00FB2A6E">
      <w:pPr>
        <w:pStyle w:val="Heading1"/>
      </w:pPr>
      <w:bookmarkStart w:id="14" w:name="_Toc484589029"/>
      <w:r>
        <w:t xml:space="preserve">NMPG Country Update – </w:t>
      </w:r>
      <w:r w:rsidR="00FF51A7">
        <w:t xml:space="preserve">IT </w:t>
      </w:r>
      <w:r>
        <w:t>Italy</w:t>
      </w:r>
      <w:bookmarkEnd w:id="14"/>
    </w:p>
    <w:p w:rsidR="0018592E" w:rsidRDefault="0018592E" w:rsidP="0018592E">
      <w:pPr>
        <w:pStyle w:val="Heading2"/>
      </w:pPr>
      <w:r>
        <w:t>Current Market Practice Status (no changes compared to previous report – Zurich meeting)</w:t>
      </w:r>
    </w:p>
    <w:p w:rsidR="0018592E" w:rsidRDefault="0018592E" w:rsidP="0018592E">
      <w:r>
        <w:t>Italian Market Practices are available since 2011 when V1 '</w:t>
      </w:r>
      <w:proofErr w:type="spellStart"/>
      <w:r>
        <w:t>Linee</w:t>
      </w:r>
      <w:proofErr w:type="spellEnd"/>
      <w:r>
        <w:t xml:space="preserve"> </w:t>
      </w:r>
      <w:proofErr w:type="spellStart"/>
      <w:r>
        <w:t>Guida</w:t>
      </w:r>
      <w:proofErr w:type="spellEnd"/>
      <w:r>
        <w:t xml:space="preserve">' was published by Associations (ABI/ </w:t>
      </w:r>
      <w:proofErr w:type="spellStart"/>
      <w:r>
        <w:t>Assogestioni</w:t>
      </w:r>
      <w:proofErr w:type="spellEnd"/>
      <w:r>
        <w:t>) and promoted to the domestic banks and asset managers.</w:t>
      </w:r>
    </w:p>
    <w:p w:rsidR="0018592E" w:rsidRDefault="0018592E" w:rsidP="0018592E">
      <w:r>
        <w:t>'</w:t>
      </w:r>
      <w:proofErr w:type="spellStart"/>
      <w:r>
        <w:t>Linee</w:t>
      </w:r>
      <w:proofErr w:type="spellEnd"/>
      <w:r>
        <w:t xml:space="preserve"> </w:t>
      </w:r>
      <w:proofErr w:type="spellStart"/>
      <w:r>
        <w:t>Guida</w:t>
      </w:r>
      <w:proofErr w:type="spellEnd"/>
      <w:r>
        <w:t xml:space="preserve"> V1-V2' covers : </w:t>
      </w:r>
      <w:proofErr w:type="spellStart"/>
      <w:r>
        <w:t>accounts,order,transfer,statement</w:t>
      </w:r>
      <w:proofErr w:type="spellEnd"/>
      <w:r>
        <w:t xml:space="preserve"> of holdings and Fund processing passport.</w:t>
      </w:r>
    </w:p>
    <w:p w:rsidR="0018592E" w:rsidRDefault="0018592E" w:rsidP="0018592E">
      <w:r>
        <w:t>A new version '</w:t>
      </w:r>
      <w:proofErr w:type="spellStart"/>
      <w:r>
        <w:t>Linee</w:t>
      </w:r>
      <w:proofErr w:type="spellEnd"/>
      <w:r>
        <w:t xml:space="preserve"> </w:t>
      </w:r>
      <w:proofErr w:type="spellStart"/>
      <w:r>
        <w:t>Guida</w:t>
      </w:r>
      <w:proofErr w:type="spellEnd"/>
      <w:r>
        <w:t xml:space="preserve"> V3' is now available (in Italian only for the moment) and covers the following new sections  :  -  Updated process for Transfers,  Data sets FATCA-AML-CRS, Price reports and standard template for initial subscription form.</w:t>
      </w:r>
    </w:p>
    <w:p w:rsidR="0018592E" w:rsidRDefault="0018592E" w:rsidP="0018592E">
      <w:pPr>
        <w:pStyle w:val="Heading3"/>
      </w:pPr>
      <w:r w:rsidRPr="00B2288A">
        <w:lastRenderedPageBreak/>
        <w:t>Orders</w:t>
      </w:r>
    </w:p>
    <w:p w:rsidR="0018592E" w:rsidRDefault="0018592E" w:rsidP="0018592E">
      <w:pPr>
        <w:pStyle w:val="Normal2"/>
      </w:pPr>
      <w:r>
        <w:t>Market Practices, message usage and XSD schema are available and constantly updated  by ABI Lab.</w:t>
      </w:r>
    </w:p>
    <w:p w:rsidR="0018592E" w:rsidRPr="00B2288A" w:rsidRDefault="0018592E" w:rsidP="0018592E">
      <w:pPr>
        <w:pStyle w:val="Normal2"/>
      </w:pPr>
      <w:proofErr w:type="spellStart"/>
      <w:r>
        <w:t>Mystandard</w:t>
      </w:r>
      <w:proofErr w:type="spellEnd"/>
      <w:r>
        <w:t xml:space="preserve"> is used for message publication and message comparison (new releases)</w:t>
      </w:r>
      <w:r>
        <w:tab/>
      </w:r>
    </w:p>
    <w:p w:rsidR="0018592E" w:rsidRDefault="0018592E" w:rsidP="0018592E">
      <w:pPr>
        <w:pStyle w:val="Heading3"/>
      </w:pPr>
      <w:r>
        <w:t>Account Management</w:t>
      </w:r>
    </w:p>
    <w:p w:rsidR="0018592E" w:rsidRPr="005F421A" w:rsidRDefault="0018592E" w:rsidP="0018592E">
      <w:pPr>
        <w:pStyle w:val="Normal2"/>
      </w:pPr>
      <w:r>
        <w:t xml:space="preserve">Market Practices, message usage and XSD schema are available and constantly updated </w:t>
      </w:r>
      <w:r w:rsidRPr="005F421A">
        <w:t xml:space="preserve"> by ABI Lab.</w:t>
      </w:r>
    </w:p>
    <w:p w:rsidR="0018592E" w:rsidRPr="005F421A" w:rsidRDefault="0018592E" w:rsidP="0018592E">
      <w:pPr>
        <w:pStyle w:val="Normal2"/>
      </w:pPr>
      <w:proofErr w:type="spellStart"/>
      <w:r>
        <w:t>Mystandar</w:t>
      </w:r>
      <w:r w:rsidRPr="005F421A">
        <w:t>d</w:t>
      </w:r>
      <w:proofErr w:type="spellEnd"/>
      <w:r w:rsidRPr="005F421A">
        <w:t xml:space="preserve"> is used for message publication and message comparison (new releases)</w:t>
      </w:r>
      <w:r w:rsidRPr="005F421A">
        <w:tab/>
      </w:r>
    </w:p>
    <w:p w:rsidR="0018592E" w:rsidRDefault="0018592E" w:rsidP="0018592E">
      <w:pPr>
        <w:pStyle w:val="Heading3"/>
      </w:pPr>
      <w:r>
        <w:t>Statements</w:t>
      </w:r>
    </w:p>
    <w:p w:rsidR="0018592E" w:rsidRPr="005F421A" w:rsidRDefault="0018592E" w:rsidP="0018592E">
      <w:pPr>
        <w:pStyle w:val="Normal2"/>
      </w:pPr>
      <w:r>
        <w:t xml:space="preserve">Market Practices, message usage and XSD schema are available and constantly updated </w:t>
      </w:r>
      <w:r w:rsidRPr="005F421A">
        <w:t xml:space="preserve"> by ABI Lab.</w:t>
      </w:r>
    </w:p>
    <w:p w:rsidR="0018592E" w:rsidRDefault="0018592E" w:rsidP="0018592E">
      <w:pPr>
        <w:pStyle w:val="Normal2"/>
      </w:pPr>
      <w:proofErr w:type="spellStart"/>
      <w:r>
        <w:t>Mystandar</w:t>
      </w:r>
      <w:r w:rsidRPr="005F421A">
        <w:t>d</w:t>
      </w:r>
      <w:proofErr w:type="spellEnd"/>
      <w:r w:rsidRPr="005F421A">
        <w:t xml:space="preserve"> is used for message publication and message comparison (new releases)</w:t>
      </w:r>
      <w:r w:rsidRPr="005F421A">
        <w:tab/>
      </w:r>
    </w:p>
    <w:p w:rsidR="0018592E" w:rsidRDefault="0018592E" w:rsidP="0018592E">
      <w:pPr>
        <w:pStyle w:val="Heading3"/>
      </w:pPr>
      <w:r>
        <w:t>Price Reporting</w:t>
      </w:r>
    </w:p>
    <w:p w:rsidR="0018592E" w:rsidRPr="005F421A" w:rsidRDefault="0018592E" w:rsidP="0018592E">
      <w:pPr>
        <w:pStyle w:val="Normal2"/>
      </w:pPr>
      <w:r>
        <w:t xml:space="preserve">Market Practices, message usage and XSD schema are available and constantly updated </w:t>
      </w:r>
      <w:r w:rsidRPr="005F421A">
        <w:t xml:space="preserve"> by ABI Lab.</w:t>
      </w:r>
    </w:p>
    <w:p w:rsidR="0018592E" w:rsidRPr="005F421A" w:rsidRDefault="0018592E" w:rsidP="0018592E">
      <w:pPr>
        <w:pStyle w:val="Normal2"/>
      </w:pPr>
      <w:proofErr w:type="spellStart"/>
      <w:r>
        <w:t>Mystandar</w:t>
      </w:r>
      <w:r w:rsidRPr="005F421A">
        <w:t>d</w:t>
      </w:r>
      <w:proofErr w:type="spellEnd"/>
      <w:r w:rsidRPr="005F421A">
        <w:t xml:space="preserve"> is used for message publication and message comparison (new releases)</w:t>
      </w:r>
      <w:r w:rsidRPr="005F421A">
        <w:tab/>
      </w:r>
    </w:p>
    <w:p w:rsidR="0018592E" w:rsidRDefault="0018592E" w:rsidP="0018592E">
      <w:pPr>
        <w:pStyle w:val="Heading3"/>
      </w:pPr>
      <w:r>
        <w:t>Transfers</w:t>
      </w:r>
    </w:p>
    <w:p w:rsidR="0018592E" w:rsidRPr="005F421A" w:rsidRDefault="0018592E" w:rsidP="0018592E">
      <w:pPr>
        <w:pStyle w:val="Normal2"/>
      </w:pPr>
      <w:r>
        <w:t xml:space="preserve">Market Practices, message usage and XSD schema are available and constantly updated </w:t>
      </w:r>
      <w:r w:rsidRPr="005F421A">
        <w:t xml:space="preserve"> by ABI Lab.</w:t>
      </w:r>
    </w:p>
    <w:p w:rsidR="0018592E" w:rsidRPr="005F421A" w:rsidRDefault="0018592E" w:rsidP="0018592E">
      <w:pPr>
        <w:pStyle w:val="Normal2"/>
      </w:pPr>
      <w:proofErr w:type="spellStart"/>
      <w:r>
        <w:t>Mystandar</w:t>
      </w:r>
      <w:r w:rsidRPr="005F421A">
        <w:t>d</w:t>
      </w:r>
      <w:proofErr w:type="spellEnd"/>
      <w:r w:rsidRPr="005F421A">
        <w:t xml:space="preserve"> is used for message publication and message comparison (new releases)</w:t>
      </w:r>
      <w:r w:rsidRPr="005F421A">
        <w:tab/>
      </w:r>
    </w:p>
    <w:p w:rsidR="0018592E" w:rsidRDefault="0018592E" w:rsidP="0018592E">
      <w:pPr>
        <w:pStyle w:val="Heading3"/>
      </w:pPr>
      <w:r>
        <w:t>Hedge / Alternative Funds</w:t>
      </w:r>
    </w:p>
    <w:p w:rsidR="0018592E" w:rsidRDefault="0018592E" w:rsidP="0018592E">
      <w:pPr>
        <w:pStyle w:val="Normal2"/>
      </w:pPr>
      <w:r>
        <w:t xml:space="preserve">Actually we do not have yet any best practices or message template available, this is part of the planning for 2016/2017.  </w:t>
      </w:r>
    </w:p>
    <w:p w:rsidR="0018592E" w:rsidRDefault="0018592E" w:rsidP="0018592E">
      <w:pPr>
        <w:pStyle w:val="Heading2"/>
      </w:pPr>
      <w:r>
        <w:t>Next Steps / Future Market Practice</w:t>
      </w:r>
    </w:p>
    <w:p w:rsidR="0018592E" w:rsidRDefault="0018592E" w:rsidP="0018592E">
      <w:r>
        <w:t>Current  priorities  for Italian market are :</w:t>
      </w:r>
    </w:p>
    <w:p w:rsidR="0018592E" w:rsidRDefault="0018592E" w:rsidP="0018592E">
      <w:r>
        <w:t xml:space="preserve">- </w:t>
      </w:r>
      <w:r w:rsidRPr="0008644E">
        <w:rPr>
          <w:rFonts w:ascii="Calibri" w:hAnsi="Calibri"/>
        </w:rPr>
        <w:t>To extend the usage of ISO messages to small and medium size counterparties, actually most of the ISO volume is between big players  (domestic or international</w:t>
      </w:r>
      <w:r>
        <w:t xml:space="preserve">).  Associations (ABI, </w:t>
      </w:r>
      <w:proofErr w:type="spellStart"/>
      <w:r>
        <w:t>Assogestioni</w:t>
      </w:r>
      <w:proofErr w:type="spellEnd"/>
      <w:r>
        <w:t xml:space="preserve">) are working with Regulators (Banca </w:t>
      </w:r>
      <w:proofErr w:type="spellStart"/>
      <w:r>
        <w:t>d'Italia</w:t>
      </w:r>
      <w:proofErr w:type="spellEnd"/>
      <w:r>
        <w:t xml:space="preserve">, </w:t>
      </w:r>
      <w:proofErr w:type="spellStart"/>
      <w:r>
        <w:t>Consob</w:t>
      </w:r>
      <w:proofErr w:type="spellEnd"/>
      <w:r>
        <w:t xml:space="preserve">) to find the best way to promote and encourage a massive usage of ISO 20022 in Fund industry. </w:t>
      </w:r>
    </w:p>
    <w:p w:rsidR="0018592E" w:rsidRDefault="0018592E" w:rsidP="0018592E">
      <w:r>
        <w:t xml:space="preserve">- </w:t>
      </w:r>
      <w:r w:rsidRPr="005B6F25">
        <w:t xml:space="preserve">We have appointed a dedicated sub-group within ABI Lab WG focussed on </w:t>
      </w:r>
      <w:r>
        <w:t xml:space="preserve">Transfers, an updated and final  business process have been agreed among parties and now the implementation phase is underway. </w:t>
      </w:r>
    </w:p>
    <w:p w:rsidR="0018592E" w:rsidRDefault="0018592E" w:rsidP="0018592E">
      <w:r>
        <w:t xml:space="preserve">- </w:t>
      </w:r>
      <w:r w:rsidRPr="0008644E">
        <w:rPr>
          <w:rFonts w:ascii="Calibri" w:hAnsi="Calibri"/>
        </w:rPr>
        <w:t xml:space="preserve">We have appointed a dedicated sub-group within ABI Lab WG focussed on </w:t>
      </w:r>
      <w:proofErr w:type="spellStart"/>
      <w:r w:rsidRPr="0008644E">
        <w:rPr>
          <w:rFonts w:ascii="Calibri" w:hAnsi="Calibri"/>
        </w:rPr>
        <w:t>analyzing</w:t>
      </w:r>
      <w:proofErr w:type="spellEnd"/>
      <w:r w:rsidRPr="0008644E">
        <w:rPr>
          <w:rFonts w:ascii="Calibri" w:hAnsi="Calibri"/>
        </w:rPr>
        <w:t xml:space="preserve"> and harmonizing business content of subscription form</w:t>
      </w:r>
      <w:r>
        <w:t xml:space="preserve">, this step is completed and now we have started working on 'subsequent order' . Original target date for the completion of the last phase </w:t>
      </w:r>
      <w:r>
        <w:lastRenderedPageBreak/>
        <w:t>has been postponed after 2017 summer due to other priorities (</w:t>
      </w:r>
      <w:proofErr w:type="spellStart"/>
      <w:r>
        <w:t>eg</w:t>
      </w:r>
      <w:proofErr w:type="spellEnd"/>
      <w:r>
        <w:t xml:space="preserve"> . ISO standard release, MIFID II)</w:t>
      </w:r>
    </w:p>
    <w:p w:rsidR="0018592E" w:rsidRDefault="0018592E" w:rsidP="0018592E">
      <w:pPr>
        <w:pStyle w:val="Heading2"/>
      </w:pPr>
      <w:r>
        <w:t>Maintenance of market Practice</w:t>
      </w:r>
    </w:p>
    <w:p w:rsidR="0018592E" w:rsidRDefault="0018592E" w:rsidP="0018592E">
      <w:r>
        <w:t>1) Cross border market (Italy to/from LUX/DUB TA) :</w:t>
      </w:r>
    </w:p>
    <w:p w:rsidR="0018592E" w:rsidRDefault="0018592E" w:rsidP="0018592E">
      <w:r>
        <w:t>Local community is working on ISO 2017 release (Swift SR 2017),  most of counterparties will be ready for 'end to end' test during summer 2017.</w:t>
      </w:r>
    </w:p>
    <w:p w:rsidR="0018592E" w:rsidRDefault="0018592E" w:rsidP="0018592E">
      <w:r>
        <w:t>2) Domestic Market</w:t>
      </w:r>
    </w:p>
    <w:p w:rsidR="0018592E" w:rsidRDefault="0018592E" w:rsidP="0018592E">
      <w:r>
        <w:t>ABI Lab is working  hard to deliver all documentations required to implement 'local' templates based on 2017 ISO release. Expected delivery date for ABI Lab release R09.0 package (documentation, sample and XSD) is 1st week of June.                                                                 Implementation date is November 2017 same date as Swift SR 2017.</w:t>
      </w:r>
    </w:p>
    <w:p w:rsidR="0018592E" w:rsidRDefault="0018592E" w:rsidP="00223B67">
      <w:r>
        <w:t xml:space="preserve"> Migration ISO 15022 to 20022 Status</w:t>
      </w:r>
    </w:p>
    <w:p w:rsidR="0018592E" w:rsidRPr="00881F60" w:rsidRDefault="0018592E" w:rsidP="0018592E">
      <w:r>
        <w:t>See point 2</w:t>
      </w:r>
    </w:p>
    <w:p w:rsidR="0018592E" w:rsidRDefault="0018592E" w:rsidP="0018592E">
      <w:pPr>
        <w:pStyle w:val="Heading2"/>
      </w:pPr>
      <w:r>
        <w:t>Legislation Impacts / News</w:t>
      </w:r>
    </w:p>
    <w:p w:rsidR="0018592E" w:rsidRDefault="0018592E" w:rsidP="0018592E">
      <w:r>
        <w:t>MIFDII</w:t>
      </w:r>
    </w:p>
    <w:p w:rsidR="0018592E" w:rsidRDefault="0018592E" w:rsidP="0018592E">
      <w:r>
        <w:t>We have completed a preliminary business review of MIFID II regulation focussed on transparency of  Charges,</w:t>
      </w:r>
      <w:r w:rsidR="00C95CE6">
        <w:t xml:space="preserve"> </w:t>
      </w:r>
      <w:r>
        <w:t xml:space="preserve">Commission &amp; inducements. Associations (ABI and </w:t>
      </w:r>
      <w:proofErr w:type="spellStart"/>
      <w:r>
        <w:t>Assogestioni</w:t>
      </w:r>
      <w:proofErr w:type="spellEnd"/>
      <w:r>
        <w:t xml:space="preserve">) sent few Q&amp;A to ESMA in order to clarify few critical aspects which could </w:t>
      </w:r>
      <w:r w:rsidR="00C95CE6">
        <w:t>affect</w:t>
      </w:r>
      <w:r>
        <w:t xml:space="preserve"> the implementation of MIFID II (answer from ESMA is expected before summer hopefully). From ISO point of view we have identified the following approach :</w:t>
      </w:r>
    </w:p>
    <w:p w:rsidR="0018592E" w:rsidRDefault="0018592E" w:rsidP="0018592E">
      <w:r>
        <w:t>- One-off cost (Ex ante) wait for ESMA answers</w:t>
      </w:r>
    </w:p>
    <w:p w:rsidR="0018592E" w:rsidRDefault="0018592E" w:rsidP="0018592E">
      <w:r>
        <w:t>- One-off cost (Ex post) covered by current ISO order confirmation messages</w:t>
      </w:r>
    </w:p>
    <w:p w:rsidR="0018592E" w:rsidRDefault="0018592E" w:rsidP="0018592E">
      <w:r>
        <w:t xml:space="preserve">- On going (Ex ante/Ex post) few small changes needed to ISO Price report messages  </w:t>
      </w:r>
    </w:p>
    <w:p w:rsidR="0018592E" w:rsidRDefault="0018592E" w:rsidP="0018592E">
      <w:r>
        <w:t>Considering MIFID II implementation is required by January 2018, we will use extension as temporary solution and will submit CRs for ISO 2018 release (price)</w:t>
      </w:r>
    </w:p>
    <w:p w:rsidR="0018592E" w:rsidRDefault="0018592E" w:rsidP="0018592E"/>
    <w:p w:rsidR="0018592E" w:rsidRDefault="0018592E" w:rsidP="0018592E">
      <w:r>
        <w:t>INDIVIDUAL SAVING ACCOUNT with fiscal benefits (PIR)</w:t>
      </w:r>
    </w:p>
    <w:p w:rsidR="0018592E" w:rsidRDefault="0018592E" w:rsidP="0018592E">
      <w:r>
        <w:t>Starting from January 2017 due to new fiscal regulation also in Italy are available individual saving account (PIR) with fiscal benefits like ISA in UK and PEA in France. Looks like these new products are very attractive and most of the Asset managers spent Q1/2017 to define process and promote PIR  to the market.</w:t>
      </w:r>
    </w:p>
    <w:p w:rsidR="0018592E" w:rsidRDefault="0018592E" w:rsidP="0018592E">
      <w:r>
        <w:t xml:space="preserve">ABI Lab WG worked with the Associations to define  common process and a dataset of information to be exchanged between financials intermediaries in order support these new products (PIR).     ABI Lab WG  successfully delivered a PIR data set in March and updated ISO ABI Lab templates (R08.1) </w:t>
      </w:r>
    </w:p>
    <w:p w:rsidR="0018592E" w:rsidRPr="0018592E" w:rsidRDefault="0018592E" w:rsidP="0018592E"/>
    <w:p w:rsidR="005B7298" w:rsidRDefault="005B7298" w:rsidP="005B7298">
      <w:pPr>
        <w:pStyle w:val="Heading1"/>
      </w:pPr>
      <w:bookmarkStart w:id="15" w:name="_Toc484589030"/>
      <w:r>
        <w:lastRenderedPageBreak/>
        <w:t xml:space="preserve">NMPG Country Update – </w:t>
      </w:r>
      <w:r w:rsidR="00FB2A6E">
        <w:t xml:space="preserve">GB </w:t>
      </w:r>
      <w:r w:rsidR="00093F83">
        <w:t>United Kingdom</w:t>
      </w:r>
      <w:bookmarkEnd w:id="15"/>
      <w:r w:rsidR="006819E4">
        <w:t xml:space="preserve"> </w:t>
      </w:r>
    </w:p>
    <w:p w:rsidR="006819E4" w:rsidRDefault="006819E4" w:rsidP="006819E4">
      <w:pPr>
        <w:pStyle w:val="Heading2"/>
      </w:pPr>
      <w:r>
        <w:t>Current Market Practice Status</w:t>
      </w:r>
    </w:p>
    <w:p w:rsidR="00032543" w:rsidRDefault="00032543" w:rsidP="006819E4">
      <w:pPr>
        <w:pStyle w:val="Heading3"/>
      </w:pPr>
      <w:r>
        <w:t>Orders</w:t>
      </w:r>
    </w:p>
    <w:p w:rsidR="00032543" w:rsidRDefault="00032543" w:rsidP="006819E4">
      <w:pPr>
        <w:pStyle w:val="Normal2"/>
      </w:pPr>
      <w:r>
        <w:t xml:space="preserve">Trading in UK pension funds adheres to the UKFMPG Corporate Pension Order Processing market practice (aka </w:t>
      </w:r>
      <w:proofErr w:type="spellStart"/>
      <w:r>
        <w:t>ViaNova</w:t>
      </w:r>
      <w:proofErr w:type="spellEnd"/>
      <w:r>
        <w:t>) based on ISO 200022. Usage of the market practice is widespread and participants closely adhere to the standard.</w:t>
      </w:r>
    </w:p>
    <w:p w:rsidR="00032543" w:rsidRDefault="00032543" w:rsidP="006819E4">
      <w:pPr>
        <w:pStyle w:val="Normallevel2"/>
        <w:tabs>
          <w:tab w:val="left" w:pos="5998"/>
        </w:tabs>
        <w:ind w:left="720"/>
      </w:pPr>
      <w:r>
        <w:t xml:space="preserve">A market practice has been defined for general mutual fund order processing but this is not used. Outside of pension funds, order processing typically employs proprietary formats. </w:t>
      </w:r>
    </w:p>
    <w:p w:rsidR="00032543" w:rsidRDefault="00032543" w:rsidP="006819E4">
      <w:pPr>
        <w:pStyle w:val="Heading3"/>
      </w:pPr>
      <w:r>
        <w:t>Account Management</w:t>
      </w:r>
    </w:p>
    <w:p w:rsidR="00032543" w:rsidRDefault="00032543" w:rsidP="006819E4">
      <w:pPr>
        <w:pStyle w:val="Normal2"/>
      </w:pPr>
      <w:r>
        <w:t>No market practice defined. Processing is undertaken manually or using propriety mechanisms.</w:t>
      </w:r>
    </w:p>
    <w:p w:rsidR="00032543" w:rsidRDefault="00032543" w:rsidP="006819E4">
      <w:pPr>
        <w:pStyle w:val="Heading3"/>
      </w:pPr>
      <w:r>
        <w:t>Statements</w:t>
      </w:r>
    </w:p>
    <w:p w:rsidR="00032543" w:rsidRDefault="00032543" w:rsidP="006819E4">
      <w:pPr>
        <w:pStyle w:val="Normal2"/>
      </w:pPr>
      <w:r>
        <w:t xml:space="preserve">ISO 20022 used for pension funds (see </w:t>
      </w:r>
      <w:proofErr w:type="spellStart"/>
      <w:r>
        <w:t>ViaNova</w:t>
      </w:r>
      <w:proofErr w:type="spellEnd"/>
      <w:r>
        <w:t xml:space="preserve"> above). Otherwise reporting is undertaken manually or using mostly propriety mechanisms.</w:t>
      </w:r>
    </w:p>
    <w:p w:rsidR="00032543" w:rsidRDefault="00032543" w:rsidP="006819E4">
      <w:pPr>
        <w:pStyle w:val="Normal2"/>
      </w:pPr>
      <w:r>
        <w:t>A draft of a more general market practice for holding and transaction statements has been created but is not currently used.</w:t>
      </w:r>
    </w:p>
    <w:p w:rsidR="00032543" w:rsidRDefault="00032543" w:rsidP="006819E4">
      <w:pPr>
        <w:pStyle w:val="Heading3"/>
      </w:pPr>
      <w:r>
        <w:t>Price Reporting</w:t>
      </w:r>
    </w:p>
    <w:p w:rsidR="00032543" w:rsidRDefault="00032543" w:rsidP="006819E4">
      <w:pPr>
        <w:pStyle w:val="Normal2"/>
      </w:pPr>
      <w:r>
        <w:t xml:space="preserve">ISO 20022 used for pension funds (see </w:t>
      </w:r>
      <w:proofErr w:type="spellStart"/>
      <w:r>
        <w:t>ViaNova</w:t>
      </w:r>
      <w:proofErr w:type="spellEnd"/>
      <w:r>
        <w:t xml:space="preserve"> above).</w:t>
      </w:r>
    </w:p>
    <w:p w:rsidR="00032543" w:rsidRDefault="00032543" w:rsidP="006819E4">
      <w:pPr>
        <w:pStyle w:val="Normal2"/>
      </w:pPr>
      <w:r>
        <w:t>Otherwise reporting uses propriety formats.</w:t>
      </w:r>
    </w:p>
    <w:p w:rsidR="00032543" w:rsidRDefault="00032543" w:rsidP="006819E4">
      <w:pPr>
        <w:pStyle w:val="Heading3"/>
      </w:pPr>
      <w:r>
        <w:t>Transfers</w:t>
      </w:r>
    </w:p>
    <w:p w:rsidR="00032543" w:rsidRDefault="00032543" w:rsidP="006819E4">
      <w:pPr>
        <w:pStyle w:val="Normal2"/>
      </w:pPr>
      <w:r>
        <w:t>Portfolio and asset transfers adhere to the UKFMPG Transfers market practice based on ISO 20022. The market practice covers a wide range of account wrapper types and asset types and includes support for sub-custodians. Usage of the market practice is widespread and participants closely adhere to the standard.</w:t>
      </w:r>
    </w:p>
    <w:p w:rsidR="00032543" w:rsidRDefault="00032543" w:rsidP="006819E4">
      <w:pPr>
        <w:pStyle w:val="Heading3"/>
      </w:pPr>
      <w:r>
        <w:t>Conversions</w:t>
      </w:r>
    </w:p>
    <w:p w:rsidR="00032543" w:rsidRDefault="00032543" w:rsidP="006819E4">
      <w:pPr>
        <w:pStyle w:val="Normal2"/>
      </w:pPr>
      <w:r>
        <w:t xml:space="preserve">Market practice defined but not currently used. </w:t>
      </w:r>
    </w:p>
    <w:p w:rsidR="00032543" w:rsidRDefault="00032543" w:rsidP="006819E4">
      <w:pPr>
        <w:pStyle w:val="Heading3"/>
      </w:pPr>
      <w:r>
        <w:t>Funds Cash Forecast</w:t>
      </w:r>
    </w:p>
    <w:p w:rsidR="00032543" w:rsidRDefault="00032543" w:rsidP="006819E4">
      <w:pPr>
        <w:pStyle w:val="Normal2"/>
      </w:pPr>
      <w:r>
        <w:t>No market practice defined.</w:t>
      </w:r>
    </w:p>
    <w:p w:rsidR="00032543" w:rsidRDefault="00032543" w:rsidP="006819E4">
      <w:pPr>
        <w:pStyle w:val="Heading3"/>
      </w:pPr>
      <w:r>
        <w:t>Hedge / Alternative Funds</w:t>
      </w:r>
    </w:p>
    <w:p w:rsidR="00032543" w:rsidRDefault="00032543" w:rsidP="006819E4">
      <w:pPr>
        <w:pStyle w:val="Normal2"/>
      </w:pPr>
      <w:r>
        <w:t>SHARP market practice defined a few years ago but not used. GAIA market practice now defined but this is a private group and not part of UKFMPG.</w:t>
      </w:r>
    </w:p>
    <w:p w:rsidR="00032543" w:rsidRDefault="00032543" w:rsidP="006819E4">
      <w:pPr>
        <w:pStyle w:val="Heading2"/>
      </w:pPr>
      <w:r>
        <w:lastRenderedPageBreak/>
        <w:t>Next Steps / Future Market Practice</w:t>
      </w:r>
    </w:p>
    <w:p w:rsidR="00032543" w:rsidRDefault="00032543" w:rsidP="006819E4">
      <w:pPr>
        <w:pStyle w:val="Heading3"/>
      </w:pPr>
      <w:r>
        <w:t>Orders</w:t>
      </w:r>
    </w:p>
    <w:p w:rsidR="00032543" w:rsidRDefault="00032543" w:rsidP="006819E4">
      <w:pPr>
        <w:pStyle w:val="Normal2"/>
      </w:pPr>
      <w:r>
        <w:t xml:space="preserve">The </w:t>
      </w:r>
      <w:proofErr w:type="spellStart"/>
      <w:r>
        <w:t>ViaNova</w:t>
      </w:r>
      <w:proofErr w:type="spellEnd"/>
      <w:r>
        <w:t xml:space="preserve"> sub-group is updating the market practice for the 2017 order message changes.</w:t>
      </w:r>
    </w:p>
    <w:p w:rsidR="00032543" w:rsidRDefault="00032543" w:rsidP="006819E4">
      <w:pPr>
        <w:pStyle w:val="Heading3"/>
      </w:pPr>
      <w:r>
        <w:t>Transfers</w:t>
      </w:r>
    </w:p>
    <w:p w:rsidR="00032543" w:rsidRDefault="00032543" w:rsidP="006819E4">
      <w:pPr>
        <w:pStyle w:val="Normal2"/>
      </w:pPr>
      <w:r>
        <w:t>The transfers sub-group continues to actively develop and promote automated transfers. Updates under discussion for further regulatory and operational changes.</w:t>
      </w:r>
    </w:p>
    <w:p w:rsidR="00032543" w:rsidRDefault="00032543" w:rsidP="006819E4">
      <w:pPr>
        <w:pStyle w:val="Normal2"/>
      </w:pPr>
      <w:r>
        <w:t>There is a longer term plan for the UKFMPG Transfers sub-group to raise change requests for transfer messages but the detail has not yet been agreed.</w:t>
      </w:r>
    </w:p>
    <w:p w:rsidR="00032543" w:rsidRDefault="00032543" w:rsidP="006819E4">
      <w:pPr>
        <w:pStyle w:val="Heading2"/>
      </w:pPr>
      <w:r>
        <w:t>Maintenance of market Practice</w:t>
      </w:r>
    </w:p>
    <w:p w:rsidR="00032543" w:rsidRDefault="00032543" w:rsidP="00032543">
      <w:r>
        <w:t>See above.</w:t>
      </w:r>
    </w:p>
    <w:p w:rsidR="00032543" w:rsidRDefault="00032543" w:rsidP="006819E4">
      <w:pPr>
        <w:pStyle w:val="Heading2"/>
      </w:pPr>
      <w:r>
        <w:t>National Group / Initiative</w:t>
      </w:r>
    </w:p>
    <w:p w:rsidR="00032543" w:rsidRDefault="00032543" w:rsidP="00032543">
      <w:r>
        <w:t>See above.</w:t>
      </w:r>
    </w:p>
    <w:p w:rsidR="00032543" w:rsidRDefault="00032543" w:rsidP="006819E4">
      <w:pPr>
        <w:pStyle w:val="Heading2"/>
      </w:pPr>
      <w:r>
        <w:t>Migration ISO 15022 to 20022 Status</w:t>
      </w:r>
    </w:p>
    <w:p w:rsidR="00032543" w:rsidRDefault="00032543" w:rsidP="00032543">
      <w:r>
        <w:t>ISO 15022 has never been used to any significant degree in the UK for funds order processing and therefore the migration will have negligible impact.</w:t>
      </w:r>
    </w:p>
    <w:p w:rsidR="00032543" w:rsidRDefault="00032543" w:rsidP="006819E4">
      <w:pPr>
        <w:pStyle w:val="Heading2"/>
      </w:pPr>
      <w:r>
        <w:t>Other Market Practice</w:t>
      </w:r>
    </w:p>
    <w:p w:rsidR="00032543" w:rsidRDefault="00032543" w:rsidP="00032543">
      <w:r>
        <w:t>See current market practices above.</w:t>
      </w:r>
    </w:p>
    <w:p w:rsidR="00032543" w:rsidRDefault="00032543" w:rsidP="006819E4">
      <w:pPr>
        <w:pStyle w:val="Heading2"/>
      </w:pPr>
      <w:r>
        <w:t>Legislation Impacts / News</w:t>
      </w:r>
    </w:p>
    <w:p w:rsidR="00032543" w:rsidRDefault="00032543" w:rsidP="00032543">
      <w:r>
        <w:t>Huge amount of UK and European regulatory changes in the pipeline that will impact existing market practice and may create demand for new standards (most notably MiFID II, FAMR, and UK tax).</w:t>
      </w:r>
    </w:p>
    <w:p w:rsidR="00032543" w:rsidRDefault="00032543" w:rsidP="00032543">
      <w:r>
        <w:t>There are separate industry wide initiatives under way reviewing transfer processing and fund distribution more generally. These are expected to publish recommendations on governance, standards, service levels and commercials for the enabling technology within the next few months.</w:t>
      </w:r>
    </w:p>
    <w:p w:rsidR="00032543" w:rsidRDefault="00032543" w:rsidP="006819E4">
      <w:pPr>
        <w:pStyle w:val="Heading2"/>
      </w:pPr>
      <w:r>
        <w:t>Miscellaneous</w:t>
      </w:r>
    </w:p>
    <w:p w:rsidR="00032543" w:rsidRDefault="00032543" w:rsidP="00032543">
      <w:r>
        <w:t>All UKFMPG market practices and associated documentation are published in MyStandards.</w:t>
      </w:r>
    </w:p>
    <w:p w:rsidR="00CE5BD5" w:rsidRDefault="00CE5BD5" w:rsidP="00CE5BD5">
      <w:pPr>
        <w:pStyle w:val="Heading1"/>
      </w:pPr>
      <w:bookmarkStart w:id="16" w:name="_Toc484589031"/>
      <w:r>
        <w:lastRenderedPageBreak/>
        <w:t>NMPG Country Update – NO Norway</w:t>
      </w:r>
      <w:bookmarkEnd w:id="16"/>
      <w:r>
        <w:t xml:space="preserve">  </w:t>
      </w:r>
    </w:p>
    <w:p w:rsidR="00CE5BD5" w:rsidRDefault="00CE5BD5" w:rsidP="00CE5BD5">
      <w:pPr>
        <w:pStyle w:val="Heading2"/>
      </w:pPr>
      <w:r>
        <w:t>Current Market Practice Status</w:t>
      </w:r>
    </w:p>
    <w:p w:rsidR="00CE5BD5" w:rsidRDefault="00CE5BD5" w:rsidP="00CE5BD5">
      <w:pPr>
        <w:pStyle w:val="Heading3"/>
      </w:pPr>
      <w:r w:rsidRPr="00B2288A">
        <w:t>Orders</w:t>
      </w:r>
    </w:p>
    <w:p w:rsidR="00CE5BD5" w:rsidRDefault="00CE5BD5" w:rsidP="00CE5BD5">
      <w:pPr>
        <w:pStyle w:val="Normal2"/>
      </w:pPr>
      <w:r>
        <w:t xml:space="preserve">ISO 20022 </w:t>
      </w:r>
      <w:r w:rsidRPr="00247E46">
        <w:t>setr.010.001.03</w:t>
      </w:r>
      <w:r>
        <w:t xml:space="preserve"> /</w:t>
      </w:r>
      <w:r w:rsidRPr="00135F61">
        <w:t xml:space="preserve"> </w:t>
      </w:r>
      <w:r>
        <w:t>setr.011</w:t>
      </w:r>
      <w:r w:rsidRPr="00135F61">
        <w:t>.001.03</w:t>
      </w:r>
      <w:r>
        <w:t xml:space="preserve">/ </w:t>
      </w:r>
      <w:r w:rsidRPr="00247E46">
        <w:t>setr.012.001.03</w:t>
      </w:r>
      <w:r>
        <w:t xml:space="preserve"> and </w:t>
      </w:r>
      <w:r w:rsidRPr="00B147FC">
        <w:t>setr.004.001.03</w:t>
      </w:r>
      <w:r>
        <w:t xml:space="preserve"> /</w:t>
      </w:r>
      <w:r w:rsidRPr="00135F61">
        <w:t xml:space="preserve"> </w:t>
      </w:r>
      <w:r>
        <w:t>setr.005</w:t>
      </w:r>
      <w:r w:rsidRPr="00135F61">
        <w:t xml:space="preserve">.001.03 </w:t>
      </w:r>
      <w:r>
        <w:t xml:space="preserve">/ </w:t>
      </w:r>
      <w:r w:rsidRPr="00B147FC">
        <w:t>setr.006.001.03</w:t>
      </w:r>
      <w:r>
        <w:t xml:space="preserve">, </w:t>
      </w:r>
      <w:r w:rsidRPr="00777F6A">
        <w:t>setr.013.001.03</w:t>
      </w:r>
      <w:r>
        <w:t xml:space="preserve"> / </w:t>
      </w:r>
      <w:r w:rsidRPr="00777F6A">
        <w:t>setr.014.001.03</w:t>
      </w:r>
      <w:r w:rsidRPr="00566E90">
        <w:t xml:space="preserve"> </w:t>
      </w:r>
      <w:r>
        <w:t>/setr.015</w:t>
      </w:r>
      <w:r w:rsidRPr="00777F6A">
        <w:t>.001.03</w:t>
      </w:r>
      <w:r>
        <w:t>, setr.016</w:t>
      </w:r>
      <w:r w:rsidRPr="00566E90">
        <w:t>.001.03</w:t>
      </w:r>
      <w:r>
        <w:t>, setr.017</w:t>
      </w:r>
      <w:r w:rsidRPr="00566E90">
        <w:t xml:space="preserve">.001.03  </w:t>
      </w:r>
      <w:r>
        <w:t>are implemented.</w:t>
      </w:r>
      <w:r>
        <w:tab/>
      </w:r>
    </w:p>
    <w:p w:rsidR="00CE5BD5" w:rsidRPr="00F26426" w:rsidRDefault="00CE5BD5" w:rsidP="00CE5BD5">
      <w:pPr>
        <w:pStyle w:val="Normal2"/>
        <w:rPr>
          <w:lang w:val="en-US"/>
        </w:rPr>
      </w:pPr>
      <w:r w:rsidRPr="00F26426">
        <w:rPr>
          <w:lang w:val="en-US"/>
        </w:rPr>
        <w:t>I</w:t>
      </w:r>
      <w:proofErr w:type="spellStart"/>
      <w:r>
        <w:t>n</w:t>
      </w:r>
      <w:proofErr w:type="spellEnd"/>
      <w:r>
        <w:t xml:space="preserve"> addition</w:t>
      </w:r>
      <w:r w:rsidRPr="00F26426">
        <w:rPr>
          <w:lang w:val="en-US"/>
        </w:rPr>
        <w:t xml:space="preserve"> setr.001.001.03, setr.007.001.03, setr.003.001.03, setr.009.001.03</w:t>
      </w:r>
      <w:r>
        <w:rPr>
          <w:lang w:val="en-US"/>
        </w:rPr>
        <w:t xml:space="preserve"> </w:t>
      </w:r>
      <w:r>
        <w:t>and semt.001.001.03 are also used.</w:t>
      </w:r>
    </w:p>
    <w:p w:rsidR="00CE5BD5" w:rsidRDefault="00CE5BD5" w:rsidP="00CE5BD5">
      <w:pPr>
        <w:pStyle w:val="Heading3"/>
      </w:pPr>
      <w:r>
        <w:t>Account Management</w:t>
      </w:r>
    </w:p>
    <w:p w:rsidR="00CE5BD5" w:rsidRPr="00F26426" w:rsidRDefault="00CE5BD5" w:rsidP="00CE5BD5">
      <w:pPr>
        <w:pStyle w:val="Normal2"/>
        <w:rPr>
          <w:lang w:val="en-US"/>
        </w:rPr>
      </w:pPr>
      <w:r w:rsidRPr="00F26426">
        <w:rPr>
          <w:lang w:val="en-US"/>
        </w:rPr>
        <w:t xml:space="preserve">ISO 20022 acmt.001.001.06 / </w:t>
      </w:r>
      <w:hyperlink r:id="rId21" w:history="1">
        <w:r w:rsidRPr="00F26426">
          <w:rPr>
            <w:lang w:val="en-US"/>
          </w:rPr>
          <w:t>acmt.003.001.0</w:t>
        </w:r>
      </w:hyperlink>
      <w:r w:rsidRPr="00F26426">
        <w:rPr>
          <w:lang w:val="en-US"/>
        </w:rPr>
        <w:t xml:space="preserve">6 / acmt.002.001.06 are </w:t>
      </w:r>
      <w:proofErr w:type="spellStart"/>
      <w:r>
        <w:t>i</w:t>
      </w:r>
      <w:r w:rsidRPr="00F26426">
        <w:rPr>
          <w:lang w:val="en-US"/>
        </w:rPr>
        <w:t>mplemented</w:t>
      </w:r>
      <w:proofErr w:type="spellEnd"/>
      <w:r w:rsidRPr="00F26426">
        <w:rPr>
          <w:lang w:val="en-US"/>
        </w:rPr>
        <w:t xml:space="preserve">. </w:t>
      </w:r>
    </w:p>
    <w:p w:rsidR="00CE5BD5" w:rsidRPr="00F26426" w:rsidRDefault="00CE5BD5" w:rsidP="00CE5BD5">
      <w:pPr>
        <w:pStyle w:val="Normal2"/>
        <w:rPr>
          <w:lang w:val="en-US"/>
        </w:rPr>
      </w:pPr>
      <w:r>
        <w:t>In addition</w:t>
      </w:r>
      <w:r w:rsidRPr="00F26426">
        <w:rPr>
          <w:lang w:val="en-US"/>
        </w:rPr>
        <w:t xml:space="preserve"> acmt.006.001.05 </w:t>
      </w:r>
      <w:r>
        <w:t>is used when error in business logic.</w:t>
      </w:r>
    </w:p>
    <w:p w:rsidR="00CE5BD5" w:rsidRPr="00F26426" w:rsidRDefault="00CE5BD5" w:rsidP="00CE5BD5">
      <w:pPr>
        <w:pStyle w:val="Heading3"/>
        <w:rPr>
          <w:lang w:val="nb-NO"/>
        </w:rPr>
      </w:pPr>
      <w:r w:rsidRPr="00F26426">
        <w:rPr>
          <w:lang w:val="nb-NO"/>
        </w:rPr>
        <w:t>Statements</w:t>
      </w:r>
    </w:p>
    <w:p w:rsidR="00CE5BD5" w:rsidRDefault="00CE5BD5" w:rsidP="00CE5BD5">
      <w:pPr>
        <w:pStyle w:val="Normal2"/>
      </w:pPr>
      <w:r w:rsidRPr="00F26426">
        <w:rPr>
          <w:lang w:val="en-US"/>
        </w:rPr>
        <w:t xml:space="preserve">ISO 20022 </w:t>
      </w:r>
      <w:r>
        <w:t xml:space="preserve">for </w:t>
      </w:r>
      <w:r w:rsidRPr="00F26426">
        <w:rPr>
          <w:lang w:val="en-US"/>
        </w:rPr>
        <w:t>holding</w:t>
      </w:r>
      <w:r>
        <w:t>s</w:t>
      </w:r>
      <w:r w:rsidRPr="00F26426">
        <w:rPr>
          <w:lang w:val="en-US"/>
        </w:rPr>
        <w:t xml:space="preserve">, semt.002.001.02 </w:t>
      </w:r>
      <w:proofErr w:type="spellStart"/>
      <w:r w:rsidRPr="00F26426">
        <w:rPr>
          <w:lang w:val="en-US"/>
        </w:rPr>
        <w:t>i</w:t>
      </w:r>
      <w:proofErr w:type="spellEnd"/>
      <w:r>
        <w:t>s implemented for funds</w:t>
      </w:r>
    </w:p>
    <w:p w:rsidR="00CE5BD5" w:rsidRDefault="00CE5BD5" w:rsidP="00CE5BD5">
      <w:pPr>
        <w:pStyle w:val="Normal2"/>
      </w:pPr>
      <w:r>
        <w:t xml:space="preserve">ISO 20022 for transactions, </w:t>
      </w:r>
      <w:r w:rsidRPr="00E423BF">
        <w:t>semt.006.001.02</w:t>
      </w:r>
      <w:r>
        <w:t xml:space="preserve"> is implemented for funds</w:t>
      </w:r>
    </w:p>
    <w:p w:rsidR="00CE5BD5" w:rsidRPr="00F26426" w:rsidRDefault="00CE5BD5" w:rsidP="00CE5BD5">
      <w:pPr>
        <w:pStyle w:val="Normal2"/>
        <w:rPr>
          <w:lang w:val="en-US"/>
        </w:rPr>
      </w:pPr>
      <w:r>
        <w:t>In addition</w:t>
      </w:r>
      <w:r w:rsidRPr="00F26426">
        <w:rPr>
          <w:lang w:val="en-US"/>
        </w:rPr>
        <w:t xml:space="preserve"> semt.021.001.06 </w:t>
      </w:r>
      <w:r>
        <w:t>is used for requests of holdings or transactions.</w:t>
      </w:r>
    </w:p>
    <w:p w:rsidR="00CE5BD5" w:rsidRDefault="00CE5BD5" w:rsidP="00CE5BD5">
      <w:pPr>
        <w:pStyle w:val="Heading3"/>
      </w:pPr>
      <w:r>
        <w:t>Price Reporting</w:t>
      </w:r>
    </w:p>
    <w:p w:rsidR="00CE5BD5" w:rsidRDefault="00CE5BD5" w:rsidP="00CE5BD5">
      <w:pPr>
        <w:pStyle w:val="Normal2"/>
      </w:pPr>
      <w:r>
        <w:t xml:space="preserve">ISO 20022 </w:t>
      </w:r>
      <w:r w:rsidRPr="007A31A6">
        <w:t>reda.001.001.0</w:t>
      </w:r>
      <w:r>
        <w:t>4 implemented for both reporting from fund accountant and for broadcasting.</w:t>
      </w:r>
    </w:p>
    <w:p w:rsidR="00CE5BD5" w:rsidRPr="00EC7503" w:rsidRDefault="00CE5BD5" w:rsidP="00CE5BD5">
      <w:pPr>
        <w:pStyle w:val="Normal2"/>
      </w:pPr>
      <w:r>
        <w:t xml:space="preserve"> In addition is reda.002.001.04 used.</w:t>
      </w:r>
    </w:p>
    <w:p w:rsidR="00CE5BD5" w:rsidRDefault="00CE5BD5" w:rsidP="00CE5BD5">
      <w:pPr>
        <w:pStyle w:val="Heading3"/>
      </w:pPr>
      <w:r>
        <w:t>Transfers</w:t>
      </w:r>
    </w:p>
    <w:p w:rsidR="00CE5BD5" w:rsidRDefault="00CE5BD5" w:rsidP="00CE5BD5">
      <w:pPr>
        <w:pStyle w:val="Normal2"/>
      </w:pPr>
      <w:r>
        <w:t xml:space="preserve">ISO 20022 sese.001.001.07 single-leg transfers implemented on TA-level. </w:t>
      </w:r>
    </w:p>
    <w:p w:rsidR="00CE5BD5" w:rsidRPr="001141B6" w:rsidRDefault="00CE5BD5" w:rsidP="00CE5BD5">
      <w:pPr>
        <w:pStyle w:val="Normal2"/>
        <w:rPr>
          <w:lang w:val="en-US"/>
        </w:rPr>
      </w:pPr>
      <w:r w:rsidRPr="00977015">
        <w:rPr>
          <w:lang w:val="en-US"/>
        </w:rPr>
        <w:t xml:space="preserve"> </w:t>
      </w:r>
      <w:r>
        <w:t>In addition is</w:t>
      </w:r>
      <w:r w:rsidRPr="001141B6">
        <w:rPr>
          <w:lang w:val="en-US"/>
        </w:rPr>
        <w:t xml:space="preserve"> Sese.003.001.07</w:t>
      </w:r>
      <w:r>
        <w:t xml:space="preserve"> and</w:t>
      </w:r>
      <w:r>
        <w:rPr>
          <w:lang w:val="en-US"/>
        </w:rPr>
        <w:t xml:space="preserve"> sese.004.001.07</w:t>
      </w:r>
      <w:r>
        <w:t xml:space="preserve"> used.</w:t>
      </w:r>
    </w:p>
    <w:p w:rsidR="00CE5BD5" w:rsidRDefault="00CE5BD5" w:rsidP="00CE5BD5">
      <w:pPr>
        <w:pStyle w:val="Heading3"/>
      </w:pPr>
      <w:r>
        <w:t>Funds Cash Forecast</w:t>
      </w:r>
    </w:p>
    <w:p w:rsidR="00CE5BD5" w:rsidRDefault="00CE5BD5" w:rsidP="00CE5BD5">
      <w:pPr>
        <w:pStyle w:val="Normal2"/>
      </w:pPr>
      <w:r>
        <w:t xml:space="preserve">ISO 20022 </w:t>
      </w:r>
      <w:r w:rsidRPr="00493AE3">
        <w:t>FundDetailedConfirmedCashForecastReportV04</w:t>
      </w:r>
      <w:r>
        <w:t xml:space="preserve"> / Camt.043.001.04 is implemented for a few specific bilateral connections. </w:t>
      </w:r>
      <w:r w:rsidRPr="00E423BF">
        <w:t>VPS use</w:t>
      </w:r>
      <w:r>
        <w:t>s this</w:t>
      </w:r>
      <w:r w:rsidRPr="00E423BF">
        <w:t xml:space="preserve"> to report summary information from the settlement of all executed orders. This is </w:t>
      </w:r>
      <w:r>
        <w:t>also</w:t>
      </w:r>
      <w:r w:rsidRPr="00E423BF">
        <w:t xml:space="preserve"> referred to as </w:t>
      </w:r>
      <w:r>
        <w:t xml:space="preserve">an </w:t>
      </w:r>
      <w:r w:rsidRPr="00E423BF">
        <w:t>End of Day</w:t>
      </w:r>
      <w:r>
        <w:t xml:space="preserve"> report</w:t>
      </w:r>
      <w:r w:rsidRPr="00E423BF">
        <w:t>.</w:t>
      </w:r>
    </w:p>
    <w:p w:rsidR="00CE5BD5" w:rsidRPr="00EC7503" w:rsidRDefault="00CE5BD5" w:rsidP="00CE5BD5">
      <w:pPr>
        <w:pStyle w:val="Normal2"/>
      </w:pPr>
      <w:r>
        <w:t>In addition  camt.041.001.04, camt.042.001.04 are also used.</w:t>
      </w:r>
    </w:p>
    <w:p w:rsidR="00CE5BD5" w:rsidRDefault="00CE5BD5" w:rsidP="00CE5BD5">
      <w:pPr>
        <w:pStyle w:val="Heading3"/>
      </w:pPr>
      <w:r>
        <w:t>Hedge / Alternative Funds</w:t>
      </w:r>
    </w:p>
    <w:p w:rsidR="00CE5BD5" w:rsidRPr="00EC7503" w:rsidRDefault="00CE5BD5" w:rsidP="00CE5BD5">
      <w:r>
        <w:t>Implemented as ISO 20022 in line with ordinary Investment funds.</w:t>
      </w:r>
    </w:p>
    <w:p w:rsidR="00CE5BD5" w:rsidRDefault="00CE5BD5" w:rsidP="00CE5BD5">
      <w:pPr>
        <w:pStyle w:val="Heading2"/>
      </w:pPr>
      <w:r>
        <w:t>Next Steps / Future Market Practice</w:t>
      </w:r>
    </w:p>
    <w:p w:rsidR="00CE5BD5" w:rsidRDefault="00CE5BD5" w:rsidP="00CE5BD5">
      <w:r>
        <w:t>- SR2017, adaption of local market practice.</w:t>
      </w:r>
    </w:p>
    <w:p w:rsidR="00CE5BD5" w:rsidRDefault="00CE5BD5" w:rsidP="00CE5BD5">
      <w:r>
        <w:t>- VPS sees a wider implementation of account messages</w:t>
      </w:r>
    </w:p>
    <w:p w:rsidR="00CE5BD5" w:rsidRDefault="00CE5BD5" w:rsidP="00CE5BD5">
      <w:r>
        <w:lastRenderedPageBreak/>
        <w:t xml:space="preserve">- There is a wider use of </w:t>
      </w:r>
      <w:proofErr w:type="spellStart"/>
      <w:r>
        <w:t>PriceReport</w:t>
      </w:r>
      <w:proofErr w:type="spellEnd"/>
      <w:r>
        <w:t xml:space="preserve"> messages.</w:t>
      </w:r>
    </w:p>
    <w:p w:rsidR="00CE5BD5" w:rsidRDefault="00CE5BD5" w:rsidP="00CE5BD5">
      <w:r>
        <w:t>- Use of ISO 20022 account messages for saving plans is increasing.</w:t>
      </w:r>
    </w:p>
    <w:p w:rsidR="00CE5BD5" w:rsidRPr="008160C1" w:rsidRDefault="00CE5BD5" w:rsidP="00CE5BD5">
      <w:r>
        <w:t>- VPS plans to implement semt.017.001.07 as an offer of holding and transaction reporting from the CSD.</w:t>
      </w:r>
    </w:p>
    <w:p w:rsidR="00CE5BD5" w:rsidRDefault="00CE5BD5" w:rsidP="00CE5BD5">
      <w:pPr>
        <w:pStyle w:val="Heading2"/>
      </w:pPr>
      <w:r>
        <w:t>Maintenance of market Practice</w:t>
      </w:r>
    </w:p>
    <w:p w:rsidR="00CE5BD5" w:rsidRPr="00E423BF" w:rsidRDefault="00CE5BD5" w:rsidP="00CE5BD5">
      <w:r>
        <w:t>Market Practice has so far mainly been distributed between NMPG participants. Demand for external access to the documentation has been low. The goal for future maintenance is to update this on MyStandards, and update the general documentation on smpg.info.</w:t>
      </w:r>
    </w:p>
    <w:p w:rsidR="00CE5BD5" w:rsidRDefault="00CE5BD5" w:rsidP="00CE5BD5">
      <w:pPr>
        <w:pStyle w:val="Heading2"/>
      </w:pPr>
      <w:r>
        <w:t>National Group / Initiative</w:t>
      </w:r>
    </w:p>
    <w:p w:rsidR="00CE5BD5" w:rsidRPr="005966DD" w:rsidRDefault="00CE5BD5" w:rsidP="00CE5BD5">
      <w:pPr>
        <w:rPr>
          <w:lang w:val="en-US"/>
        </w:rPr>
      </w:pPr>
      <w:r>
        <w:t>Norwegian Government has launched a</w:t>
      </w:r>
      <w:r w:rsidRPr="005966DD">
        <w:rPr>
          <w:lang w:val="en-US"/>
        </w:rPr>
        <w:t xml:space="preserve"> </w:t>
      </w:r>
      <w:r>
        <w:t>"</w:t>
      </w:r>
      <w:r w:rsidRPr="005966DD">
        <w:rPr>
          <w:lang w:val="en-US"/>
        </w:rPr>
        <w:t>share savings account</w:t>
      </w:r>
      <w:r>
        <w:t>"</w:t>
      </w:r>
      <w:r w:rsidRPr="005966DD">
        <w:rPr>
          <w:lang w:val="en-US"/>
        </w:rPr>
        <w:t xml:space="preserve"> </w:t>
      </w:r>
      <w:r>
        <w:rPr>
          <w:lang w:val="en-US"/>
        </w:rPr>
        <w:t>in the National Budget for 2017</w:t>
      </w:r>
      <w:r>
        <w:t>. Where one of the goals is</w:t>
      </w:r>
      <w:r w:rsidRPr="005966DD">
        <w:rPr>
          <w:lang w:val="en-US"/>
        </w:rPr>
        <w:t xml:space="preserve"> to simplify the reallocation of shares and equity funds and increase the attractiveness of share investments, and in this respect contribute to a greater extent of share savings among private investors</w:t>
      </w:r>
      <w:r>
        <w:t xml:space="preserve">. </w:t>
      </w:r>
    </w:p>
    <w:p w:rsidR="00CE5BD5" w:rsidRDefault="00CE5BD5" w:rsidP="00CE5BD5">
      <w:r>
        <w:t>The new savings account comes with limitations regarding which securities that can be included and some tax benefits, and is only for private investors. Other specifics so far is:</w:t>
      </w:r>
    </w:p>
    <w:p w:rsidR="00CE5BD5" w:rsidRDefault="00CE5BD5" w:rsidP="00CE5BD5">
      <w:r>
        <w:t>- There is suggested a transition period within 2017 where you can move existing qualified investments to the new account structure without paying tax on sales profit.</w:t>
      </w:r>
    </w:p>
    <w:p w:rsidR="00CE5BD5" w:rsidRDefault="00CE5BD5" w:rsidP="00CE5BD5">
      <w:r>
        <w:t>- There is suggested it should be free movement of the account structure, including tax positions, between different institutions.</w:t>
      </w:r>
    </w:p>
    <w:p w:rsidR="00CE5BD5" w:rsidRDefault="00CE5BD5" w:rsidP="00CE5BD5">
      <w:r>
        <w:t>- You as an investor, can only keep one account structure per institution.</w:t>
      </w:r>
    </w:p>
    <w:p w:rsidR="00CE5BD5" w:rsidRDefault="00CE5BD5" w:rsidP="00CE5BD5">
      <w:r>
        <w:t>- The accounts have to be specifically marked (as ASK)</w:t>
      </w:r>
    </w:p>
    <w:p w:rsidR="00CE5BD5" w:rsidRDefault="00CE5BD5" w:rsidP="00CE5BD5">
      <w:r>
        <w:t>This initiative will have a small impact on account messages (new account type), and there will be a need for a new way of doing transfer of the whole account structure with securities holdings, cash and tax positions.</w:t>
      </w:r>
    </w:p>
    <w:p w:rsidR="00CE5BD5" w:rsidRPr="00FE49D4" w:rsidRDefault="00CE5BD5" w:rsidP="00CE5BD5">
      <w:r>
        <w:t xml:space="preserve">The NMPG IF has taken an initiative to discuss whether a market practice for the new transfers can be implemented as an ISO 20022 message, and how this can be done. </w:t>
      </w:r>
    </w:p>
    <w:p w:rsidR="00CE5BD5" w:rsidRDefault="00CE5BD5" w:rsidP="00CE5BD5">
      <w:pPr>
        <w:pStyle w:val="Heading2"/>
      </w:pPr>
      <w:r>
        <w:t>Migration ISO 15022 to 20022 Status</w:t>
      </w:r>
    </w:p>
    <w:p w:rsidR="00CE5BD5" w:rsidRPr="005566BF" w:rsidRDefault="00CE5BD5" w:rsidP="00CE5BD5">
      <w:r>
        <w:t>None. ISO 15022 messages are not implemented for funds, only ISO 20022.</w:t>
      </w:r>
    </w:p>
    <w:p w:rsidR="00CE5BD5" w:rsidRDefault="00CE5BD5" w:rsidP="00CE5BD5">
      <w:pPr>
        <w:pStyle w:val="Heading2"/>
      </w:pPr>
      <w:r>
        <w:t>Other Market Practice</w:t>
      </w:r>
    </w:p>
    <w:p w:rsidR="00CE5BD5" w:rsidRPr="00343B16" w:rsidRDefault="00CE5BD5" w:rsidP="00CE5BD5">
      <w:r>
        <w:t xml:space="preserve">VPS received and sent 350.000 - 400.000 reda.001.001.04 Price Report during 2016. Most of this traffic was outside of </w:t>
      </w:r>
      <w:proofErr w:type="spellStart"/>
      <w:r>
        <w:t>SwiftNet</w:t>
      </w:r>
      <w:proofErr w:type="spellEnd"/>
      <w:r>
        <w:t>.</w:t>
      </w:r>
    </w:p>
    <w:p w:rsidR="00CE5BD5" w:rsidRDefault="00CE5BD5" w:rsidP="00CE5BD5">
      <w:pPr>
        <w:pStyle w:val="Heading2"/>
      </w:pPr>
      <w:r>
        <w:t>Legislation Impacts / News</w:t>
      </w:r>
    </w:p>
    <w:p w:rsidR="00CE5BD5" w:rsidRPr="00343B16" w:rsidRDefault="00CE5BD5" w:rsidP="00CE5BD5">
      <w:r>
        <w:t>Yes, new "share savings account", possibly MiFID II.</w:t>
      </w:r>
    </w:p>
    <w:p w:rsidR="00CE5BD5" w:rsidRDefault="00CE5BD5" w:rsidP="00CE5BD5">
      <w:pPr>
        <w:pStyle w:val="Heading2"/>
      </w:pPr>
      <w:r>
        <w:t>Miscellaneous</w:t>
      </w:r>
    </w:p>
    <w:p w:rsidR="00CE5BD5" w:rsidRPr="00E423BF" w:rsidRDefault="00CE5BD5" w:rsidP="00CE5BD5">
      <w:r>
        <w:t>None</w:t>
      </w:r>
    </w:p>
    <w:p w:rsidR="00032543" w:rsidRDefault="00032543" w:rsidP="00032543">
      <w:pPr>
        <w:pStyle w:val="Copyrighttext"/>
      </w:pPr>
    </w:p>
    <w:p w:rsidR="00FB2A6E" w:rsidRDefault="00FB2A6E" w:rsidP="00FB2A6E">
      <w:pPr>
        <w:pStyle w:val="Heading1"/>
      </w:pPr>
      <w:bookmarkStart w:id="17" w:name="_Toc484589032"/>
      <w:r>
        <w:t xml:space="preserve">NMPG Country Update – XS </w:t>
      </w:r>
      <w:proofErr w:type="spellStart"/>
      <w:r>
        <w:t>Euroclear</w:t>
      </w:r>
      <w:bookmarkEnd w:id="17"/>
      <w:proofErr w:type="spellEnd"/>
    </w:p>
    <w:p w:rsidR="007705BA" w:rsidRDefault="007705BA" w:rsidP="007705BA">
      <w:pPr>
        <w:pStyle w:val="Heading2"/>
      </w:pPr>
      <w:r>
        <w:t>Current Market Practice Status</w:t>
      </w:r>
    </w:p>
    <w:p w:rsidR="007705BA" w:rsidRDefault="007705BA" w:rsidP="007705BA">
      <w:pPr>
        <w:pStyle w:val="Heading3"/>
      </w:pPr>
      <w:r>
        <w:t>Orders</w:t>
      </w:r>
    </w:p>
    <w:p w:rsidR="007705BA" w:rsidRDefault="007705BA" w:rsidP="007705BA">
      <w:pPr>
        <w:pStyle w:val="Normal2"/>
      </w:pPr>
      <w:r>
        <w:t xml:space="preserve">Implementation of Funds 5.0 currently ongoing. </w:t>
      </w:r>
      <w:r>
        <w:tab/>
      </w:r>
    </w:p>
    <w:p w:rsidR="007705BA" w:rsidRDefault="007705BA" w:rsidP="007705BA">
      <w:pPr>
        <w:pStyle w:val="Heading3"/>
      </w:pPr>
      <w:r>
        <w:t>Hedge / Alternative Funds</w:t>
      </w:r>
    </w:p>
    <w:p w:rsidR="007705BA" w:rsidRDefault="007705BA" w:rsidP="007705BA">
      <w:pPr>
        <w:pStyle w:val="Normal2"/>
      </w:pPr>
      <w:proofErr w:type="spellStart"/>
      <w:r>
        <w:t>Euroclear</w:t>
      </w:r>
      <w:proofErr w:type="spellEnd"/>
      <w:r>
        <w:t xml:space="preserve"> has contributed to the definition of the GAIA standards.</w:t>
      </w:r>
    </w:p>
    <w:p w:rsidR="007705BA" w:rsidRDefault="007705BA" w:rsidP="007705BA">
      <w:pPr>
        <w:pStyle w:val="Heading3"/>
      </w:pPr>
      <w:r>
        <w:t>Next Steps / Future Market Practice</w:t>
      </w:r>
    </w:p>
    <w:p w:rsidR="007705BA" w:rsidRDefault="007705BA" w:rsidP="007705BA">
      <w:r>
        <w:t>Implementation of new market practice outcome of Funds 5.0 is currently ongoing.</w:t>
      </w:r>
    </w:p>
    <w:p w:rsidR="007705BA" w:rsidRDefault="007705BA" w:rsidP="00223B67">
      <w:pPr>
        <w:pStyle w:val="Heading2"/>
      </w:pPr>
      <w:r>
        <w:t>Migration ISO 15022 to 20022 Status</w:t>
      </w:r>
    </w:p>
    <w:p w:rsidR="007705BA" w:rsidRDefault="007705BA" w:rsidP="007705BA">
      <w:proofErr w:type="spellStart"/>
      <w:r>
        <w:t>Euroclear</w:t>
      </w:r>
      <w:proofErr w:type="spellEnd"/>
      <w:r>
        <w:t xml:space="preserve"> has put on hold the migration in the frame of the implementation of Funds 5.0 release.</w:t>
      </w:r>
    </w:p>
    <w:p w:rsidR="00D45CE7" w:rsidRDefault="00D45CE7" w:rsidP="00223B67">
      <w:pPr>
        <w:pStyle w:val="Heading1"/>
      </w:pPr>
      <w:bookmarkStart w:id="18" w:name="_Toc484589033"/>
      <w:r>
        <w:t>Impact of MiFID</w:t>
      </w:r>
      <w:bookmarkEnd w:id="18"/>
      <w:r>
        <w:t xml:space="preserve"> </w:t>
      </w:r>
    </w:p>
    <w:p w:rsidR="00D45CE7" w:rsidRDefault="00D45CE7" w:rsidP="00D45CE7">
      <w:pPr>
        <w:pStyle w:val="Heading3"/>
      </w:pPr>
      <w:r>
        <w:t xml:space="preserve">Order Market Practice </w:t>
      </w:r>
    </w:p>
    <w:p w:rsidR="00D45CE7" w:rsidRDefault="00D45CE7" w:rsidP="00D45CE7">
      <w:r>
        <w:t>The power-point “</w:t>
      </w:r>
      <w:r w:rsidRPr="00AB7C7E">
        <w:t>SMPG-</w:t>
      </w:r>
      <w:proofErr w:type="spellStart"/>
      <w:r w:rsidRPr="00AB7C7E">
        <w:t>IFWG_ResearchFee</w:t>
      </w:r>
      <w:proofErr w:type="spellEnd"/>
      <w:r w:rsidRPr="00AB7C7E">
        <w:t xml:space="preserve"> and other MiFID.pptx</w:t>
      </w:r>
      <w:r>
        <w:t>” was used</w:t>
      </w:r>
      <w:r w:rsidRPr="00AC0EDF">
        <w:t xml:space="preserve"> </w:t>
      </w:r>
      <w:r>
        <w:t>to facili</w:t>
      </w:r>
      <w:r w:rsidR="00C95CE6">
        <w:t>t</w:t>
      </w:r>
      <w:r>
        <w:t>ate discussions.</w:t>
      </w:r>
    </w:p>
    <w:p w:rsidR="00D45CE7" w:rsidRDefault="00D45CE7" w:rsidP="00D45CE7">
      <w:r w:rsidRPr="00AB7C7E">
        <w:rPr>
          <w:b/>
        </w:rPr>
        <w:t>Conclusion</w:t>
      </w:r>
      <w:r>
        <w:rPr>
          <w:b/>
        </w:rPr>
        <w:t>s</w:t>
      </w:r>
      <w:r w:rsidRPr="00AB7C7E">
        <w:rPr>
          <w:b/>
        </w:rPr>
        <w:t>:</w:t>
      </w:r>
      <w:r>
        <w:t xml:space="preserve">  It is not appropriate to specify ‘research fee’ on an order confirmation message. This is the kind of </w:t>
      </w:r>
      <w:r w:rsidR="00C95CE6">
        <w:t>information</w:t>
      </w:r>
      <w:r>
        <w:t xml:space="preserve"> that is reported semi-annually or </w:t>
      </w:r>
      <w:r w:rsidR="00C95CE6">
        <w:t>annually</w:t>
      </w:r>
      <w:r>
        <w:t xml:space="preserve"> on a report sent to the investor. This is al</w:t>
      </w:r>
      <w:r w:rsidR="000345E8">
        <w:t>ready being</w:t>
      </w:r>
      <w:r>
        <w:t xml:space="preserve"> done in this way to</w:t>
      </w:r>
      <w:r w:rsidR="000345E8">
        <w:t>d</w:t>
      </w:r>
      <w:r>
        <w:t>ay.</w:t>
      </w:r>
    </w:p>
    <w:p w:rsidR="00D45CE7" w:rsidRDefault="00D45CE7" w:rsidP="00D45CE7">
      <w:pPr>
        <w:pStyle w:val="Heading3"/>
      </w:pPr>
      <w:r>
        <w:t>Price Report Market Practice – impact of MiFID</w:t>
      </w:r>
    </w:p>
    <w:p w:rsidR="00D45CE7" w:rsidRDefault="00D45CE7" w:rsidP="00D45CE7">
      <w:r>
        <w:t>The following power-point “</w:t>
      </w:r>
      <w:r w:rsidRPr="00AB7C7E">
        <w:t>SMPG-</w:t>
      </w:r>
      <w:proofErr w:type="spellStart"/>
      <w:r w:rsidRPr="00AB7C7E">
        <w:t>IFWG_ResearchFee</w:t>
      </w:r>
      <w:proofErr w:type="spellEnd"/>
      <w:r w:rsidRPr="00AB7C7E">
        <w:t xml:space="preserve"> and other MiFID.pptx</w:t>
      </w:r>
      <w:r>
        <w:t xml:space="preserve">” was used to </w:t>
      </w:r>
      <w:r w:rsidR="002C58F7">
        <w:t>facilitate</w:t>
      </w:r>
      <w:r>
        <w:t xml:space="preserve"> discussions. The spreadsheet “</w:t>
      </w:r>
      <w:r w:rsidRPr="00AC0EDF">
        <w:t>MiFID II_ OICR_SMPG AM_2.xlsx</w:t>
      </w:r>
      <w:r>
        <w:t>”, worksheet “</w:t>
      </w:r>
      <w:r w:rsidRPr="00AB7C7E">
        <w:t>Schema draft</w:t>
      </w:r>
      <w:r>
        <w:t>” was referenced.</w:t>
      </w:r>
    </w:p>
    <w:p w:rsidR="000345E8" w:rsidRDefault="00D45CE7" w:rsidP="00D45CE7">
      <w:r w:rsidRPr="00AB7C7E">
        <w:rPr>
          <w:b/>
        </w:rPr>
        <w:t>Conclusions:</w:t>
      </w:r>
      <w:r>
        <w:rPr>
          <w:b/>
        </w:rPr>
        <w:t xml:space="preserve"> </w:t>
      </w:r>
      <w:r>
        <w:t xml:space="preserve">it was agreed that this information, </w:t>
      </w:r>
      <w:r w:rsidR="00C95CE6">
        <w:t>whilst</w:t>
      </w:r>
      <w:r>
        <w:t xml:space="preserve"> looking like a good ‘fit’ for the price report message, the data should not be specified </w:t>
      </w:r>
      <w:r w:rsidR="000345E8">
        <w:t>in the Price Report, not without changing the scope of the message. It seems that the Funds Processing Passport (FPP) could be a good fit, however, the message is not used in the funds industry and the message would need changes (there are many mandatory fields</w:t>
      </w:r>
      <w:r w:rsidR="00405438">
        <w:t xml:space="preserve"> that would have to become optional</w:t>
      </w:r>
      <w:r w:rsidR="000345E8">
        <w:t>).</w:t>
      </w:r>
    </w:p>
    <w:p w:rsidR="000345E8" w:rsidRPr="000703DE" w:rsidRDefault="000345E8" w:rsidP="00D45CE7">
      <w:pPr>
        <w:rPr>
          <w:i/>
        </w:rPr>
      </w:pPr>
      <w:r w:rsidRPr="000703DE">
        <w:rPr>
          <w:i/>
        </w:rPr>
        <w:t>There is a need to report ‘something’</w:t>
      </w:r>
      <w:r w:rsidR="00405438" w:rsidRPr="000703DE">
        <w:rPr>
          <w:i/>
        </w:rPr>
        <w:t xml:space="preserve"> </w:t>
      </w:r>
      <w:r w:rsidRPr="000703DE">
        <w:rPr>
          <w:i/>
        </w:rPr>
        <w:t>(Italy expect</w:t>
      </w:r>
      <w:r w:rsidR="00C61528" w:rsidRPr="000703DE">
        <w:rPr>
          <w:i/>
        </w:rPr>
        <w:t>s</w:t>
      </w:r>
      <w:r w:rsidRPr="000703DE">
        <w:rPr>
          <w:i/>
        </w:rPr>
        <w:t xml:space="preserve"> this data to be reported </w:t>
      </w:r>
      <w:r w:rsidR="00405438" w:rsidRPr="000703DE">
        <w:rPr>
          <w:i/>
        </w:rPr>
        <w:t xml:space="preserve">by </w:t>
      </w:r>
      <w:r w:rsidRPr="000703DE">
        <w:rPr>
          <w:i/>
        </w:rPr>
        <w:t xml:space="preserve">its Luxembourg </w:t>
      </w:r>
      <w:r w:rsidR="00C95CE6" w:rsidRPr="000703DE">
        <w:rPr>
          <w:i/>
        </w:rPr>
        <w:t>counterparts</w:t>
      </w:r>
      <w:r w:rsidRPr="000703DE">
        <w:rPr>
          <w:i/>
        </w:rPr>
        <w:t>)</w:t>
      </w:r>
      <w:r w:rsidR="000703DE">
        <w:rPr>
          <w:i/>
        </w:rPr>
        <w:t>.</w:t>
      </w:r>
    </w:p>
    <w:p w:rsidR="00D45CE7" w:rsidRDefault="00D45CE7" w:rsidP="00D45CE7">
      <w:pPr>
        <w:pStyle w:val="Heading1"/>
      </w:pPr>
      <w:bookmarkStart w:id="19" w:name="_Toc484589034"/>
      <w:r>
        <w:lastRenderedPageBreak/>
        <w:t>Order Market Practice</w:t>
      </w:r>
      <w:bookmarkEnd w:id="19"/>
      <w:r>
        <w:t xml:space="preserve"> </w:t>
      </w:r>
    </w:p>
    <w:p w:rsidR="00EB772A" w:rsidRDefault="00C61528" w:rsidP="00D45CE7">
      <w:pPr>
        <w:pStyle w:val="Heading2"/>
      </w:pPr>
      <w:r>
        <w:t>E</w:t>
      </w:r>
      <w:r w:rsidR="00585060">
        <w:t xml:space="preserve">lements for </w:t>
      </w:r>
      <w:r w:rsidR="00C95CE6">
        <w:t>anti-money</w:t>
      </w:r>
      <w:r w:rsidR="00585060">
        <w:t xml:space="preserve"> laundering.</w:t>
      </w:r>
    </w:p>
    <w:p w:rsidR="00585060" w:rsidRDefault="00585060" w:rsidP="00585060">
      <w:r>
        <w:t>A number of elements were added to the order messages as part of the maintenance cycle 2016- 2017.</w:t>
      </w:r>
    </w:p>
    <w:p w:rsidR="00AB7C7E" w:rsidRDefault="00AB7C7E" w:rsidP="00585060">
      <w:r>
        <w:t>These are:</w:t>
      </w:r>
    </w:p>
    <w:tbl>
      <w:tblPr>
        <w:tblStyle w:val="TableGrid"/>
        <w:tblW w:w="0" w:type="auto"/>
        <w:tblInd w:w="0" w:type="dxa"/>
        <w:tblLook w:val="04A0" w:firstRow="1" w:lastRow="0" w:firstColumn="1" w:lastColumn="0" w:noHBand="0" w:noVBand="1"/>
      </w:tblPr>
      <w:tblGrid>
        <w:gridCol w:w="554"/>
        <w:gridCol w:w="2707"/>
        <w:gridCol w:w="1887"/>
        <w:gridCol w:w="4369"/>
      </w:tblGrid>
      <w:tr w:rsidR="00AB7C7E" w:rsidTr="00465FA6">
        <w:tc>
          <w:tcPr>
            <w:tcW w:w="554"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[1]</w:t>
            </w:r>
          </w:p>
        </w:tc>
        <w:tc>
          <w:tcPr>
            <w:tcW w:w="270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rPr>
                <w:rFonts w:ascii="Calibri" w:hAnsi="Calibri" w:cs="Calibri"/>
                <w:bCs/>
                <w:lang w:val="en-US" w:eastAsia="en-US"/>
              </w:rPr>
            </w:pPr>
            <w:r>
              <w:rPr>
                <w:rFonts w:ascii="Calibri" w:hAnsi="Calibri" w:cs="Calibri"/>
                <w:bCs/>
              </w:rPr>
              <w:t>Source of Cash</w:t>
            </w:r>
          </w:p>
        </w:tc>
        <w:tc>
          <w:tcPr>
            <w:tcW w:w="188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Code| Proprietary</w:t>
            </w:r>
          </w:p>
        </w:tc>
        <w:tc>
          <w:tcPr>
            <w:tcW w:w="4369"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48"/>
              <w:rPr>
                <w:rFonts w:ascii="Calibri" w:hAnsi="Calibri" w:cs="Calibri"/>
                <w:bCs/>
                <w:lang w:val="en-US" w:eastAsia="en-US"/>
              </w:rPr>
            </w:pPr>
            <w:r>
              <w:rPr>
                <w:rFonts w:ascii="Calibri" w:hAnsi="Calibri" w:cs="Calibri"/>
                <w:bCs/>
              </w:rPr>
              <w:t>Source of cash used for the settlement of the subscription.</w:t>
            </w:r>
          </w:p>
        </w:tc>
      </w:tr>
      <w:tr w:rsidR="00AB7C7E" w:rsidTr="00465FA6">
        <w:tc>
          <w:tcPr>
            <w:tcW w:w="554"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[2]</w:t>
            </w:r>
          </w:p>
        </w:tc>
        <w:tc>
          <w:tcPr>
            <w:tcW w:w="270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rPr>
                <w:rFonts w:ascii="Calibri" w:hAnsi="Calibri" w:cs="Calibri"/>
                <w:bCs/>
                <w:lang w:eastAsia="en-US"/>
              </w:rPr>
            </w:pPr>
            <w:r>
              <w:rPr>
                <w:rFonts w:ascii="Calibri" w:hAnsi="Calibri" w:cs="Calibri"/>
                <w:bCs/>
              </w:rPr>
              <w:t>Customer Conduct Classification</w:t>
            </w:r>
          </w:p>
        </w:tc>
        <w:tc>
          <w:tcPr>
            <w:tcW w:w="188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Code| Proprietary</w:t>
            </w:r>
          </w:p>
        </w:tc>
        <w:tc>
          <w:tcPr>
            <w:tcW w:w="4369"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48"/>
              <w:rPr>
                <w:rFonts w:ascii="Calibri" w:hAnsi="Calibri" w:cs="Calibri"/>
                <w:bCs/>
                <w:lang w:val="en-US" w:eastAsia="en-US"/>
              </w:rPr>
            </w:pPr>
            <w:r>
              <w:rPr>
                <w:rFonts w:ascii="Calibri" w:hAnsi="Calibri" w:cs="Calibri"/>
                <w:bCs/>
              </w:rPr>
              <w:t>Assessment of the customer’s behaviour at the time of the account opening application.</w:t>
            </w:r>
          </w:p>
        </w:tc>
      </w:tr>
      <w:tr w:rsidR="00AB7C7E" w:rsidTr="00465FA6">
        <w:tc>
          <w:tcPr>
            <w:tcW w:w="554"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[3]</w:t>
            </w:r>
          </w:p>
        </w:tc>
        <w:tc>
          <w:tcPr>
            <w:tcW w:w="270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rPr>
                <w:rFonts w:ascii="Calibri" w:hAnsi="Calibri" w:cs="Calibri"/>
                <w:bCs/>
                <w:lang w:eastAsia="en-US"/>
              </w:rPr>
            </w:pPr>
            <w:r>
              <w:rPr>
                <w:rFonts w:ascii="Calibri" w:hAnsi="Calibri" w:cs="Calibri"/>
                <w:bCs/>
              </w:rPr>
              <w:t>Transaction Channel Type</w:t>
            </w:r>
          </w:p>
        </w:tc>
        <w:tc>
          <w:tcPr>
            <w:tcW w:w="1887"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0"/>
              <w:jc w:val="both"/>
              <w:rPr>
                <w:rFonts w:ascii="Calibri" w:hAnsi="Calibri" w:cs="Calibri"/>
                <w:bCs/>
                <w:lang w:val="en-US" w:eastAsia="en-US"/>
              </w:rPr>
            </w:pPr>
            <w:r>
              <w:rPr>
                <w:rFonts w:ascii="Calibri" w:hAnsi="Calibri" w:cs="Calibri"/>
                <w:bCs/>
              </w:rPr>
              <w:t>Code| Proprietary</w:t>
            </w:r>
          </w:p>
        </w:tc>
        <w:tc>
          <w:tcPr>
            <w:tcW w:w="4369" w:type="dxa"/>
            <w:tcBorders>
              <w:top w:val="single" w:sz="4" w:space="0" w:color="auto"/>
              <w:left w:val="single" w:sz="4" w:space="0" w:color="auto"/>
              <w:bottom w:val="single" w:sz="4" w:space="0" w:color="auto"/>
              <w:right w:val="single" w:sz="4" w:space="0" w:color="auto"/>
            </w:tcBorders>
            <w:hideMark/>
          </w:tcPr>
          <w:p w:rsidR="00AB7C7E" w:rsidRDefault="00AB7C7E" w:rsidP="00AB7C7E">
            <w:pPr>
              <w:spacing w:before="40" w:after="40"/>
              <w:ind w:left="48"/>
              <w:rPr>
                <w:rFonts w:ascii="Calibri" w:hAnsi="Calibri" w:cs="Calibri"/>
                <w:bCs/>
                <w:lang w:val="en-US" w:eastAsia="en-US"/>
              </w:rPr>
            </w:pPr>
            <w:r>
              <w:rPr>
                <w:rFonts w:ascii="Calibri" w:hAnsi="Calibri" w:cs="Calibri"/>
                <w:bCs/>
              </w:rPr>
              <w:t>Means by which the investor or account owner submits the open account form.</w:t>
            </w:r>
          </w:p>
        </w:tc>
      </w:tr>
    </w:tbl>
    <w:p w:rsidR="002C58F7" w:rsidRDefault="00AB7C7E" w:rsidP="00585060">
      <w:r>
        <w:t>It was agreed that these elements are not part of the global market practice and are set to ‘do not use’</w:t>
      </w:r>
      <w:r w:rsidR="00D45CE7">
        <w:t xml:space="preserve">. </w:t>
      </w:r>
    </w:p>
    <w:p w:rsidR="00AB7C7E" w:rsidRPr="002C58F7" w:rsidRDefault="002C58F7" w:rsidP="00585060">
      <w:r>
        <w:rPr>
          <w:b/>
        </w:rPr>
        <w:t xml:space="preserve">STATUS: </w:t>
      </w:r>
      <w:r>
        <w:t>Done.</w:t>
      </w:r>
    </w:p>
    <w:p w:rsidR="003248CE" w:rsidRDefault="00F66A35" w:rsidP="00F66A35">
      <w:pPr>
        <w:pStyle w:val="Heading2"/>
      </w:pPr>
      <w:r>
        <w:t>‘P</w:t>
      </w:r>
      <w:r w:rsidR="00AB7C7E">
        <w:t>rocess</w:t>
      </w:r>
      <w:r w:rsidR="00757328">
        <w:t>’</w:t>
      </w:r>
      <w:r w:rsidR="00AB7C7E">
        <w:t xml:space="preserve"> document</w:t>
      </w:r>
    </w:p>
    <w:p w:rsidR="00C9764D" w:rsidRDefault="0089060F" w:rsidP="000E66A0">
      <w:pPr>
        <w:ind w:left="1080" w:hanging="360"/>
      </w:pPr>
      <w:r>
        <w:t xml:space="preserve">This was looked at by the group, focusing on what had changed since the previous version. </w:t>
      </w:r>
    </w:p>
    <w:p w:rsidR="00AD3FF5" w:rsidRDefault="00C9764D" w:rsidP="000E66A0">
      <w:pPr>
        <w:ind w:left="1080" w:hanging="360"/>
      </w:pPr>
      <w:r>
        <w:t>[1</w:t>
      </w:r>
      <w:r w:rsidR="000E66A0">
        <w:t>]</w:t>
      </w:r>
      <w:r w:rsidR="000E66A0">
        <w:tab/>
        <w:t>The scope section is t</w:t>
      </w:r>
      <w:r>
        <w:t>o indicate that the market</w:t>
      </w:r>
      <w:r w:rsidR="00AD3FF5">
        <w:t xml:space="preserve"> practice in the process document</w:t>
      </w:r>
      <w:r w:rsidR="000E66A0">
        <w:t xml:space="preserve"> is sp</w:t>
      </w:r>
      <w:r w:rsidR="00AD3FF5">
        <w:t>ecific to ‘classic’ funds usage. A</w:t>
      </w:r>
      <w:r w:rsidR="000E66A0">
        <w:t>nd</w:t>
      </w:r>
      <w:r w:rsidR="00AD3FF5" w:rsidRPr="00AD3FF5">
        <w:t xml:space="preserve"> </w:t>
      </w:r>
      <w:r w:rsidR="00AD3FF5">
        <w:t>that market practice and usage guidelines for a</w:t>
      </w:r>
      <w:r w:rsidR="00AD3FF5" w:rsidRPr="00364DED">
        <w:t xml:space="preserve">lternative investment/hedge fund </w:t>
      </w:r>
      <w:r w:rsidR="00AD3FF5">
        <w:t>(AIF) will also be published on MyStandards, etc.</w:t>
      </w:r>
    </w:p>
    <w:p w:rsidR="00C9764D" w:rsidRDefault="00AD3FF5" w:rsidP="000E66A0">
      <w:pPr>
        <w:ind w:left="1080" w:hanging="360"/>
      </w:pPr>
      <w:r>
        <w:t>[2]</w:t>
      </w:r>
      <w:r>
        <w:tab/>
      </w:r>
      <w:r w:rsidR="00C9764D">
        <w:t xml:space="preserve">It was agreed that when </w:t>
      </w:r>
      <w:r w:rsidR="00C95CE6">
        <w:t>differentiating</w:t>
      </w:r>
      <w:r w:rsidR="00C9764D">
        <w:t xml:space="preserve"> between the ‘classic’ or ‘normal’ funds and the hedge/alternative funds, the following </w:t>
      </w:r>
      <w:r w:rsidR="00C95CE6">
        <w:t>terminology</w:t>
      </w:r>
      <w:r w:rsidR="00C9764D">
        <w:t xml:space="preserve"> is to be used</w:t>
      </w:r>
      <w:r w:rsidR="00DC7E17">
        <w:t>:</w:t>
      </w:r>
    </w:p>
    <w:tbl>
      <w:tblPr>
        <w:tblStyle w:val="TableGrid"/>
        <w:tblW w:w="0" w:type="auto"/>
        <w:tblInd w:w="1080" w:type="dxa"/>
        <w:tblLook w:val="04A0" w:firstRow="1" w:lastRow="0" w:firstColumn="1" w:lastColumn="0" w:noHBand="0" w:noVBand="1"/>
      </w:tblPr>
      <w:tblGrid>
        <w:gridCol w:w="648"/>
        <w:gridCol w:w="2880"/>
        <w:gridCol w:w="1440"/>
        <w:gridCol w:w="3469"/>
      </w:tblGrid>
      <w:tr w:rsidR="00C9764D" w:rsidTr="00C9764D">
        <w:tc>
          <w:tcPr>
            <w:tcW w:w="648" w:type="dxa"/>
          </w:tcPr>
          <w:p w:rsidR="00C9764D" w:rsidRPr="00183A35" w:rsidRDefault="00C9764D" w:rsidP="00183A35">
            <w:pPr>
              <w:spacing w:before="20" w:after="20"/>
              <w:ind w:left="0"/>
              <w:rPr>
                <w:sz w:val="20"/>
                <w:szCs w:val="20"/>
              </w:rPr>
            </w:pPr>
          </w:p>
        </w:tc>
        <w:tc>
          <w:tcPr>
            <w:tcW w:w="2880" w:type="dxa"/>
          </w:tcPr>
          <w:p w:rsidR="00C9764D" w:rsidRPr="00183A35" w:rsidRDefault="00C9764D" w:rsidP="00183A35">
            <w:pPr>
              <w:spacing w:before="20" w:after="20"/>
              <w:ind w:left="0"/>
              <w:rPr>
                <w:sz w:val="20"/>
                <w:szCs w:val="20"/>
              </w:rPr>
            </w:pPr>
            <w:r w:rsidRPr="00183A35">
              <w:rPr>
                <w:sz w:val="20"/>
                <w:szCs w:val="20"/>
              </w:rPr>
              <w:t>Term in full</w:t>
            </w:r>
          </w:p>
        </w:tc>
        <w:tc>
          <w:tcPr>
            <w:tcW w:w="1440" w:type="dxa"/>
          </w:tcPr>
          <w:p w:rsidR="00C9764D" w:rsidRPr="00183A35" w:rsidRDefault="00C9764D" w:rsidP="00183A35">
            <w:pPr>
              <w:spacing w:before="20" w:after="20"/>
              <w:ind w:left="0"/>
              <w:rPr>
                <w:sz w:val="20"/>
                <w:szCs w:val="20"/>
              </w:rPr>
            </w:pPr>
            <w:r w:rsidRPr="00183A35">
              <w:rPr>
                <w:sz w:val="20"/>
                <w:szCs w:val="20"/>
              </w:rPr>
              <w:t>Abbreviation</w:t>
            </w:r>
          </w:p>
        </w:tc>
        <w:tc>
          <w:tcPr>
            <w:tcW w:w="3469" w:type="dxa"/>
          </w:tcPr>
          <w:p w:rsidR="00C9764D" w:rsidRPr="00183A35" w:rsidRDefault="00C9764D" w:rsidP="00183A35">
            <w:pPr>
              <w:spacing w:before="20" w:after="20"/>
              <w:ind w:left="0"/>
              <w:rPr>
                <w:sz w:val="20"/>
                <w:szCs w:val="20"/>
              </w:rPr>
            </w:pPr>
            <w:r w:rsidRPr="00183A35">
              <w:rPr>
                <w:sz w:val="20"/>
                <w:szCs w:val="20"/>
              </w:rPr>
              <w:t>Comment</w:t>
            </w:r>
          </w:p>
        </w:tc>
      </w:tr>
      <w:tr w:rsidR="00183A35" w:rsidTr="00C9764D">
        <w:tc>
          <w:tcPr>
            <w:tcW w:w="648" w:type="dxa"/>
          </w:tcPr>
          <w:p w:rsidR="00183A35" w:rsidRPr="00183A35" w:rsidRDefault="00183A35" w:rsidP="00183A35">
            <w:pPr>
              <w:spacing w:before="20" w:after="20"/>
              <w:ind w:left="0"/>
              <w:rPr>
                <w:sz w:val="20"/>
                <w:szCs w:val="20"/>
              </w:rPr>
            </w:pPr>
            <w:r w:rsidRPr="00183A35">
              <w:rPr>
                <w:sz w:val="20"/>
                <w:szCs w:val="20"/>
              </w:rPr>
              <w:t>1</w:t>
            </w:r>
          </w:p>
        </w:tc>
        <w:tc>
          <w:tcPr>
            <w:tcW w:w="2880" w:type="dxa"/>
          </w:tcPr>
          <w:p w:rsidR="00183A35" w:rsidRPr="00183A35" w:rsidRDefault="00183A35" w:rsidP="00183A35">
            <w:pPr>
              <w:pStyle w:val="TableText"/>
              <w:spacing w:before="20" w:after="20"/>
              <w:rPr>
                <w:sz w:val="20"/>
                <w:szCs w:val="20"/>
              </w:rPr>
            </w:pPr>
            <w:r w:rsidRPr="00183A35">
              <w:rPr>
                <w:sz w:val="20"/>
                <w:szCs w:val="20"/>
              </w:rPr>
              <w:t>Investment fund</w:t>
            </w:r>
          </w:p>
        </w:tc>
        <w:tc>
          <w:tcPr>
            <w:tcW w:w="1440" w:type="dxa"/>
          </w:tcPr>
          <w:p w:rsidR="00183A35" w:rsidRPr="00183A35" w:rsidRDefault="00183A35" w:rsidP="00183A35">
            <w:pPr>
              <w:spacing w:before="20" w:after="20"/>
              <w:ind w:left="0"/>
              <w:rPr>
                <w:sz w:val="20"/>
                <w:szCs w:val="20"/>
              </w:rPr>
            </w:pPr>
            <w:r w:rsidRPr="00183A35">
              <w:rPr>
                <w:sz w:val="20"/>
                <w:szCs w:val="20"/>
              </w:rPr>
              <w:t>IF</w:t>
            </w:r>
          </w:p>
        </w:tc>
        <w:tc>
          <w:tcPr>
            <w:tcW w:w="3469" w:type="dxa"/>
          </w:tcPr>
          <w:p w:rsidR="00183A35" w:rsidRPr="00183A35" w:rsidRDefault="00183A35" w:rsidP="00183A35">
            <w:pPr>
              <w:spacing w:before="20" w:after="20"/>
              <w:ind w:left="0"/>
              <w:rPr>
                <w:sz w:val="20"/>
                <w:szCs w:val="20"/>
              </w:rPr>
            </w:pPr>
            <w:r w:rsidRPr="00183A35">
              <w:rPr>
                <w:sz w:val="20"/>
                <w:szCs w:val="20"/>
              </w:rPr>
              <w:t xml:space="preserve">Mutual, classic, normal funds </w:t>
            </w:r>
          </w:p>
        </w:tc>
      </w:tr>
      <w:tr w:rsidR="00183A35" w:rsidTr="00C9764D">
        <w:tc>
          <w:tcPr>
            <w:tcW w:w="648" w:type="dxa"/>
          </w:tcPr>
          <w:p w:rsidR="00183A35" w:rsidRPr="00183A35" w:rsidRDefault="00183A35" w:rsidP="00183A35">
            <w:pPr>
              <w:spacing w:before="20" w:after="20"/>
              <w:ind w:left="0"/>
              <w:rPr>
                <w:sz w:val="20"/>
                <w:szCs w:val="20"/>
              </w:rPr>
            </w:pPr>
            <w:r w:rsidRPr="00183A35">
              <w:rPr>
                <w:sz w:val="20"/>
                <w:szCs w:val="20"/>
              </w:rPr>
              <w:t>2</w:t>
            </w:r>
          </w:p>
        </w:tc>
        <w:tc>
          <w:tcPr>
            <w:tcW w:w="2880" w:type="dxa"/>
          </w:tcPr>
          <w:p w:rsidR="00183A35" w:rsidRPr="00183A35" w:rsidRDefault="00183A35" w:rsidP="00183A35">
            <w:pPr>
              <w:pStyle w:val="TableText"/>
              <w:spacing w:before="20" w:after="20"/>
              <w:rPr>
                <w:sz w:val="20"/>
                <w:szCs w:val="20"/>
              </w:rPr>
            </w:pPr>
            <w:r w:rsidRPr="00183A35">
              <w:rPr>
                <w:sz w:val="20"/>
                <w:szCs w:val="20"/>
              </w:rPr>
              <w:t>Alternative investment/hedge fund</w:t>
            </w:r>
          </w:p>
        </w:tc>
        <w:tc>
          <w:tcPr>
            <w:tcW w:w="1440" w:type="dxa"/>
          </w:tcPr>
          <w:p w:rsidR="00183A35" w:rsidRPr="00183A35" w:rsidRDefault="00183A35" w:rsidP="00183A35">
            <w:pPr>
              <w:spacing w:before="20" w:after="20"/>
              <w:ind w:left="0"/>
              <w:rPr>
                <w:sz w:val="20"/>
                <w:szCs w:val="20"/>
              </w:rPr>
            </w:pPr>
            <w:r w:rsidRPr="00183A35">
              <w:rPr>
                <w:sz w:val="20"/>
                <w:szCs w:val="20"/>
              </w:rPr>
              <w:t>AIF</w:t>
            </w:r>
          </w:p>
        </w:tc>
        <w:tc>
          <w:tcPr>
            <w:tcW w:w="3469" w:type="dxa"/>
          </w:tcPr>
          <w:p w:rsidR="00183A35" w:rsidRPr="00183A35" w:rsidRDefault="00183A35" w:rsidP="00183A35">
            <w:pPr>
              <w:spacing w:before="20" w:after="20"/>
              <w:ind w:left="0"/>
              <w:rPr>
                <w:sz w:val="20"/>
                <w:szCs w:val="20"/>
              </w:rPr>
            </w:pPr>
            <w:r w:rsidRPr="00183A35">
              <w:rPr>
                <w:sz w:val="20"/>
                <w:szCs w:val="20"/>
              </w:rPr>
              <w:t>Alternative, hedge, non-unitized</w:t>
            </w:r>
          </w:p>
        </w:tc>
      </w:tr>
    </w:tbl>
    <w:p w:rsidR="00C9764D" w:rsidRDefault="00C9764D" w:rsidP="00C9764D">
      <w:pPr>
        <w:ind w:left="1080" w:hanging="360"/>
      </w:pPr>
      <w:r>
        <w:t>[</w:t>
      </w:r>
      <w:r w:rsidR="00AD3FF5">
        <w:t>3</w:t>
      </w:r>
      <w:r w:rsidR="000E66A0">
        <w:t>]</w:t>
      </w:r>
      <w:r w:rsidR="000E66A0">
        <w:tab/>
      </w:r>
      <w:r>
        <w:t>In the p</w:t>
      </w:r>
      <w:r w:rsidR="000E66A0">
        <w:t>roc</w:t>
      </w:r>
      <w:r>
        <w:t xml:space="preserve">ess document, collection and usage guidelines descriptions: </w:t>
      </w:r>
      <w:r w:rsidR="000E66A0">
        <w:t xml:space="preserve">add in text to explain </w:t>
      </w:r>
      <w:r>
        <w:t>what</w:t>
      </w:r>
    </w:p>
    <w:p w:rsidR="00C9764D" w:rsidRDefault="00C9764D" w:rsidP="00C9764D">
      <w:pPr>
        <w:ind w:left="1080"/>
      </w:pPr>
      <w:r>
        <w:t xml:space="preserve"> </w:t>
      </w:r>
      <w:r>
        <w:rPr>
          <w:noProof/>
          <w:lang w:eastAsia="en-GB"/>
        </w:rPr>
        <w:drawing>
          <wp:inline distT="0" distB="0" distL="0" distR="0" wp14:anchorId="27ABF57E" wp14:editId="0AF5B340">
            <wp:extent cx="278130" cy="226695"/>
            <wp:effectExtent l="0" t="0" r="762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t xml:space="preserve">means </w:t>
      </w:r>
      <w:r w:rsidR="000E66A0">
        <w:t xml:space="preserve">in the context of SMPG IF MP. </w:t>
      </w:r>
    </w:p>
    <w:p w:rsidR="00C9764D" w:rsidRDefault="00C9764D" w:rsidP="00C9764D">
      <w:pPr>
        <w:ind w:left="1080" w:hanging="360"/>
      </w:pPr>
      <w:r>
        <w:t>[</w:t>
      </w:r>
      <w:r w:rsidR="00AD3FF5">
        <w:t>4</w:t>
      </w:r>
      <w:r>
        <w:t>]</w:t>
      </w:r>
      <w:r>
        <w:tab/>
        <w:t>It was agreed that in the DLEV section, for the scenario in which DLEV is specified as a fee, it should be stated that the inclusion of Informative Price Details with SWNG.</w:t>
      </w:r>
    </w:p>
    <w:p w:rsidR="002C58F7" w:rsidRPr="002C58F7" w:rsidRDefault="002C58F7" w:rsidP="002C58F7">
      <w:r>
        <w:rPr>
          <w:b/>
        </w:rPr>
        <w:t xml:space="preserve">STATUS: </w:t>
      </w:r>
      <w:r>
        <w:t>Done.</w:t>
      </w:r>
    </w:p>
    <w:p w:rsidR="00757328" w:rsidRDefault="00C61528" w:rsidP="00F66A35">
      <w:pPr>
        <w:pStyle w:val="Heading2"/>
      </w:pPr>
      <w:r>
        <w:t>U</w:t>
      </w:r>
      <w:r w:rsidR="0089060F">
        <w:t xml:space="preserve">sage guidelines </w:t>
      </w:r>
      <w:r w:rsidR="00AC0EDF">
        <w:t>r</w:t>
      </w:r>
      <w:r w:rsidR="00757328">
        <w:t>eview and finalisation</w:t>
      </w:r>
    </w:p>
    <w:p w:rsidR="00FA0714" w:rsidRPr="00405438" w:rsidRDefault="00FA0714" w:rsidP="00FA0714">
      <w:pPr>
        <w:ind w:left="1260" w:hanging="540"/>
        <w:rPr>
          <w:i/>
        </w:rPr>
      </w:pPr>
      <w:r>
        <w:t>[</w:t>
      </w:r>
      <w:r w:rsidR="00990395">
        <w:t>1</w:t>
      </w:r>
      <w:r>
        <w:t>]</w:t>
      </w:r>
      <w:r>
        <w:tab/>
        <w:t xml:space="preserve">Order messages: </w:t>
      </w:r>
      <w:r w:rsidRPr="00990395">
        <w:rPr>
          <w:b/>
        </w:rPr>
        <w:t>Requested Future Trade Date</w:t>
      </w:r>
      <w:r>
        <w:t xml:space="preserve"> – set to ‘allowed’. In some markets this may be used for open-ended real estate funds or alternative funds.</w:t>
      </w:r>
      <w:r w:rsidR="00990395">
        <w:t xml:space="preserve"> </w:t>
      </w:r>
    </w:p>
    <w:p w:rsidR="00BA7B43" w:rsidRDefault="00EC53AC" w:rsidP="00FA0714">
      <w:pPr>
        <w:ind w:left="1260" w:hanging="540"/>
      </w:pPr>
      <w:r>
        <w:t>[</w:t>
      </w:r>
      <w:r w:rsidR="00990395">
        <w:t>2</w:t>
      </w:r>
      <w:r>
        <w:t>]</w:t>
      </w:r>
      <w:r>
        <w:tab/>
      </w:r>
      <w:r w:rsidR="00BA7B43">
        <w:t xml:space="preserve">Order messages / </w:t>
      </w:r>
      <w:r w:rsidR="00BA7B43" w:rsidRPr="00990395">
        <w:rPr>
          <w:b/>
        </w:rPr>
        <w:t>Request</w:t>
      </w:r>
      <w:r w:rsidR="00FA0714" w:rsidRPr="00990395">
        <w:rPr>
          <w:b/>
        </w:rPr>
        <w:t>ed</w:t>
      </w:r>
      <w:r w:rsidR="00BA7B43" w:rsidRPr="00990395">
        <w:rPr>
          <w:b/>
        </w:rPr>
        <w:t xml:space="preserve"> NAV Curren</w:t>
      </w:r>
      <w:r w:rsidR="00FA0714" w:rsidRPr="00990395">
        <w:rPr>
          <w:b/>
        </w:rPr>
        <w:t>cy</w:t>
      </w:r>
      <w:r w:rsidR="00BA7B43">
        <w:t>. The usage currently reads as</w:t>
      </w:r>
      <w:r w:rsidR="00FA0714">
        <w:t>:</w:t>
      </w:r>
    </w:p>
    <w:p w:rsidR="00BA7B43" w:rsidRDefault="00BA7B43" w:rsidP="00BA7B43">
      <w:pPr>
        <w:ind w:left="1260"/>
        <w:rPr>
          <w:lang w:val="en"/>
        </w:rPr>
      </w:pPr>
      <w:r>
        <w:rPr>
          <w:lang w:val="en"/>
        </w:rPr>
        <w:lastRenderedPageBreak/>
        <w:t xml:space="preserve">If the fund is a ‘multi-currency NAV fund’ and the order is specified as </w:t>
      </w:r>
      <w:proofErr w:type="spellStart"/>
      <w:r>
        <w:rPr>
          <w:lang w:val="en"/>
        </w:rPr>
        <w:t>AmountOrUnits</w:t>
      </w:r>
      <w:proofErr w:type="spellEnd"/>
      <w:r>
        <w:rPr>
          <w:lang w:val="en"/>
        </w:rPr>
        <w:t>/</w:t>
      </w:r>
      <w:proofErr w:type="spellStart"/>
      <w:r>
        <w:rPr>
          <w:lang w:val="en"/>
        </w:rPr>
        <w:t>UnitsNumber</w:t>
      </w:r>
      <w:proofErr w:type="spellEnd"/>
      <w:r>
        <w:rPr>
          <w:lang w:val="en"/>
        </w:rPr>
        <w:t xml:space="preserve">, it is recommended that </w:t>
      </w:r>
      <w:proofErr w:type="spellStart"/>
      <w:r>
        <w:rPr>
          <w:lang w:val="en"/>
        </w:rPr>
        <w:t>RequestedNAVCurrency</w:t>
      </w:r>
      <w:proofErr w:type="spellEnd"/>
      <w:r>
        <w:rPr>
          <w:lang w:val="en"/>
        </w:rPr>
        <w:t xml:space="preserve"> is present. If the fund is a ‘multi-currency NAV fund’ and the order is specified as </w:t>
      </w:r>
      <w:proofErr w:type="spellStart"/>
      <w:r>
        <w:rPr>
          <w:lang w:val="en"/>
        </w:rPr>
        <w:t>AmountOrUnits</w:t>
      </w:r>
      <w:proofErr w:type="spellEnd"/>
      <w:r>
        <w:rPr>
          <w:lang w:val="en"/>
        </w:rPr>
        <w:t>/</w:t>
      </w:r>
      <w:proofErr w:type="spellStart"/>
      <w:r>
        <w:rPr>
          <w:lang w:val="en"/>
        </w:rPr>
        <w:t>GrossAmount</w:t>
      </w:r>
      <w:proofErr w:type="spellEnd"/>
      <w:r>
        <w:rPr>
          <w:lang w:val="en"/>
        </w:rPr>
        <w:t xml:space="preserve">, it is recommended that </w:t>
      </w:r>
      <w:proofErr w:type="spellStart"/>
      <w:r>
        <w:rPr>
          <w:lang w:val="en"/>
        </w:rPr>
        <w:t>RequestedNAVCurrency</w:t>
      </w:r>
      <w:proofErr w:type="spellEnd"/>
      <w:r>
        <w:rPr>
          <w:lang w:val="en"/>
        </w:rPr>
        <w:t xml:space="preserve"> is present. If the fund is a ‘multi-currency NAV fund’ and the order is specified as </w:t>
      </w:r>
      <w:proofErr w:type="spellStart"/>
      <w:r>
        <w:rPr>
          <w:lang w:val="en"/>
        </w:rPr>
        <w:t>AmountOrUnits</w:t>
      </w:r>
      <w:proofErr w:type="spellEnd"/>
      <w:r>
        <w:rPr>
          <w:lang w:val="en"/>
        </w:rPr>
        <w:t>/</w:t>
      </w:r>
      <w:proofErr w:type="spellStart"/>
      <w:r>
        <w:rPr>
          <w:lang w:val="en"/>
        </w:rPr>
        <w:t>NetAmount</w:t>
      </w:r>
      <w:proofErr w:type="spellEnd"/>
      <w:r>
        <w:rPr>
          <w:lang w:val="en"/>
        </w:rPr>
        <w:t xml:space="preserve">, it is recommended that </w:t>
      </w:r>
      <w:proofErr w:type="spellStart"/>
      <w:r>
        <w:rPr>
          <w:lang w:val="en"/>
        </w:rPr>
        <w:t>RequestedNAVCurrency</w:t>
      </w:r>
      <w:proofErr w:type="spellEnd"/>
      <w:r>
        <w:rPr>
          <w:lang w:val="en"/>
        </w:rPr>
        <w:t xml:space="preserve"> is present.</w:t>
      </w:r>
    </w:p>
    <w:p w:rsidR="00BA7B43" w:rsidRDefault="00FA0714" w:rsidP="00BA7B43">
      <w:pPr>
        <w:ind w:left="1260"/>
        <w:rPr>
          <w:lang w:val="en"/>
        </w:rPr>
      </w:pPr>
      <w:r>
        <w:rPr>
          <w:lang w:val="en"/>
        </w:rPr>
        <w:t xml:space="preserve">To make this more concise and readable, this is </w:t>
      </w:r>
      <w:r w:rsidR="00BA7B43">
        <w:rPr>
          <w:lang w:val="en"/>
        </w:rPr>
        <w:t xml:space="preserve"> changed to :</w:t>
      </w:r>
    </w:p>
    <w:p w:rsidR="00FA0714" w:rsidRPr="00405438" w:rsidRDefault="00FA0714" w:rsidP="00BA7B43">
      <w:pPr>
        <w:ind w:left="1260"/>
        <w:rPr>
          <w:b/>
          <w:i/>
          <w:lang w:val="en"/>
        </w:rPr>
      </w:pPr>
      <w:r w:rsidRPr="00FA0714">
        <w:rPr>
          <w:rStyle w:val="Strong"/>
          <w:color w:val="333333"/>
          <w:lang w:val="en"/>
        </w:rPr>
        <w:t>Usage</w:t>
      </w:r>
      <w:r w:rsidRPr="00FA0714">
        <w:rPr>
          <w:color w:val="333333"/>
          <w:lang w:val="en"/>
        </w:rPr>
        <w:t>: If the fund is a ‘multi-currency NAV fund’ and the order is specifi</w:t>
      </w:r>
      <w:r>
        <w:rPr>
          <w:color w:val="333333"/>
          <w:lang w:val="en"/>
        </w:rPr>
        <w:t xml:space="preserve">ed as </w:t>
      </w:r>
      <w:proofErr w:type="spellStart"/>
      <w:r>
        <w:rPr>
          <w:color w:val="333333"/>
          <w:lang w:val="en"/>
        </w:rPr>
        <w:t>AmountOrUnits</w:t>
      </w:r>
      <w:proofErr w:type="spellEnd"/>
      <w:r>
        <w:rPr>
          <w:color w:val="333333"/>
          <w:lang w:val="en"/>
        </w:rPr>
        <w:t>/</w:t>
      </w:r>
      <w:proofErr w:type="spellStart"/>
      <w:r>
        <w:rPr>
          <w:color w:val="333333"/>
          <w:lang w:val="en"/>
        </w:rPr>
        <w:t>UnitsNumber</w:t>
      </w:r>
      <w:proofErr w:type="spellEnd"/>
      <w:r>
        <w:rPr>
          <w:color w:val="333333"/>
          <w:lang w:val="en"/>
        </w:rPr>
        <w:t xml:space="preserve"> or </w:t>
      </w:r>
      <w:proofErr w:type="spellStart"/>
      <w:r>
        <w:rPr>
          <w:color w:val="333333"/>
          <w:lang w:val="en"/>
        </w:rPr>
        <w:t>GrossAmount</w:t>
      </w:r>
      <w:proofErr w:type="spellEnd"/>
      <w:r>
        <w:rPr>
          <w:color w:val="333333"/>
          <w:lang w:val="en"/>
        </w:rPr>
        <w:t xml:space="preserve"> or Net Amount, </w:t>
      </w:r>
      <w:r w:rsidRPr="00FA0714">
        <w:rPr>
          <w:color w:val="333333"/>
          <w:lang w:val="en"/>
        </w:rPr>
        <w:t xml:space="preserve"> it is recommended that </w:t>
      </w:r>
      <w:proofErr w:type="spellStart"/>
      <w:r w:rsidRPr="00FA0714">
        <w:rPr>
          <w:color w:val="333333"/>
          <w:lang w:val="en"/>
        </w:rPr>
        <w:t>RequestedNAVCurrency</w:t>
      </w:r>
      <w:proofErr w:type="spellEnd"/>
      <w:r w:rsidRPr="00FA0714">
        <w:rPr>
          <w:color w:val="333333"/>
          <w:lang w:val="en"/>
        </w:rPr>
        <w:t xml:space="preserve"> is present.</w:t>
      </w:r>
    </w:p>
    <w:p w:rsidR="00EC53AC" w:rsidRDefault="00990395" w:rsidP="00B92BC4">
      <w:pPr>
        <w:ind w:left="1260" w:hanging="540"/>
      </w:pPr>
      <w:r>
        <w:t>[3</w:t>
      </w:r>
      <w:r w:rsidR="00FA0714">
        <w:t>]</w:t>
      </w:r>
      <w:r w:rsidR="00FA0714">
        <w:tab/>
      </w:r>
      <w:r w:rsidR="00EC53AC">
        <w:t xml:space="preserve">Switch Order Confirmation / </w:t>
      </w:r>
      <w:r w:rsidR="00EC53AC" w:rsidRPr="00990395">
        <w:rPr>
          <w:b/>
        </w:rPr>
        <w:t>Settlement Amount</w:t>
      </w:r>
      <w:r w:rsidR="00EC53AC">
        <w:t xml:space="preserve"> to be set to do not use</w:t>
      </w:r>
      <w:r w:rsidR="002C58F7">
        <w:t>.</w:t>
      </w:r>
    </w:p>
    <w:p w:rsidR="00EC53AC" w:rsidRDefault="00990395" w:rsidP="00FA0714">
      <w:pPr>
        <w:ind w:left="1260" w:hanging="540"/>
        <w:rPr>
          <w:b/>
          <w:i/>
        </w:rPr>
      </w:pPr>
      <w:r>
        <w:t>[4</w:t>
      </w:r>
      <w:r w:rsidR="00EC53AC">
        <w:t>]</w:t>
      </w:r>
      <w:r w:rsidR="00EC53AC">
        <w:tab/>
        <w:t>Confir</w:t>
      </w:r>
      <w:r w:rsidR="00B92BC4">
        <w:t>m</w:t>
      </w:r>
      <w:r w:rsidR="00EC53AC">
        <w:t xml:space="preserve">ation / </w:t>
      </w:r>
      <w:r w:rsidR="00EC53AC" w:rsidRPr="00990395">
        <w:rPr>
          <w:b/>
        </w:rPr>
        <w:t xml:space="preserve">Individual Fee – </w:t>
      </w:r>
      <w:r w:rsidR="00FA0714" w:rsidRPr="00990395">
        <w:rPr>
          <w:b/>
        </w:rPr>
        <w:t>rate</w:t>
      </w:r>
      <w:r w:rsidR="00EC53AC">
        <w:t xml:space="preserve"> is to be allowed, with usage ‘</w:t>
      </w:r>
      <w:r w:rsidR="007C5053">
        <w:t>SMPG IF recommends</w:t>
      </w:r>
      <w:r w:rsidR="00EC53AC">
        <w:t xml:space="preserve"> </w:t>
      </w:r>
      <w:r w:rsidR="007C5053">
        <w:t xml:space="preserve">that this element is not used, but recognises that </w:t>
      </w:r>
      <w:r w:rsidR="00EC53AC">
        <w:t xml:space="preserve">there are </w:t>
      </w:r>
      <w:r w:rsidR="007C5053">
        <w:t xml:space="preserve">some </w:t>
      </w:r>
      <w:r w:rsidR="00EC53AC">
        <w:t xml:space="preserve">scenarios in which </w:t>
      </w:r>
      <w:r w:rsidR="00763716">
        <w:t xml:space="preserve">the rate might </w:t>
      </w:r>
      <w:r w:rsidR="007C5053">
        <w:t xml:space="preserve">also </w:t>
      </w:r>
      <w:r w:rsidR="00763716">
        <w:t xml:space="preserve">be specified. </w:t>
      </w:r>
      <w:r w:rsidR="007C5053">
        <w:t>Users must</w:t>
      </w:r>
      <w:r w:rsidR="00763716">
        <w:t xml:space="preserve"> agree </w:t>
      </w:r>
      <w:r w:rsidR="007C5053">
        <w:t>on the</w:t>
      </w:r>
      <w:r w:rsidR="00763716">
        <w:t xml:space="preserve"> interpretation of this field.</w:t>
      </w:r>
      <w:r w:rsidR="00B92BC4">
        <w:t>”</w:t>
      </w:r>
      <w:r w:rsidR="00FA0714">
        <w:t xml:space="preserve">. This has been applied to </w:t>
      </w:r>
      <w:proofErr w:type="spellStart"/>
      <w:r w:rsidR="00FA0714">
        <w:t>StandardRate</w:t>
      </w:r>
      <w:proofErr w:type="spellEnd"/>
      <w:r w:rsidR="00FA0714">
        <w:t xml:space="preserve">, </w:t>
      </w:r>
      <w:proofErr w:type="spellStart"/>
      <w:r w:rsidR="00FA0714">
        <w:t>AppliedRate</w:t>
      </w:r>
      <w:proofErr w:type="spellEnd"/>
      <w:r w:rsidR="00FA0714">
        <w:t xml:space="preserve">, Discount / Rate. </w:t>
      </w:r>
    </w:p>
    <w:p w:rsidR="002C58F7" w:rsidRPr="002C58F7" w:rsidRDefault="002C58F7" w:rsidP="002C58F7">
      <w:r>
        <w:rPr>
          <w:b/>
        </w:rPr>
        <w:t xml:space="preserve">STATUS: </w:t>
      </w:r>
      <w:r>
        <w:t>Done.</w:t>
      </w:r>
    </w:p>
    <w:p w:rsidR="00561576" w:rsidRDefault="00561576" w:rsidP="00561576">
      <w:pPr>
        <w:pStyle w:val="Heading2"/>
      </w:pPr>
      <w:r>
        <w:t xml:space="preserve">Work-around for Settlement And Custody Details sequence </w:t>
      </w:r>
    </w:p>
    <w:p w:rsidR="006D18F2" w:rsidRDefault="00561576" w:rsidP="000703DE">
      <w:pPr>
        <w:pStyle w:val="Normal2"/>
      </w:pPr>
      <w:r>
        <w:t>Currently, the messages only allow one place of settlement. A work around for a second place of settlement is required and a draft specification is in the power-point “</w:t>
      </w:r>
      <w:r w:rsidRPr="001013CF">
        <w:t>10_Order MP Meeting Material_Revised_2016-03-22.pptx</w:t>
      </w:r>
      <w:r>
        <w:t xml:space="preserve">” (slide 38). </w:t>
      </w:r>
      <w:r w:rsidR="006D18F2">
        <w:t>This slide has been extracted as “</w:t>
      </w:r>
      <w:r w:rsidR="006D18F2" w:rsidRPr="006D18F2">
        <w:t xml:space="preserve">Funds </w:t>
      </w:r>
      <w:proofErr w:type="spellStart"/>
      <w:r w:rsidR="006D18F2" w:rsidRPr="006D18F2">
        <w:t>setr</w:t>
      </w:r>
      <w:proofErr w:type="spellEnd"/>
      <w:r w:rsidR="006D18F2" w:rsidRPr="006D18F2">
        <w:t xml:space="preserve"> PSETx2 workaround_2017-05-09.pptx</w:t>
      </w:r>
      <w:r w:rsidR="006D18F2">
        <w:t>”</w:t>
      </w:r>
    </w:p>
    <w:p w:rsidR="00561576" w:rsidRDefault="00561576" w:rsidP="000703DE">
      <w:pPr>
        <w:pStyle w:val="Normal2"/>
      </w:pPr>
      <w:r>
        <w:t xml:space="preserve">What was proposed is to be reviewed first by Charles (if possible) and if necessary, corrections are to be made. This is then to be sent to </w:t>
      </w:r>
      <w:proofErr w:type="spellStart"/>
      <w:r>
        <w:t>Clearstream</w:t>
      </w:r>
      <w:proofErr w:type="spellEnd"/>
      <w:r>
        <w:t xml:space="preserve"> for review. When agreed by the core SMPG group, this is to be circulated by DESSUG and France for their ratification and then added to the market practice at a later date.</w:t>
      </w:r>
    </w:p>
    <w:p w:rsidR="002C58F7" w:rsidRDefault="002C58F7" w:rsidP="002C58F7">
      <w:r>
        <w:rPr>
          <w:b/>
        </w:rPr>
        <w:t xml:space="preserve">STATUS: </w:t>
      </w:r>
      <w:r>
        <w:t>WIP</w:t>
      </w:r>
    </w:p>
    <w:p w:rsidR="00DB46CD" w:rsidRDefault="00DB46CD" w:rsidP="00DB46CD">
      <w:pPr>
        <w:pStyle w:val="Heading2"/>
      </w:pPr>
      <w:r>
        <w:t xml:space="preserve">Change Request for Settlement And Custody Details sequence </w:t>
      </w:r>
    </w:p>
    <w:p w:rsidR="00DB46CD" w:rsidRDefault="00DB46CD" w:rsidP="000703DE">
      <w:pPr>
        <w:pStyle w:val="Normal2"/>
      </w:pPr>
      <w:r>
        <w:t>There is the need for a change request to be submitted to ISO to fill this functionality gap. See “</w:t>
      </w:r>
      <w:r w:rsidRPr="001013CF">
        <w:t>10_Order MP Meeting Material_Revised_2016-03-22.pptx</w:t>
      </w:r>
      <w:r>
        <w:t>” slide 39 for some preliminary thoughts.</w:t>
      </w:r>
    </w:p>
    <w:p w:rsidR="00DB46CD" w:rsidRDefault="002C58F7" w:rsidP="000703DE">
      <w:r>
        <w:rPr>
          <w:b/>
        </w:rPr>
        <w:t xml:space="preserve">STATUS: </w:t>
      </w:r>
      <w:proofErr w:type="spellStart"/>
      <w:r w:rsidR="00DB46CD">
        <w:t>Clearstream</w:t>
      </w:r>
      <w:proofErr w:type="spellEnd"/>
      <w:r w:rsidR="00DB46CD">
        <w:t xml:space="preserve"> to submit CR. </w:t>
      </w:r>
    </w:p>
    <w:p w:rsidR="00F66A35" w:rsidRDefault="00561576" w:rsidP="00F66A35">
      <w:pPr>
        <w:pStyle w:val="Heading2"/>
      </w:pPr>
      <w:r>
        <w:t xml:space="preserve">Order Process Market Practice on </w:t>
      </w:r>
      <w:r w:rsidR="00F66A35">
        <w:t>MyStandards</w:t>
      </w:r>
    </w:p>
    <w:p w:rsidR="00F66A35" w:rsidRDefault="00F66A35" w:rsidP="00F66A35">
      <w:r>
        <w:t>It was agreed in the 27 &amp; 28 February work session that the new version of the order market practice for the 2017 version of the messages needs to be published as ‘final’ on 5 May.</w:t>
      </w:r>
    </w:p>
    <w:p w:rsidR="00C61528" w:rsidRDefault="00F66A35" w:rsidP="00F66A35">
      <w:r>
        <w:t xml:space="preserve">Any revisions as a result of the Dublin meeting </w:t>
      </w:r>
      <w:r w:rsidR="00C61528">
        <w:t xml:space="preserve">have been </w:t>
      </w:r>
      <w:r>
        <w:t xml:space="preserve">actioned and a new version of the collection and process document </w:t>
      </w:r>
      <w:r w:rsidR="00C61528">
        <w:t xml:space="preserve">have been </w:t>
      </w:r>
      <w:r>
        <w:t>uploaded to MyStandards on 2 May 2017</w:t>
      </w:r>
      <w:r w:rsidR="00C61528">
        <w:t xml:space="preserve"> with status ‘Draft’</w:t>
      </w:r>
      <w:r>
        <w:t xml:space="preserve">. </w:t>
      </w:r>
      <w:r w:rsidR="00C61528">
        <w:t>A e-mail was sent on 2 May 2017 to inform the group.</w:t>
      </w:r>
    </w:p>
    <w:p w:rsidR="00C61528" w:rsidRDefault="00C61528" w:rsidP="00F66A35">
      <w:r>
        <w:t xml:space="preserve">As planned, the status of the order market practice in MyStandards was changed to ‘final’ on 5 May </w:t>
      </w:r>
      <w:r w:rsidR="000703DE">
        <w:t xml:space="preserve">2017.  </w:t>
      </w:r>
    </w:p>
    <w:p w:rsidR="00561576" w:rsidRDefault="00561576" w:rsidP="00F66A35">
      <w:r>
        <w:rPr>
          <w:noProof/>
          <w:lang w:eastAsia="en-GB"/>
        </w:rPr>
        <w:lastRenderedPageBreak/>
        <w:drawing>
          <wp:inline distT="0" distB="0" distL="0" distR="0" wp14:anchorId="0EEA54E0" wp14:editId="4EC6D8CF">
            <wp:extent cx="5903595" cy="44913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3595" cy="4491355"/>
                    </a:xfrm>
                    <a:prstGeom prst="rect">
                      <a:avLst/>
                    </a:prstGeom>
                    <a:noFill/>
                    <a:ln>
                      <a:noFill/>
                    </a:ln>
                  </pic:spPr>
                </pic:pic>
              </a:graphicData>
            </a:graphic>
          </wp:inline>
        </w:drawing>
      </w:r>
    </w:p>
    <w:p w:rsidR="00196A5C" w:rsidRPr="00196A5C" w:rsidRDefault="00196A5C" w:rsidP="00F66A35">
      <w:pPr>
        <w:rPr>
          <w:rStyle w:val="Italic"/>
        </w:rPr>
      </w:pPr>
      <w:r w:rsidRPr="00196A5C">
        <w:rPr>
          <w:rStyle w:val="Italic"/>
        </w:rPr>
        <w:t>(This is not the full view of the collection.)</w:t>
      </w:r>
    </w:p>
    <w:p w:rsidR="00561576" w:rsidRDefault="00561576" w:rsidP="00561576">
      <w:pPr>
        <w:pStyle w:val="BlockLabel"/>
      </w:pPr>
      <w:r>
        <w:t>Notes:</w:t>
      </w:r>
    </w:p>
    <w:p w:rsidR="00561576" w:rsidRDefault="00561576" w:rsidP="00F66A35">
      <w:r>
        <w:t xml:space="preserve">Because of the introduction of a collection of AIF (alternative/hedge funds) (see later), there </w:t>
      </w:r>
      <w:r w:rsidR="00405438">
        <w:t xml:space="preserve">is a  </w:t>
      </w:r>
      <w:r>
        <w:t xml:space="preserve">need to differentiate between usage </w:t>
      </w:r>
      <w:r w:rsidR="00C95CE6">
        <w:t>guidelines</w:t>
      </w:r>
      <w:r>
        <w:t xml:space="preserve"> for IF (investment funds) and AIF at the level of the collection and the usage </w:t>
      </w:r>
      <w:r w:rsidR="00C95CE6">
        <w:t>guidelines</w:t>
      </w:r>
      <w:r>
        <w:t xml:space="preserve"> themselves, hence it can be seen that the guidelines have ‘IF’ after the message identifier. This is of particular importance when identifying the usage guidelines for which a </w:t>
      </w:r>
      <w:r w:rsidR="00C95CE6">
        <w:t>comparison</w:t>
      </w:r>
      <w:r>
        <w:t xml:space="preserve"> needs to be run.</w:t>
      </w:r>
    </w:p>
    <w:p w:rsidR="000D275D" w:rsidRPr="000D275D" w:rsidRDefault="000D275D" w:rsidP="00F66A35">
      <w:r w:rsidRPr="000D275D">
        <w:rPr>
          <w:b/>
        </w:rPr>
        <w:t>STATUS:</w:t>
      </w:r>
      <w:r>
        <w:rPr>
          <w:b/>
        </w:rPr>
        <w:t xml:space="preserve"> </w:t>
      </w:r>
      <w:r>
        <w:t>Done. No further work is envisaged as this time, although, as ever, there may be scope for fine-tuning. At some stage, an ‘interim solution’ for the specification of two PSETs will have to be incorporated.</w:t>
      </w:r>
    </w:p>
    <w:p w:rsidR="00C61528" w:rsidRDefault="00C61528" w:rsidP="00C61528">
      <w:pPr>
        <w:pStyle w:val="Heading2"/>
      </w:pPr>
      <w:r>
        <w:t xml:space="preserve">Alternative/Hedge Funds Market Practice </w:t>
      </w:r>
    </w:p>
    <w:p w:rsidR="00391237" w:rsidRPr="00391237" w:rsidRDefault="00391237" w:rsidP="00391237">
      <w:pPr>
        <w:pStyle w:val="Heading3"/>
      </w:pPr>
      <w:r>
        <w:t>‘Adoption’ by SMPG IF</w:t>
      </w:r>
    </w:p>
    <w:p w:rsidR="00C61528" w:rsidRDefault="00C61528" w:rsidP="00C61528">
      <w:r>
        <w:t>The power-point ‘</w:t>
      </w:r>
      <w:r w:rsidRPr="00757328">
        <w:t>UG_Comparison_setr.010 Classic V Hedge_2017-04-14.xlsx</w:t>
      </w:r>
      <w:r>
        <w:t xml:space="preserve">’ was used to illustrate two different approaches to how the </w:t>
      </w:r>
      <w:r w:rsidR="00C95CE6">
        <w:t>alternative</w:t>
      </w:r>
      <w:r>
        <w:t>/hedge funds market practice should be incorporated into the ‘classic’ funds market practice.</w:t>
      </w:r>
    </w:p>
    <w:p w:rsidR="00C61528" w:rsidRDefault="00C61528" w:rsidP="00C61528">
      <w:pPr>
        <w:ind w:left="1260" w:hanging="540"/>
      </w:pPr>
      <w:r>
        <w:lastRenderedPageBreak/>
        <w:t>[1]</w:t>
      </w:r>
      <w:r>
        <w:tab/>
        <w:t xml:space="preserve">The first </w:t>
      </w:r>
      <w:r w:rsidR="00C95CE6">
        <w:t>approach</w:t>
      </w:r>
      <w:r>
        <w:t xml:space="preserve"> is one in which alternative hedge funds restrictions and usage are incorporated into the ‘classic’ message usage guidelines. It was discovered that this leads to a loss of formalism and means that it will be necessary to read lots of usage information in order to know whether an element should be used or not. It also means that the market practice stops being concise and is less easy to read which is not a good outcome.</w:t>
      </w:r>
    </w:p>
    <w:p w:rsidR="00C61528" w:rsidRDefault="00C61528" w:rsidP="00C61528">
      <w:pPr>
        <w:ind w:left="1260" w:hanging="540"/>
      </w:pPr>
      <w:r>
        <w:t>[2]</w:t>
      </w:r>
      <w:r>
        <w:tab/>
        <w:t xml:space="preserve">The second approach involves creating separate message usage guidelines for the alternative/hedge funds market practice, but having them in same market practice collection. </w:t>
      </w:r>
    </w:p>
    <w:p w:rsidR="00561576" w:rsidRDefault="00196A5C" w:rsidP="00196A5C">
      <w:r>
        <w:t xml:space="preserve">It was agreed that </w:t>
      </w:r>
      <w:r w:rsidR="00C61528">
        <w:t xml:space="preserve">the second approach is to be adopted, that is, </w:t>
      </w:r>
      <w:r>
        <w:t xml:space="preserve">a </w:t>
      </w:r>
      <w:r w:rsidR="00C61528">
        <w:t xml:space="preserve">separate </w:t>
      </w:r>
      <w:r>
        <w:t xml:space="preserve">collection with separate </w:t>
      </w:r>
      <w:r w:rsidR="00C61528">
        <w:t xml:space="preserve">usage guidelines </w:t>
      </w:r>
      <w:r>
        <w:t xml:space="preserve">are to be created </w:t>
      </w:r>
      <w:r w:rsidR="00C61528">
        <w:t xml:space="preserve">for AIF (at this stage). </w:t>
      </w:r>
    </w:p>
    <w:p w:rsidR="00C61528" w:rsidRDefault="00561576" w:rsidP="00561576">
      <w:r>
        <w:t xml:space="preserve">The GAIA market </w:t>
      </w:r>
      <w:r w:rsidR="00C95CE6">
        <w:t>practice</w:t>
      </w:r>
      <w:r>
        <w:t xml:space="preserve"> has been transcribed in the MyStandards environment. The MyStandards representation has been review</w:t>
      </w:r>
      <w:r w:rsidR="00405438">
        <w:t>ed</w:t>
      </w:r>
      <w:r>
        <w:t xml:space="preserve"> by Steve Wallace (GAIA) and several iterations were carried out:</w:t>
      </w:r>
    </w:p>
    <w:p w:rsidR="00196A5C" w:rsidRPr="00561576" w:rsidRDefault="00196A5C" w:rsidP="00561576">
      <w:r>
        <w:rPr>
          <w:noProof/>
          <w:lang w:eastAsia="en-GB"/>
        </w:rPr>
        <w:drawing>
          <wp:inline distT="0" distB="0" distL="0" distR="0" wp14:anchorId="3D786952" wp14:editId="4F6D4CC0">
            <wp:extent cx="5829935" cy="4542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935" cy="4542790"/>
                    </a:xfrm>
                    <a:prstGeom prst="rect">
                      <a:avLst/>
                    </a:prstGeom>
                    <a:noFill/>
                    <a:ln>
                      <a:noFill/>
                    </a:ln>
                  </pic:spPr>
                </pic:pic>
              </a:graphicData>
            </a:graphic>
          </wp:inline>
        </w:drawing>
      </w:r>
    </w:p>
    <w:p w:rsidR="00196A5C" w:rsidRDefault="00196A5C" w:rsidP="00196A5C">
      <w:r w:rsidRPr="00196A5C">
        <w:rPr>
          <w:rStyle w:val="Italic"/>
        </w:rPr>
        <w:t>(This is not the full view of the collection.)</w:t>
      </w:r>
    </w:p>
    <w:p w:rsidR="00405438" w:rsidRDefault="00405438" w:rsidP="00196A5C">
      <w:r>
        <w:t xml:space="preserve">It </w:t>
      </w:r>
      <w:r w:rsidR="00391237">
        <w:t xml:space="preserve">was subsequently </w:t>
      </w:r>
      <w:r>
        <w:t>agreed by GAIA the status of this market practi</w:t>
      </w:r>
      <w:r w:rsidR="00044E4B">
        <w:t>c</w:t>
      </w:r>
      <w:r>
        <w:t>e can now to be set ‘final’</w:t>
      </w:r>
      <w:r w:rsidR="00044E4B">
        <w:t xml:space="preserve"> and ‘public”.</w:t>
      </w:r>
    </w:p>
    <w:p w:rsidR="00044E4B" w:rsidRPr="00044E4B" w:rsidRDefault="00044E4B" w:rsidP="00196A5C">
      <w:pPr>
        <w:rPr>
          <w:rStyle w:val="Italic"/>
          <w:b/>
          <w:i w:val="0"/>
        </w:rPr>
      </w:pPr>
      <w:r>
        <w:rPr>
          <w:b/>
        </w:rPr>
        <w:lastRenderedPageBreak/>
        <w:t>STATUS</w:t>
      </w:r>
      <w:r w:rsidRPr="002506B4">
        <w:rPr>
          <w:b/>
        </w:rPr>
        <w:t>:</w:t>
      </w:r>
      <w:r>
        <w:t xml:space="preserve"> The collection on MyStandards has been updated to ‘final’ and ‘public’. See </w:t>
      </w:r>
      <w:r w:rsidRPr="00044E4B">
        <w:rPr>
          <w:rFonts w:ascii="Helvetica" w:hAnsi="Helvetica" w:cs="Helvetica"/>
          <w:b/>
          <w:i/>
          <w:color w:val="333333"/>
          <w:sz w:val="21"/>
          <w:szCs w:val="21"/>
          <w:lang w:val="en"/>
        </w:rPr>
        <w:t>SMPG-Global-IF-</w:t>
      </w:r>
      <w:proofErr w:type="spellStart"/>
      <w:r w:rsidRPr="00044E4B">
        <w:rPr>
          <w:rFonts w:ascii="Helvetica" w:hAnsi="Helvetica" w:cs="Helvetica"/>
          <w:b/>
          <w:i/>
          <w:color w:val="333333"/>
          <w:sz w:val="21"/>
          <w:szCs w:val="21"/>
          <w:lang w:val="en"/>
        </w:rPr>
        <w:t>OrderProcessing</w:t>
      </w:r>
      <w:proofErr w:type="spellEnd"/>
      <w:r w:rsidRPr="00044E4B">
        <w:rPr>
          <w:rFonts w:ascii="Helvetica" w:hAnsi="Helvetica" w:cs="Helvetica"/>
          <w:b/>
          <w:i/>
          <w:color w:val="333333"/>
          <w:sz w:val="21"/>
          <w:szCs w:val="21"/>
          <w:lang w:val="en"/>
        </w:rPr>
        <w:t>-</w:t>
      </w:r>
      <w:proofErr w:type="spellStart"/>
      <w:r w:rsidRPr="00044E4B">
        <w:rPr>
          <w:rFonts w:ascii="Helvetica" w:hAnsi="Helvetica" w:cs="Helvetica"/>
          <w:b/>
          <w:i/>
          <w:color w:val="333333"/>
          <w:sz w:val="21"/>
          <w:szCs w:val="21"/>
          <w:lang w:val="en"/>
        </w:rPr>
        <w:t>Final_AIF</w:t>
      </w:r>
      <w:proofErr w:type="spellEnd"/>
      <w:r w:rsidRPr="00044E4B">
        <w:rPr>
          <w:rFonts w:ascii="Helvetica" w:hAnsi="Helvetica" w:cs="Helvetica"/>
          <w:b/>
          <w:i/>
          <w:color w:val="333333"/>
          <w:sz w:val="21"/>
          <w:szCs w:val="21"/>
          <w:lang w:val="en"/>
        </w:rPr>
        <w:t xml:space="preserve"> (2017-05-17)</w:t>
      </w:r>
    </w:p>
    <w:p w:rsidR="00196A5C" w:rsidRDefault="00196A5C" w:rsidP="00196A5C">
      <w:pPr>
        <w:pStyle w:val="Heading2"/>
      </w:pPr>
      <w:r>
        <w:t xml:space="preserve">Comparison between IF and AIF </w:t>
      </w:r>
    </w:p>
    <w:p w:rsidR="00196A5C" w:rsidRDefault="00C95CE6" w:rsidP="00196A5C">
      <w:r>
        <w:t>Comparisons</w:t>
      </w:r>
      <w:r w:rsidR="00C61528">
        <w:t xml:space="preserve"> </w:t>
      </w:r>
      <w:r w:rsidR="00196A5C">
        <w:t>have been</w:t>
      </w:r>
      <w:r w:rsidR="00C61528">
        <w:t xml:space="preserve"> made between the IF and AIF usage guideline</w:t>
      </w:r>
      <w:r w:rsidR="00196A5C">
        <w:t xml:space="preserve">s. The </w:t>
      </w:r>
      <w:r>
        <w:t>differences</w:t>
      </w:r>
      <w:r w:rsidR="00044E4B">
        <w:t xml:space="preserve"> have been assessed</w:t>
      </w:r>
      <w:r w:rsidR="00196A5C">
        <w:t xml:space="preserve"> and a determination made between each </w:t>
      </w:r>
      <w:r>
        <w:t>difference</w:t>
      </w:r>
      <w:r w:rsidR="00196A5C">
        <w:t xml:space="preserve"> on whether it is something can be </w:t>
      </w:r>
      <w:r>
        <w:t>harmonised</w:t>
      </w:r>
      <w:r w:rsidR="00196A5C">
        <w:t xml:space="preserve"> or not.</w:t>
      </w:r>
      <w:r w:rsidR="00391237">
        <w:t xml:space="preserve"> </w:t>
      </w:r>
    </w:p>
    <w:p w:rsidR="00C61528" w:rsidRDefault="00391237" w:rsidP="00196A5C">
      <w:r>
        <w:t xml:space="preserve">The GAIA group held a meeting on 15 May 2017. </w:t>
      </w:r>
      <w:r w:rsidR="00405438">
        <w:t xml:space="preserve">Steve Wallace </w:t>
      </w:r>
      <w:r>
        <w:t xml:space="preserve">highlighted </w:t>
      </w:r>
      <w:r w:rsidR="00196A5C">
        <w:t>the di</w:t>
      </w:r>
      <w:r w:rsidR="00C61528">
        <w:t xml:space="preserve">fferences </w:t>
      </w:r>
      <w:r>
        <w:t xml:space="preserve">between IF and AIF and said their might be scope for some harmonisation in the future.  </w:t>
      </w:r>
      <w:r w:rsidR="00405438">
        <w:t>Janice Chapman also attended the GAIA meeting. A general update on SMPG investment funds working group was given. The GAIA group is now aware that their market practice, which is more an implementation market practice is on MyStandards and publically available.</w:t>
      </w:r>
    </w:p>
    <w:p w:rsidR="00044E4B" w:rsidRDefault="00044E4B" w:rsidP="00196A5C">
      <w:r>
        <w:t>There is scope to harmonise some of the minor</w:t>
      </w:r>
      <w:r w:rsidR="000D275D">
        <w:t xml:space="preserve"> differences. In the main</w:t>
      </w:r>
      <w:r>
        <w:t xml:space="preserve"> differences are as a result </w:t>
      </w:r>
      <w:r w:rsidR="000D275D">
        <w:t xml:space="preserve">of </w:t>
      </w:r>
      <w:r>
        <w:t xml:space="preserve">either a different process flow </w:t>
      </w:r>
      <w:r w:rsidR="000D275D">
        <w:t xml:space="preserve"> or specific elements required in the AIF space.</w:t>
      </w:r>
    </w:p>
    <w:p w:rsidR="008B5DB3" w:rsidRPr="000D275D" w:rsidRDefault="008B5DB3" w:rsidP="008B5DB3">
      <w:pPr>
        <w:rPr>
          <w:b/>
        </w:rPr>
      </w:pPr>
      <w:r w:rsidRPr="000D275D">
        <w:rPr>
          <w:b/>
        </w:rPr>
        <w:t>STATUS</w:t>
      </w:r>
      <w:r w:rsidR="000D275D" w:rsidRPr="000D275D">
        <w:rPr>
          <w:b/>
        </w:rPr>
        <w:t xml:space="preserve">: </w:t>
      </w:r>
      <w:r w:rsidR="000D275D" w:rsidRPr="000D275D">
        <w:t>Done. At this stage there is no further work envisioned on this. Copies of the compari</w:t>
      </w:r>
      <w:r w:rsidR="000D275D">
        <w:t>s</w:t>
      </w:r>
      <w:r w:rsidR="000D275D" w:rsidRPr="000D275D">
        <w:t>on spreadsheets generated ae available on request.</w:t>
      </w:r>
    </w:p>
    <w:p w:rsidR="000C3186" w:rsidRDefault="005C407A" w:rsidP="000C3186">
      <w:pPr>
        <w:pStyle w:val="Heading1"/>
      </w:pPr>
      <w:bookmarkStart w:id="20" w:name="_Toc484589035"/>
      <w:r>
        <w:t>A</w:t>
      </w:r>
      <w:r w:rsidR="000C3186">
        <w:t xml:space="preserve">ccount </w:t>
      </w:r>
      <w:r>
        <w:t>M</w:t>
      </w:r>
      <w:r w:rsidR="000C3186">
        <w:t>anagement</w:t>
      </w:r>
      <w:r>
        <w:t xml:space="preserve"> M</w:t>
      </w:r>
      <w:r w:rsidR="000C3186">
        <w:t xml:space="preserve">arket </w:t>
      </w:r>
      <w:r>
        <w:t>P</w:t>
      </w:r>
      <w:r w:rsidR="000C3186">
        <w:t>ractice</w:t>
      </w:r>
      <w:bookmarkEnd w:id="20"/>
    </w:p>
    <w:p w:rsidR="00D27AF2" w:rsidRDefault="00D27AF2" w:rsidP="00D27AF2">
      <w:r>
        <w:t>The current market practice has been updated with the base messages of the SR2017 messages. The power-point ‘</w:t>
      </w:r>
      <w:r w:rsidRPr="00D27AF2">
        <w:t>15_AcctManagement MP updates for 2017_2017-04-18.pptx</w:t>
      </w:r>
      <w:r>
        <w:t xml:space="preserve">’ was used to </w:t>
      </w:r>
      <w:r w:rsidR="002C58F7">
        <w:t>facilitate</w:t>
      </w:r>
      <w:r>
        <w:t xml:space="preserve"> the review process. </w:t>
      </w:r>
      <w:r w:rsidR="002506B4">
        <w:t>It was agreed that the account parties as described in the power-point are to be set to ‘allowed’. The elements allowed for account party are to be consistent.</w:t>
      </w:r>
    </w:p>
    <w:p w:rsidR="00044E4B" w:rsidRDefault="0033039E" w:rsidP="00044E4B">
      <w:r>
        <w:rPr>
          <w:b/>
        </w:rPr>
        <w:t>STATUS</w:t>
      </w:r>
      <w:r w:rsidR="002506B4" w:rsidRPr="002506B4">
        <w:rPr>
          <w:b/>
        </w:rPr>
        <w:t>:</w:t>
      </w:r>
      <w:r w:rsidR="000D275D">
        <w:t xml:space="preserve"> </w:t>
      </w:r>
      <w:r w:rsidR="002C58F7">
        <w:t xml:space="preserve">Done. </w:t>
      </w:r>
      <w:r w:rsidR="000D275D">
        <w:t>T</w:t>
      </w:r>
      <w:r w:rsidR="002506B4">
        <w:t xml:space="preserve">he usage guidelines </w:t>
      </w:r>
      <w:r>
        <w:t>have been</w:t>
      </w:r>
      <w:r w:rsidR="002506B4">
        <w:t xml:space="preserve"> updated and uploaded to MyStandards as a result of the Dublin review and the status </w:t>
      </w:r>
      <w:r>
        <w:t>is</w:t>
      </w:r>
      <w:r w:rsidR="00044E4B">
        <w:t xml:space="preserve"> set to ‘final’ and ‘public’. </w:t>
      </w:r>
    </w:p>
    <w:p w:rsidR="00044E4B" w:rsidRPr="00044E4B" w:rsidRDefault="00044E4B" w:rsidP="00044E4B">
      <w:pPr>
        <w:rPr>
          <w:b/>
          <w:i/>
        </w:rPr>
      </w:pPr>
      <w:r>
        <w:t xml:space="preserve">See </w:t>
      </w:r>
      <w:r w:rsidRPr="00044E4B">
        <w:rPr>
          <w:b/>
          <w:i/>
          <w:lang w:val="en"/>
        </w:rPr>
        <w:t>SMPG-Global-IF-</w:t>
      </w:r>
      <w:proofErr w:type="spellStart"/>
      <w:r w:rsidRPr="00044E4B">
        <w:rPr>
          <w:b/>
          <w:i/>
          <w:lang w:val="en"/>
        </w:rPr>
        <w:t>AccountManagement</w:t>
      </w:r>
      <w:proofErr w:type="spellEnd"/>
      <w:r w:rsidRPr="00044E4B">
        <w:rPr>
          <w:b/>
          <w:i/>
          <w:lang w:val="en"/>
        </w:rPr>
        <w:t>-Final (2017-05-11)</w:t>
      </w:r>
    </w:p>
    <w:p w:rsidR="0033039E" w:rsidRDefault="0033039E" w:rsidP="0033039E">
      <w:pPr>
        <w:pStyle w:val="Heading1"/>
      </w:pPr>
      <w:bookmarkStart w:id="21" w:name="_Toc484589036"/>
      <w:r>
        <w:t>Holdings Statements</w:t>
      </w:r>
      <w:bookmarkEnd w:id="21"/>
    </w:p>
    <w:p w:rsidR="0033039E" w:rsidRDefault="0033039E" w:rsidP="0033039E">
      <w:r>
        <w:t>Two</w:t>
      </w:r>
      <w:r w:rsidR="000E47FC">
        <w:t xml:space="preserve"> or three</w:t>
      </w:r>
      <w:r>
        <w:t xml:space="preserve"> years ago, the market practice for semt.002.001.02 Custody Statement of Holdings was transcribed into the latest version of semt.002. A power-point was produced to show where the main differences are. This work was updated to version 09 of the semt.002 message. It was </w:t>
      </w:r>
      <w:r w:rsidR="002C58F7">
        <w:t>briefly</w:t>
      </w:r>
      <w:r>
        <w:t xml:space="preserve"> </w:t>
      </w:r>
      <w:r w:rsidR="002C58F7">
        <w:t>reviewed</w:t>
      </w:r>
      <w:r>
        <w:t xml:space="preserve"> at the Dublin meeting. The power-point was found to have a few typo graphical errors.  It was agreed that some of the </w:t>
      </w:r>
      <w:r w:rsidR="002C58F7">
        <w:t>differences</w:t>
      </w:r>
      <w:r>
        <w:t xml:space="preserve"> did not matter and change requests to update semt.002.001.00 are not required.</w:t>
      </w:r>
    </w:p>
    <w:p w:rsidR="0033039E" w:rsidRDefault="0033039E" w:rsidP="0033039E">
      <w:r>
        <w:t xml:space="preserve">It was agreed that the power-point should be corrected and then made useful for a final discussion </w:t>
      </w:r>
      <w:r w:rsidR="000E47FC">
        <w:t xml:space="preserve">on whether any of  the differences between the funds version semt.002.001.02 and the </w:t>
      </w:r>
      <w:r w:rsidR="002C58F7">
        <w:t>securities</w:t>
      </w:r>
      <w:r w:rsidR="000E47FC">
        <w:t xml:space="preserve"> version semt.002.001.09 require a change request or can be ignored.</w:t>
      </w:r>
    </w:p>
    <w:p w:rsidR="000E47FC" w:rsidRDefault="000E47FC" w:rsidP="0033039E">
      <w:r>
        <w:t xml:space="preserve">The conclusion at this stage is </w:t>
      </w:r>
      <w:r w:rsidR="002C58F7">
        <w:t>probably</w:t>
      </w:r>
      <w:r>
        <w:t xml:space="preserve"> that the difference</w:t>
      </w:r>
      <w:r w:rsidR="000D275D">
        <w:t>s are</w:t>
      </w:r>
      <w:r>
        <w:t xml:space="preserve"> not important.</w:t>
      </w:r>
    </w:p>
    <w:p w:rsidR="000E47FC" w:rsidRDefault="000E47FC" w:rsidP="0033039E">
      <w:r>
        <w:t>A plan for the investment funds community to drop semt.002.001.02 in favour of adopting the latest version is to be discussed and agreed.</w:t>
      </w:r>
    </w:p>
    <w:p w:rsidR="000D275D" w:rsidRDefault="00044E4B" w:rsidP="0033039E">
      <w:r>
        <w:rPr>
          <w:b/>
        </w:rPr>
        <w:lastRenderedPageBreak/>
        <w:t>STATUS</w:t>
      </w:r>
      <w:r w:rsidRPr="002506B4">
        <w:rPr>
          <w:b/>
        </w:rPr>
        <w:t>:</w:t>
      </w:r>
      <w:r>
        <w:t xml:space="preserve"> </w:t>
      </w:r>
      <w:r w:rsidR="002C58F7">
        <w:t xml:space="preserve">Done. </w:t>
      </w:r>
      <w:r w:rsidR="000E47FC">
        <w:t>The market practice on MyStandards</w:t>
      </w:r>
      <w:r w:rsidR="00E36301">
        <w:t xml:space="preserve"> </w:t>
      </w:r>
      <w:r>
        <w:t xml:space="preserve">and the power-point have been updated. It is still draft, but it has been made public. </w:t>
      </w:r>
      <w:r w:rsidR="000D275D">
        <w:t xml:space="preserve"> </w:t>
      </w:r>
    </w:p>
    <w:p w:rsidR="000E47FC" w:rsidRDefault="00044E4B" w:rsidP="0033039E">
      <w:pPr>
        <w:rPr>
          <w:lang w:val="en"/>
        </w:rPr>
      </w:pPr>
      <w:r>
        <w:t xml:space="preserve">See </w:t>
      </w:r>
      <w:r w:rsidRPr="00044E4B">
        <w:rPr>
          <w:b/>
          <w:i/>
          <w:lang w:val="en"/>
        </w:rPr>
        <w:t>“</w:t>
      </w:r>
      <w:r w:rsidR="00E36301" w:rsidRPr="00044E4B">
        <w:rPr>
          <w:b/>
          <w:i/>
          <w:lang w:val="en"/>
        </w:rPr>
        <w:t>SMPG-Global-IF-Statements-CONSOLIDATED-Draft (2017-0</w:t>
      </w:r>
      <w:r w:rsidRPr="00044E4B">
        <w:rPr>
          <w:b/>
          <w:i/>
          <w:lang w:val="en"/>
        </w:rPr>
        <w:t>5-18</w:t>
      </w:r>
      <w:r w:rsidR="00E36301" w:rsidRPr="00044E4B">
        <w:rPr>
          <w:b/>
          <w:i/>
          <w:lang w:val="en"/>
        </w:rPr>
        <w:t>)</w:t>
      </w:r>
      <w:r w:rsidR="00E36301">
        <w:rPr>
          <w:lang w:val="en"/>
        </w:rPr>
        <w:t>.</w:t>
      </w:r>
    </w:p>
    <w:p w:rsidR="000D275D" w:rsidRDefault="000D275D" w:rsidP="000D275D">
      <w:r>
        <w:rPr>
          <w:b/>
        </w:rPr>
        <w:t>NEXT STEPS:</w:t>
      </w:r>
      <w:r>
        <w:t xml:space="preserve"> At the next monthly meeting, the conclusions are to be reviewed by the SMPG IF and the discussion on when the funds community will adopt the latest version of semt.o002 will be started. </w:t>
      </w:r>
    </w:p>
    <w:p w:rsidR="000E47FC" w:rsidRDefault="000E47FC" w:rsidP="000E47FC">
      <w:pPr>
        <w:pStyle w:val="Heading1"/>
      </w:pPr>
      <w:bookmarkStart w:id="22" w:name="_Toc484589037"/>
      <w:r>
        <w:t>Statement of Transactions</w:t>
      </w:r>
      <w:bookmarkEnd w:id="22"/>
    </w:p>
    <w:tbl>
      <w:tblPr>
        <w:tblStyle w:val="TableGrid"/>
        <w:tblW w:w="0" w:type="auto"/>
        <w:tblInd w:w="720" w:type="dxa"/>
        <w:tblLook w:val="04A0" w:firstRow="1" w:lastRow="0" w:firstColumn="1" w:lastColumn="0" w:noHBand="0" w:noVBand="1"/>
      </w:tblPr>
      <w:tblGrid>
        <w:gridCol w:w="3168"/>
        <w:gridCol w:w="990"/>
        <w:gridCol w:w="3600"/>
        <w:gridCol w:w="1039"/>
      </w:tblGrid>
      <w:tr w:rsidR="000E47FC" w:rsidTr="00661CCF">
        <w:tc>
          <w:tcPr>
            <w:tcW w:w="4158" w:type="dxa"/>
            <w:gridSpan w:val="2"/>
          </w:tcPr>
          <w:p w:rsidR="000E47FC" w:rsidRDefault="000E47FC" w:rsidP="000E47FC">
            <w:pPr>
              <w:pStyle w:val="TableText"/>
              <w:spacing w:before="20" w:after="20"/>
            </w:pPr>
            <w:r>
              <w:t>Funds message</w:t>
            </w:r>
          </w:p>
        </w:tc>
        <w:tc>
          <w:tcPr>
            <w:tcW w:w="4639" w:type="dxa"/>
            <w:gridSpan w:val="2"/>
          </w:tcPr>
          <w:p w:rsidR="000E47FC" w:rsidRDefault="000E47FC" w:rsidP="000E47FC">
            <w:pPr>
              <w:pStyle w:val="TableText"/>
              <w:spacing w:before="20" w:after="20"/>
            </w:pPr>
            <w:r>
              <w:t>Securities message</w:t>
            </w:r>
          </w:p>
        </w:tc>
      </w:tr>
      <w:tr w:rsidR="000E47FC" w:rsidTr="000E47FC">
        <w:tc>
          <w:tcPr>
            <w:tcW w:w="3168" w:type="dxa"/>
          </w:tcPr>
          <w:p w:rsidR="000E47FC" w:rsidRDefault="000E47FC" w:rsidP="000E47FC">
            <w:pPr>
              <w:pStyle w:val="TableText"/>
              <w:spacing w:before="20" w:after="20"/>
            </w:pPr>
            <w:r>
              <w:t xml:space="preserve">Statement of Investment Funds </w:t>
            </w:r>
            <w:r w:rsidR="002C58F7">
              <w:t>Transactions</w:t>
            </w:r>
          </w:p>
        </w:tc>
        <w:tc>
          <w:tcPr>
            <w:tcW w:w="990" w:type="dxa"/>
          </w:tcPr>
          <w:p w:rsidR="000E47FC" w:rsidRDefault="000E47FC" w:rsidP="000E47FC">
            <w:pPr>
              <w:pStyle w:val="TableText"/>
              <w:spacing w:before="20" w:after="20"/>
            </w:pPr>
            <w:r>
              <w:t>Semt.006</w:t>
            </w:r>
          </w:p>
        </w:tc>
        <w:tc>
          <w:tcPr>
            <w:tcW w:w="3600" w:type="dxa"/>
          </w:tcPr>
          <w:p w:rsidR="000E47FC" w:rsidRPr="000E47FC" w:rsidRDefault="000E47FC" w:rsidP="000E47FC">
            <w:pPr>
              <w:pStyle w:val="TableText"/>
              <w:spacing w:before="20" w:after="20"/>
            </w:pPr>
            <w:r w:rsidRPr="000E47FC">
              <w:t xml:space="preserve">Securities Transaction Posting Report </w:t>
            </w:r>
          </w:p>
          <w:p w:rsidR="000E47FC" w:rsidRDefault="000E47FC" w:rsidP="000E47FC">
            <w:pPr>
              <w:pStyle w:val="TableText"/>
              <w:spacing w:before="20" w:after="20"/>
            </w:pPr>
          </w:p>
        </w:tc>
        <w:tc>
          <w:tcPr>
            <w:tcW w:w="1039" w:type="dxa"/>
          </w:tcPr>
          <w:p w:rsidR="000E47FC" w:rsidRDefault="000E47FC" w:rsidP="000E47FC">
            <w:pPr>
              <w:pStyle w:val="TableText"/>
              <w:spacing w:before="20" w:after="20"/>
            </w:pPr>
            <w:r>
              <w:t>Semt.017</w:t>
            </w:r>
          </w:p>
        </w:tc>
      </w:tr>
    </w:tbl>
    <w:p w:rsidR="00044E4B" w:rsidRDefault="00E36301" w:rsidP="00D27AF2">
      <w:r>
        <w:t xml:space="preserve">It was thought that it should be possible for funds to converge with securities and that the use of semt.006 </w:t>
      </w:r>
      <w:r w:rsidR="002C58F7">
        <w:t>could</w:t>
      </w:r>
      <w:r>
        <w:t xml:space="preserve"> be dropped in favour of using semt.017. </w:t>
      </w:r>
    </w:p>
    <w:p w:rsidR="0033039E" w:rsidRDefault="00E36301" w:rsidP="00D27AF2">
      <w:r>
        <w:t xml:space="preserve">Further work needs to be carried out to identify any </w:t>
      </w:r>
      <w:r>
        <w:rPr>
          <w:b/>
        </w:rPr>
        <w:t>real</w:t>
      </w:r>
      <w:r>
        <w:t xml:space="preserve"> differences and for the necessary change reque</w:t>
      </w:r>
      <w:r w:rsidR="00044E4B">
        <w:t>s</w:t>
      </w:r>
      <w:r>
        <w:t xml:space="preserve">ts to be submitted to ISO 20022. </w:t>
      </w:r>
    </w:p>
    <w:p w:rsidR="00044E4B" w:rsidRPr="00044E4B" w:rsidRDefault="00044E4B" w:rsidP="00D27AF2">
      <w:r>
        <w:rPr>
          <w:b/>
        </w:rPr>
        <w:t>STATUS</w:t>
      </w:r>
      <w:r w:rsidRPr="002506B4">
        <w:rPr>
          <w:b/>
        </w:rPr>
        <w:t>:</w:t>
      </w:r>
      <w:r>
        <w:rPr>
          <w:b/>
        </w:rPr>
        <w:t xml:space="preserve"> </w:t>
      </w:r>
      <w:r>
        <w:t>work in progress.</w:t>
      </w:r>
    </w:p>
    <w:p w:rsidR="00AC57A0" w:rsidRDefault="00166E6A" w:rsidP="00AC57A0">
      <w:pPr>
        <w:pStyle w:val="Heading1"/>
      </w:pPr>
      <w:bookmarkStart w:id="23" w:name="_Toc484589038"/>
      <w:r>
        <w:t>Trans</w:t>
      </w:r>
      <w:r w:rsidR="00AC57A0">
        <w:t>fers</w:t>
      </w:r>
      <w:bookmarkEnd w:id="23"/>
    </w:p>
    <w:p w:rsidR="003D056C" w:rsidRDefault="003D056C" w:rsidP="00842813">
      <w:r>
        <w:t>In the past, it had been agreed that rather than ‘reinvent the wheel’. SMPG IF would adopt/base itself on the work of the Findel S</w:t>
      </w:r>
      <w:r w:rsidR="00300C0C">
        <w:t xml:space="preserve">ingle </w:t>
      </w:r>
      <w:r>
        <w:t>L</w:t>
      </w:r>
      <w:r w:rsidR="00300C0C">
        <w:t xml:space="preserve">eg </w:t>
      </w:r>
      <w:r>
        <w:t>T</w:t>
      </w:r>
      <w:r w:rsidR="00300C0C">
        <w:t>rans</w:t>
      </w:r>
      <w:r>
        <w:t xml:space="preserve">fers </w:t>
      </w:r>
      <w:r w:rsidR="00300C0C">
        <w:t xml:space="preserve">(SLT) </w:t>
      </w:r>
      <w:r>
        <w:t xml:space="preserve">group for the publication of an SMPG market practice on </w:t>
      </w:r>
      <w:r w:rsidR="00BE0952">
        <w:t>transfers</w:t>
      </w:r>
      <w:r w:rsidR="00842813">
        <w:t xml:space="preserve"> since several members of the SMPG were also part of the Findel Transfer Working Group.</w:t>
      </w:r>
      <w:r w:rsidR="00AF6E32">
        <w:t xml:space="preserve"> </w:t>
      </w:r>
    </w:p>
    <w:p w:rsidR="00D87DF4" w:rsidRDefault="00D87DF4" w:rsidP="00D87DF4">
      <w:r>
        <w:t>The Findel SLT working group is no longer under the Findel umbrella but is now part of ALMUS (which is a Luxembourg-SWIFT group). Some SMPG members wanted to make sure that even if this SLT working group is under the ALMUS umbrella that non-LU and non-SWIFT-based participants can continue to contribute to the discussions.</w:t>
      </w:r>
    </w:p>
    <w:p w:rsidR="00D87DF4" w:rsidRDefault="00D87DF4" w:rsidP="00842813">
      <w:r>
        <w:t>Some markets have made real progress towards the definition of the process for SLT. Jon Willis presented an approach – contact Jon Wills for a copy of his slides.</w:t>
      </w:r>
    </w:p>
    <w:p w:rsidR="00D87DF4" w:rsidRDefault="002C58F7" w:rsidP="00842813">
      <w:r>
        <w:t>Henrik</w:t>
      </w:r>
      <w:r w:rsidR="00D87DF4">
        <w:t xml:space="preserve"> Staff and </w:t>
      </w:r>
      <w:proofErr w:type="spellStart"/>
      <w:r w:rsidR="00D87DF4">
        <w:t>Krister</w:t>
      </w:r>
      <w:proofErr w:type="spellEnd"/>
      <w:r w:rsidR="00D87DF4">
        <w:t xml:space="preserve"> Lindgren presented the results of market practice work in Sweden (this is very similar to recent (but not published) work in the Findel group). Contact </w:t>
      </w:r>
      <w:r>
        <w:t>Henrik</w:t>
      </w:r>
      <w:r w:rsidR="00D87DF4">
        <w:t xml:space="preserve"> for a copy of the slides.</w:t>
      </w:r>
    </w:p>
    <w:p w:rsidR="00DB3557" w:rsidRDefault="00D87DF4" w:rsidP="00842813">
      <w:r>
        <w:t xml:space="preserve">It was agreed that SMPG should create a market practice. The process should start after the ‘discovery’ and information exchange between the transferor (ceding party) and transferee (acquiring), starting with the instruction to transfer out by the transferor. </w:t>
      </w:r>
      <w:r w:rsidR="00DB3557">
        <w:t xml:space="preserve"> The plan is start with small achievable steps.</w:t>
      </w:r>
    </w:p>
    <w:p w:rsidR="00DB3557" w:rsidRPr="00543220" w:rsidRDefault="00DB3557" w:rsidP="00DB3557">
      <w:r>
        <w:t xml:space="preserve">The work of the Swedish market practice (which overlaps considerably with earlier Findel work) will be taken as the starting point for the SMPG IF work.  The work of the Swedish market practice will ready mid-June 2017 to feed into the SMPG IF work. An SMPG IF ‘process’ document and usage guidelines will be created from this and adapted as necessary (and may incorporate some of the Findel work). When the draft SMPG IF SLT work is ready, the group will </w:t>
      </w:r>
      <w:r>
        <w:lastRenderedPageBreak/>
        <w:t>be asked to familiarise themselves with this work, in preparation for Tuesday 3 October 2017 in Luxembourg.</w:t>
      </w:r>
    </w:p>
    <w:p w:rsidR="007D02A9" w:rsidRDefault="00DB3557" w:rsidP="007D02A9">
      <w:pPr>
        <w:ind w:left="1260" w:hanging="540"/>
      </w:pPr>
      <w:r>
        <w:rPr>
          <w:b/>
        </w:rPr>
        <w:t>STATUS</w:t>
      </w:r>
      <w:r w:rsidRPr="002506B4">
        <w:rPr>
          <w:b/>
        </w:rPr>
        <w:t>:</w:t>
      </w:r>
      <w:r>
        <w:rPr>
          <w:b/>
        </w:rPr>
        <w:t xml:space="preserve"> </w:t>
      </w:r>
      <w:r>
        <w:t>work in progress.</w:t>
      </w:r>
    </w:p>
    <w:p w:rsidR="00DB3557" w:rsidRDefault="00DB3557" w:rsidP="00DB3557">
      <w:pPr>
        <w:rPr>
          <w:rStyle w:val="s2"/>
          <w:rFonts w:asciiTheme="minorHAnsi" w:hAnsiTheme="minorHAnsi"/>
          <w:b/>
          <w:sz w:val="22"/>
          <w:szCs w:val="22"/>
        </w:rPr>
      </w:pPr>
      <w:r>
        <w:rPr>
          <w:b/>
        </w:rPr>
        <w:t>Next Steps:</w:t>
      </w:r>
      <w:r>
        <w:rPr>
          <w:rStyle w:val="s2"/>
          <w:rFonts w:asciiTheme="minorHAnsi" w:hAnsiTheme="minorHAnsi"/>
          <w:b/>
          <w:sz w:val="22"/>
          <w:szCs w:val="22"/>
        </w:rPr>
        <w:t xml:space="preserve"> </w:t>
      </w:r>
      <w:r>
        <w:t>An SMPG IF ‘process’ document and usage guidelines will be created and circulated. The topic is one of the main agenda items for the Luxembourg meeting (which starts on Tuesday 3 October 2017 for the  funds working group.</w:t>
      </w:r>
    </w:p>
    <w:p w:rsidR="003875DD" w:rsidRDefault="003875DD" w:rsidP="003875DD">
      <w:pPr>
        <w:pStyle w:val="Heading1"/>
      </w:pPr>
      <w:bookmarkStart w:id="24" w:name="_Toc484589039"/>
      <w:r>
        <w:t>Application Header v Business Application Header</w:t>
      </w:r>
      <w:bookmarkEnd w:id="24"/>
    </w:p>
    <w:p w:rsidR="00FD05B1" w:rsidRPr="0025316F" w:rsidRDefault="0078193D" w:rsidP="0025316F">
      <w:pPr>
        <w:rPr>
          <w:i/>
          <w:iCs/>
        </w:rPr>
      </w:pPr>
      <w:r w:rsidRPr="0025316F">
        <w:t xml:space="preserve">In the Funds solution it is mandatory to use a header. This is currently the Application Header (AH) </w:t>
      </w:r>
      <w:r w:rsidRPr="0025316F">
        <w:rPr>
          <w:i/>
          <w:iCs/>
        </w:rPr>
        <w:t>($ahV10.xsd).</w:t>
      </w:r>
    </w:p>
    <w:p w:rsidR="0025316F" w:rsidRPr="0025316F" w:rsidRDefault="0025316F" w:rsidP="0025316F">
      <w:r>
        <w:t xml:space="preserve">This header is not ISO approved  (and never will be). The header that should be used is the Business Application Header BAH) </w:t>
      </w:r>
      <w:r w:rsidRPr="0025316F">
        <w:rPr>
          <w:i/>
          <w:iCs/>
        </w:rPr>
        <w:t>(head.001.001.01.xsd)</w:t>
      </w:r>
    </w:p>
    <w:p w:rsidR="00FD05B1" w:rsidRPr="0025316F" w:rsidRDefault="003875DD" w:rsidP="002C58F7">
      <w:pPr>
        <w:pStyle w:val="Normal2"/>
      </w:pPr>
      <w:r w:rsidRPr="0025316F">
        <w:rPr>
          <w:rStyle w:val="s2"/>
          <w:rFonts w:asciiTheme="minorHAnsi" w:hAnsiTheme="minorHAnsi"/>
          <w:sz w:val="22"/>
          <w:szCs w:val="22"/>
        </w:rPr>
        <w:t>In past discussions, it had been though</w:t>
      </w:r>
      <w:r w:rsidR="0025316F" w:rsidRPr="0025316F">
        <w:rPr>
          <w:rStyle w:val="s2"/>
          <w:rFonts w:asciiTheme="minorHAnsi" w:hAnsiTheme="minorHAnsi"/>
          <w:sz w:val="22"/>
          <w:szCs w:val="22"/>
        </w:rPr>
        <w:t xml:space="preserve">t </w:t>
      </w:r>
      <w:r w:rsidRPr="0025316F">
        <w:rPr>
          <w:rStyle w:val="s2"/>
          <w:rFonts w:asciiTheme="minorHAnsi" w:hAnsiTheme="minorHAnsi"/>
          <w:sz w:val="22"/>
          <w:szCs w:val="22"/>
        </w:rPr>
        <w:t xml:space="preserve">that the best approach to support the BAH would be a ‘big bang’, that all investment funds messages (69+) would be updated for the BAH at the same time and in the </w:t>
      </w:r>
      <w:proofErr w:type="spellStart"/>
      <w:r w:rsidRPr="0025316F">
        <w:rPr>
          <w:rStyle w:val="s2"/>
          <w:rFonts w:asciiTheme="minorHAnsi" w:hAnsiTheme="minorHAnsi"/>
          <w:sz w:val="22"/>
          <w:szCs w:val="22"/>
        </w:rPr>
        <w:t>SWIFTNet</w:t>
      </w:r>
      <w:proofErr w:type="spellEnd"/>
      <w:r w:rsidRPr="0025316F">
        <w:rPr>
          <w:rStyle w:val="s2"/>
          <w:rFonts w:asciiTheme="minorHAnsi" w:hAnsiTheme="minorHAnsi"/>
          <w:sz w:val="22"/>
          <w:szCs w:val="22"/>
        </w:rPr>
        <w:t xml:space="preserve"> Funds solution the Application Header would be removed and the Business Header added at the same time.</w:t>
      </w:r>
      <w:r w:rsidR="0025316F" w:rsidRPr="0025316F">
        <w:rPr>
          <w:rStyle w:val="s2"/>
          <w:rFonts w:asciiTheme="minorHAnsi" w:hAnsiTheme="minorHAnsi"/>
          <w:sz w:val="22"/>
          <w:szCs w:val="22"/>
        </w:rPr>
        <w:t xml:space="preserve"> Indeed, one of the group said that </w:t>
      </w:r>
      <w:r w:rsidR="0078193D" w:rsidRPr="0025316F">
        <w:t xml:space="preserve">it could not support both the Application Header </w:t>
      </w:r>
      <w:r w:rsidR="0078193D" w:rsidRPr="0025316F">
        <w:rPr>
          <w:i/>
          <w:iCs/>
        </w:rPr>
        <w:t xml:space="preserve">($ahV10.xsd) </w:t>
      </w:r>
      <w:r w:rsidR="0078193D" w:rsidRPr="0025316F">
        <w:t xml:space="preserve">and the BAH </w:t>
      </w:r>
      <w:r w:rsidR="0078193D" w:rsidRPr="0025316F">
        <w:rPr>
          <w:i/>
          <w:iCs/>
        </w:rPr>
        <w:t xml:space="preserve">(head.001.001.01.xsd) </w:t>
      </w:r>
      <w:r w:rsidR="0078193D" w:rsidRPr="0025316F">
        <w:t>at the same time.</w:t>
      </w:r>
      <w:r w:rsidR="0025316F">
        <w:t xml:space="preserve"> </w:t>
      </w:r>
      <w:r w:rsidR="0078193D" w:rsidRPr="0025316F">
        <w:t xml:space="preserve">It has become apparent that there would never be a maintenance on all the funds messages at the same time </w:t>
      </w:r>
      <w:r w:rsidR="0025316F">
        <w:t xml:space="preserve">as this is just too difficult for </w:t>
      </w:r>
      <w:r w:rsidR="002C58F7">
        <w:t>implementers</w:t>
      </w:r>
      <w:r w:rsidR="0025316F">
        <w:t>.</w:t>
      </w:r>
    </w:p>
    <w:p w:rsidR="00FD05B1" w:rsidRDefault="0025316F" w:rsidP="0025316F">
      <w:r w:rsidRPr="0025316F">
        <w:rPr>
          <w:rStyle w:val="s2"/>
          <w:rFonts w:asciiTheme="minorHAnsi" w:hAnsiTheme="minorHAnsi"/>
          <w:sz w:val="22"/>
          <w:szCs w:val="22"/>
        </w:rPr>
        <w:t>Apparently there is no longer such a</w:t>
      </w:r>
      <w:r w:rsidR="003875DD" w:rsidRPr="0025316F">
        <w:rPr>
          <w:rStyle w:val="s2"/>
          <w:rFonts w:asciiTheme="minorHAnsi" w:hAnsiTheme="minorHAnsi"/>
          <w:sz w:val="22"/>
          <w:szCs w:val="22"/>
        </w:rPr>
        <w:t xml:space="preserve"> constraint on this and therefore it would be possible to use a phase</w:t>
      </w:r>
      <w:r w:rsidRPr="0025316F">
        <w:rPr>
          <w:rStyle w:val="s2"/>
          <w:rFonts w:asciiTheme="minorHAnsi" w:hAnsiTheme="minorHAnsi"/>
          <w:sz w:val="22"/>
          <w:szCs w:val="22"/>
        </w:rPr>
        <w:t>d</w:t>
      </w:r>
      <w:r w:rsidR="003875DD" w:rsidRPr="0025316F">
        <w:rPr>
          <w:rStyle w:val="s2"/>
          <w:rFonts w:asciiTheme="minorHAnsi" w:hAnsiTheme="minorHAnsi"/>
          <w:sz w:val="22"/>
          <w:szCs w:val="22"/>
        </w:rPr>
        <w:t xml:space="preserve"> approach.</w:t>
      </w:r>
      <w:r w:rsidRPr="0025316F">
        <w:rPr>
          <w:rStyle w:val="s2"/>
          <w:rFonts w:asciiTheme="minorHAnsi" w:hAnsiTheme="minorHAnsi"/>
          <w:sz w:val="22"/>
          <w:szCs w:val="22"/>
        </w:rPr>
        <w:t xml:space="preserve"> </w:t>
      </w:r>
      <w:r w:rsidR="0078193D" w:rsidRPr="0025316F">
        <w:t xml:space="preserve">When the next maintenance is done, the messages in scope of the maintenance should be updated for the BAH and the BAH should be used for those specific messages. </w:t>
      </w:r>
    </w:p>
    <w:p w:rsidR="00DC586F" w:rsidRDefault="00DC586F" w:rsidP="00DC586F">
      <w:pPr>
        <w:pStyle w:val="Heading1"/>
      </w:pPr>
      <w:bookmarkStart w:id="25" w:name="_Toc484589040"/>
      <w:r>
        <w:t>Message Statistics</w:t>
      </w:r>
      <w:bookmarkEnd w:id="25"/>
    </w:p>
    <w:p w:rsidR="00DC586F" w:rsidRDefault="00DC586F" w:rsidP="00DC586F">
      <w:r>
        <w:t>The volumes of price report and funds cash f</w:t>
      </w:r>
      <w:r w:rsidR="00A403ED">
        <w:t xml:space="preserve">orecast messages show growth in the </w:t>
      </w:r>
      <w:proofErr w:type="spellStart"/>
      <w:r>
        <w:t>SWIFTNet</w:t>
      </w:r>
      <w:proofErr w:type="spellEnd"/>
      <w:r>
        <w:t xml:space="preserve"> Funds solution. It was pointed out that the</w:t>
      </w:r>
      <w:r w:rsidR="00A403ED">
        <w:t xml:space="preserve"> volumes in the </w:t>
      </w:r>
      <w:proofErr w:type="spellStart"/>
      <w:r w:rsidR="002C58F7">
        <w:t>SWI</w:t>
      </w:r>
      <w:r>
        <w:t>FTNet</w:t>
      </w:r>
      <w:proofErr w:type="spellEnd"/>
      <w:r>
        <w:t xml:space="preserve"> Funds solution are not </w:t>
      </w:r>
      <w:r w:rsidR="002C58F7">
        <w:t>representative</w:t>
      </w:r>
      <w:r>
        <w:t xml:space="preserve"> of actual use. Norway report volumes of price report </w:t>
      </w:r>
      <w:r w:rsidR="00A403ED">
        <w:t xml:space="preserve">messages </w:t>
      </w:r>
      <w:r>
        <w:t>sent to VPS Norway are currently at 400,00 per year.</w:t>
      </w:r>
    </w:p>
    <w:p w:rsidR="00A80F7F" w:rsidRDefault="00A80F7F" w:rsidP="00A80F7F">
      <w:pPr>
        <w:pStyle w:val="Heading1"/>
      </w:pPr>
      <w:bookmarkStart w:id="26" w:name="_Toc484589041"/>
      <w:r>
        <w:t>Working Group Co-chair Positions</w:t>
      </w:r>
      <w:bookmarkEnd w:id="26"/>
    </w:p>
    <w:p w:rsidR="00A80F7F" w:rsidRDefault="00A80F7F" w:rsidP="00A80F7F">
      <w:pPr>
        <w:pStyle w:val="Heading2"/>
      </w:pPr>
      <w:r>
        <w:t>Working Group Co-chair – position 1</w:t>
      </w:r>
    </w:p>
    <w:p w:rsidR="00A80F7F" w:rsidRDefault="00A80F7F" w:rsidP="00A80F7F">
      <w:r>
        <w:t xml:space="preserve">Nadine </w:t>
      </w:r>
      <w:proofErr w:type="spellStart"/>
      <w:r>
        <w:t>Muhigiri</w:t>
      </w:r>
      <w:proofErr w:type="spellEnd"/>
      <w:r>
        <w:t xml:space="preserve"> will be stepping down Spring 2017. This position is filled by Henrik </w:t>
      </w:r>
      <w:proofErr w:type="spellStart"/>
      <w:r>
        <w:t>Staffas</w:t>
      </w:r>
      <w:proofErr w:type="spellEnd"/>
      <w:r>
        <w:t>.</w:t>
      </w:r>
    </w:p>
    <w:p w:rsidR="00A80F7F" w:rsidRDefault="00A80F7F" w:rsidP="00A80F7F">
      <w:pPr>
        <w:pStyle w:val="Heading2"/>
      </w:pPr>
      <w:r>
        <w:t>Working Group Co-chair – position 2</w:t>
      </w:r>
    </w:p>
    <w:p w:rsidR="00A80F7F" w:rsidRDefault="00A80F7F" w:rsidP="00A80F7F">
      <w:r>
        <w:t xml:space="preserve">The position of Charles </w:t>
      </w:r>
      <w:proofErr w:type="spellStart"/>
      <w:r>
        <w:t>Boniver</w:t>
      </w:r>
      <w:proofErr w:type="spellEnd"/>
      <w:r>
        <w:t xml:space="preserve"> still needs to be filled. Charles will continue to cover this role up until a new co-chair is agreed or by Spring 2018, whichever is soonest.</w:t>
      </w:r>
    </w:p>
    <w:p w:rsidR="00A85D84" w:rsidRDefault="00A85D84" w:rsidP="00A85D84">
      <w:pPr>
        <w:pStyle w:val="Heading1"/>
      </w:pPr>
      <w:bookmarkStart w:id="27" w:name="_Toc484589042"/>
      <w:r>
        <w:t>Monthly Meeting Schedule</w:t>
      </w:r>
      <w:bookmarkEnd w:id="27"/>
      <w:r>
        <w:t xml:space="preserve"> </w:t>
      </w:r>
    </w:p>
    <w:p w:rsidR="00A80F7F" w:rsidRPr="00A80F7F" w:rsidRDefault="00A80F7F" w:rsidP="00A80F7F">
      <w:r>
        <w:t>This continues as  third Tuesday of each month at 14:00 Belgium time.</w:t>
      </w:r>
    </w:p>
    <w:p w:rsidR="00566EB9" w:rsidRDefault="00566EB9" w:rsidP="00566EB9">
      <w:pPr>
        <w:pStyle w:val="Heading1"/>
      </w:pPr>
      <w:bookmarkStart w:id="28" w:name="_Toc484589043"/>
      <w:r>
        <w:lastRenderedPageBreak/>
        <w:t>Action Items</w:t>
      </w:r>
      <w:bookmarkEnd w:id="28"/>
    </w:p>
    <w:p w:rsidR="005C187D" w:rsidRPr="005C187D" w:rsidRDefault="005C187D" w:rsidP="005C187D">
      <w:r>
        <w:t>The action items spreadsheet “</w:t>
      </w:r>
      <w:r w:rsidRPr="005C187D">
        <w:t>SMPG-IFWG-Actions Items Tracking_2017-</w:t>
      </w:r>
      <w:r>
        <w:t>mm</w:t>
      </w:r>
      <w:r w:rsidRPr="005C187D">
        <w:t>-</w:t>
      </w:r>
      <w:r>
        <w:t>dd</w:t>
      </w:r>
      <w:r w:rsidRPr="005C187D">
        <w:t>.xlsx</w:t>
      </w:r>
      <w:r>
        <w:t>” has been updated and posted on smpg.info with the meeting minutes.</w:t>
      </w:r>
    </w:p>
    <w:p w:rsidR="001C2870" w:rsidRDefault="001C2870" w:rsidP="001C2870">
      <w:pPr>
        <w:pStyle w:val="Heading1"/>
      </w:pPr>
      <w:bookmarkStart w:id="29" w:name="_Toc484589044"/>
      <w:r>
        <w:t>Priorities</w:t>
      </w:r>
      <w:bookmarkEnd w:id="29"/>
    </w:p>
    <w:p w:rsidR="000703DE" w:rsidRPr="00A80F7F" w:rsidRDefault="000703DE" w:rsidP="00A80F7F">
      <w:r>
        <w:t>Transfers and statements are the next priorities.</w:t>
      </w:r>
    </w:p>
    <w:p w:rsidR="001C2870" w:rsidRPr="005230F8" w:rsidRDefault="001C2870" w:rsidP="00275C35">
      <w:pPr>
        <w:pStyle w:val="Heading1"/>
      </w:pPr>
      <w:bookmarkStart w:id="30" w:name="_Toc484589045"/>
      <w:bookmarkEnd w:id="5"/>
      <w:r w:rsidRPr="005230F8">
        <w:t xml:space="preserve">Business Topics For </w:t>
      </w:r>
      <w:r w:rsidR="00CD18E2">
        <w:t>Autumn</w:t>
      </w:r>
      <w:r w:rsidR="001F5DDC">
        <w:t xml:space="preserve"> </w:t>
      </w:r>
      <w:r>
        <w:t>Meetings</w:t>
      </w:r>
      <w:r w:rsidR="00CD18E2">
        <w:t xml:space="preserve"> - TBC</w:t>
      </w:r>
      <w:bookmarkEnd w:id="30"/>
    </w:p>
    <w:p w:rsidR="001C2870" w:rsidRDefault="00A80F7F" w:rsidP="001C2870">
      <w:r>
        <w:t>This is a proposal.</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4"/>
        <w:gridCol w:w="7560"/>
      </w:tblGrid>
      <w:tr w:rsidR="00A80F7F" w:rsidRPr="001A4434" w:rsidTr="00CD18E2">
        <w:tc>
          <w:tcPr>
            <w:tcW w:w="1114" w:type="dxa"/>
            <w:vMerge w:val="restart"/>
          </w:tcPr>
          <w:p w:rsidR="00A80F7F" w:rsidRDefault="00A80F7F" w:rsidP="001A4434">
            <w:pPr>
              <w:spacing w:before="20" w:after="20"/>
              <w:ind w:left="0"/>
              <w:rPr>
                <w:sz w:val="20"/>
                <w:szCs w:val="20"/>
              </w:rPr>
            </w:pPr>
            <w:r>
              <w:rPr>
                <w:sz w:val="20"/>
                <w:szCs w:val="20"/>
              </w:rPr>
              <w:t>SMPG October meeting</w:t>
            </w:r>
          </w:p>
        </w:tc>
        <w:tc>
          <w:tcPr>
            <w:tcW w:w="7560" w:type="dxa"/>
          </w:tcPr>
          <w:p w:rsidR="00A80F7F" w:rsidRDefault="00A80F7F" w:rsidP="00A80F7F">
            <w:pPr>
              <w:spacing w:before="20" w:after="20"/>
              <w:ind w:left="0"/>
              <w:rPr>
                <w:sz w:val="20"/>
                <w:szCs w:val="20"/>
              </w:rPr>
            </w:pPr>
            <w:r w:rsidRPr="001A4434">
              <w:rPr>
                <w:sz w:val="20"/>
                <w:szCs w:val="20"/>
              </w:rPr>
              <w:t>Transfers market practice</w:t>
            </w:r>
          </w:p>
        </w:tc>
      </w:tr>
      <w:tr w:rsidR="00A80F7F" w:rsidRPr="001A4434" w:rsidTr="00CD18E2">
        <w:tc>
          <w:tcPr>
            <w:tcW w:w="1114" w:type="dxa"/>
            <w:vMerge/>
          </w:tcPr>
          <w:p w:rsidR="00A80F7F" w:rsidRPr="001A4434" w:rsidRDefault="00A80F7F" w:rsidP="001A4434">
            <w:pPr>
              <w:spacing w:before="20" w:after="20"/>
              <w:ind w:left="0"/>
              <w:rPr>
                <w:sz w:val="20"/>
                <w:szCs w:val="20"/>
              </w:rPr>
            </w:pPr>
          </w:p>
        </w:tc>
        <w:tc>
          <w:tcPr>
            <w:tcW w:w="7560" w:type="dxa"/>
          </w:tcPr>
          <w:p w:rsidR="00A80F7F" w:rsidRPr="001A4434" w:rsidRDefault="00A80F7F" w:rsidP="0089060F">
            <w:pPr>
              <w:spacing w:before="20" w:after="20"/>
              <w:ind w:left="0"/>
              <w:rPr>
                <w:sz w:val="20"/>
                <w:szCs w:val="20"/>
              </w:rPr>
            </w:pPr>
            <w:r>
              <w:rPr>
                <w:sz w:val="20"/>
                <w:szCs w:val="20"/>
              </w:rPr>
              <w:t xml:space="preserve">Statement of holdings – adoption of the latest </w:t>
            </w:r>
            <w:r w:rsidR="002C58F7">
              <w:rPr>
                <w:sz w:val="20"/>
                <w:szCs w:val="20"/>
              </w:rPr>
              <w:t>version</w:t>
            </w:r>
            <w:r>
              <w:rPr>
                <w:sz w:val="20"/>
                <w:szCs w:val="20"/>
              </w:rPr>
              <w:t xml:space="preserve"> of semt.002.</w:t>
            </w:r>
          </w:p>
        </w:tc>
      </w:tr>
      <w:tr w:rsidR="00A80F7F" w:rsidRPr="001A4434" w:rsidTr="00CD18E2">
        <w:tc>
          <w:tcPr>
            <w:tcW w:w="1114" w:type="dxa"/>
            <w:vMerge/>
          </w:tcPr>
          <w:p w:rsidR="00A80F7F" w:rsidRPr="001A4434" w:rsidRDefault="00A80F7F" w:rsidP="001A4434">
            <w:pPr>
              <w:spacing w:before="20" w:after="20"/>
              <w:ind w:left="0"/>
              <w:rPr>
                <w:sz w:val="20"/>
                <w:szCs w:val="20"/>
              </w:rPr>
            </w:pPr>
          </w:p>
        </w:tc>
        <w:tc>
          <w:tcPr>
            <w:tcW w:w="7560" w:type="dxa"/>
          </w:tcPr>
          <w:p w:rsidR="00A80F7F" w:rsidRPr="001A4434" w:rsidRDefault="00A80F7F" w:rsidP="0089060F">
            <w:pPr>
              <w:spacing w:before="20" w:after="20"/>
              <w:ind w:left="0"/>
              <w:rPr>
                <w:sz w:val="20"/>
                <w:szCs w:val="20"/>
              </w:rPr>
            </w:pPr>
            <w:r w:rsidRPr="001A4434">
              <w:rPr>
                <w:sz w:val="20"/>
                <w:szCs w:val="20"/>
              </w:rPr>
              <w:t>Statement of Investment Funds Transaction (semt.006) versus Securities Transaction Posting Report (semt.017) and its adoption - progress update</w:t>
            </w:r>
          </w:p>
        </w:tc>
      </w:tr>
      <w:tr w:rsidR="00A80F7F" w:rsidRPr="001A4434" w:rsidTr="00CD18E2">
        <w:tc>
          <w:tcPr>
            <w:tcW w:w="1114" w:type="dxa"/>
            <w:vMerge/>
          </w:tcPr>
          <w:p w:rsidR="00A80F7F" w:rsidRPr="001A4434" w:rsidRDefault="00A80F7F" w:rsidP="001A4434">
            <w:pPr>
              <w:spacing w:before="20" w:after="20"/>
              <w:ind w:left="0"/>
              <w:rPr>
                <w:sz w:val="20"/>
                <w:szCs w:val="20"/>
              </w:rPr>
            </w:pPr>
          </w:p>
        </w:tc>
        <w:tc>
          <w:tcPr>
            <w:tcW w:w="7560" w:type="dxa"/>
          </w:tcPr>
          <w:p w:rsidR="00A80F7F" w:rsidRPr="001A4434" w:rsidRDefault="00A80F7F" w:rsidP="0089060F">
            <w:pPr>
              <w:spacing w:before="20" w:after="20"/>
              <w:ind w:left="0"/>
              <w:rPr>
                <w:sz w:val="20"/>
                <w:szCs w:val="20"/>
              </w:rPr>
            </w:pPr>
            <w:r w:rsidRPr="001A4434">
              <w:rPr>
                <w:sz w:val="20"/>
                <w:szCs w:val="20"/>
              </w:rPr>
              <w:t>Securities Transaction Posting Report (semt.041) – review message usage (use examples from the ISO/</w:t>
            </w:r>
            <w:proofErr w:type="spellStart"/>
            <w:r w:rsidRPr="001A4434">
              <w:rPr>
                <w:sz w:val="20"/>
                <w:szCs w:val="20"/>
              </w:rPr>
              <w:t>SWIFTNet</w:t>
            </w:r>
            <w:proofErr w:type="spellEnd"/>
            <w:r w:rsidRPr="001A4434">
              <w:rPr>
                <w:sz w:val="20"/>
                <w:szCs w:val="20"/>
              </w:rPr>
              <w:t xml:space="preserve"> documentation Message Definition Report (MDR) part 1 as a precursor to creating market practice.</w:t>
            </w:r>
          </w:p>
        </w:tc>
      </w:tr>
    </w:tbl>
    <w:p w:rsidR="00CD18E2" w:rsidRDefault="00CD18E2" w:rsidP="00A80F7F">
      <w:pPr>
        <w:pStyle w:val="Heading1"/>
        <w:numPr>
          <w:ilvl w:val="0"/>
          <w:numId w:val="0"/>
        </w:numPr>
        <w:ind w:left="720" w:hanging="720"/>
      </w:pPr>
    </w:p>
    <w:sectPr w:rsidR="00CD18E2" w:rsidSect="005D0BC3">
      <w:headerReference w:type="default" r:id="rId25"/>
      <w:pgSz w:w="11909" w:h="15840" w:code="9"/>
      <w:pgMar w:top="1021" w:right="1304" w:bottom="1701" w:left="130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D5" w:rsidRDefault="00CE5BD5" w:rsidP="000C37E8">
      <w:r>
        <w:separator/>
      </w:r>
    </w:p>
  </w:endnote>
  <w:endnote w:type="continuationSeparator" w:id="0">
    <w:p w:rsidR="00CE5BD5" w:rsidRDefault="00CE5BD5" w:rsidP="000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Default="00CE5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8211822"/>
      <w:docPartObj>
        <w:docPartGallery w:val="Page Numbers (Bottom of Page)"/>
        <w:docPartUnique/>
      </w:docPartObj>
    </w:sdtPr>
    <w:sdtEndPr>
      <w:rPr>
        <w:noProof/>
      </w:rPr>
    </w:sdtEndPr>
    <w:sdtContent>
      <w:p w:rsidR="00CE5BD5" w:rsidRPr="0073599D" w:rsidRDefault="00CE5BD5" w:rsidP="00E91024">
        <w:pPr>
          <w:pStyle w:val="Footer"/>
          <w:ind w:left="180"/>
          <w:rPr>
            <w:sz w:val="20"/>
            <w:szCs w:val="20"/>
          </w:rPr>
        </w:pPr>
        <w:r w:rsidRPr="0073599D">
          <w:rPr>
            <w:sz w:val="20"/>
            <w:szCs w:val="20"/>
          </w:rPr>
          <w:t xml:space="preserve">SMPG IF WG </w:t>
        </w:r>
        <w:r>
          <w:rPr>
            <w:sz w:val="20"/>
            <w:szCs w:val="20"/>
          </w:rPr>
          <w:t>Spring Meeting 2017 Dublin</w:t>
        </w:r>
        <w:r w:rsidRPr="0073599D">
          <w:rPr>
            <w:sz w:val="20"/>
            <w:szCs w:val="20"/>
          </w:rPr>
          <w:t xml:space="preserve">  </w:t>
        </w:r>
        <w:r>
          <w:rPr>
            <w:sz w:val="20"/>
            <w:szCs w:val="20"/>
          </w:rPr>
          <w:tab/>
        </w:r>
        <w:r w:rsidRPr="0073599D">
          <w:rPr>
            <w:sz w:val="20"/>
            <w:szCs w:val="20"/>
          </w:rPr>
          <w:tab/>
          <w:t xml:space="preserve">Page </w:t>
        </w:r>
        <w:r w:rsidRPr="0073599D">
          <w:rPr>
            <w:sz w:val="20"/>
            <w:szCs w:val="20"/>
          </w:rPr>
          <w:fldChar w:fldCharType="begin"/>
        </w:r>
        <w:r w:rsidRPr="0073599D">
          <w:rPr>
            <w:sz w:val="20"/>
            <w:szCs w:val="20"/>
          </w:rPr>
          <w:instrText xml:space="preserve"> PAGE   \* MERGEFORMAT </w:instrText>
        </w:r>
        <w:r w:rsidRPr="0073599D">
          <w:rPr>
            <w:sz w:val="20"/>
            <w:szCs w:val="20"/>
          </w:rPr>
          <w:fldChar w:fldCharType="separate"/>
        </w:r>
        <w:r w:rsidR="00523F7E">
          <w:rPr>
            <w:noProof/>
            <w:sz w:val="20"/>
            <w:szCs w:val="20"/>
          </w:rPr>
          <w:t>1</w:t>
        </w:r>
        <w:r w:rsidRPr="0073599D">
          <w:rPr>
            <w:noProof/>
            <w:sz w:val="20"/>
            <w:szCs w:val="20"/>
          </w:rPr>
          <w:fldChar w:fldCharType="end"/>
        </w:r>
        <w:r w:rsidRPr="0073599D">
          <w:rPr>
            <w:noProof/>
            <w:sz w:val="20"/>
            <w:szCs w:val="20"/>
          </w:rPr>
          <w:t xml:space="preserve"> of </w:t>
        </w:r>
        <w:r w:rsidRPr="0073599D">
          <w:rPr>
            <w:noProof/>
            <w:sz w:val="20"/>
            <w:szCs w:val="20"/>
          </w:rPr>
          <w:fldChar w:fldCharType="begin"/>
        </w:r>
        <w:r w:rsidRPr="0073599D">
          <w:rPr>
            <w:noProof/>
            <w:sz w:val="20"/>
            <w:szCs w:val="20"/>
          </w:rPr>
          <w:instrText xml:space="preserve"> NUMPAGES   \* MERGEFORMAT </w:instrText>
        </w:r>
        <w:r w:rsidRPr="0073599D">
          <w:rPr>
            <w:noProof/>
            <w:sz w:val="20"/>
            <w:szCs w:val="20"/>
          </w:rPr>
          <w:fldChar w:fldCharType="separate"/>
        </w:r>
        <w:r w:rsidR="00523F7E">
          <w:rPr>
            <w:noProof/>
            <w:sz w:val="20"/>
            <w:szCs w:val="20"/>
          </w:rPr>
          <w:t>27</w:t>
        </w:r>
        <w:r w:rsidRPr="0073599D">
          <w:rPr>
            <w:noProof/>
            <w:sz w:val="20"/>
            <w:szCs w:val="20"/>
          </w:rPr>
          <w:fldChar w:fldCharType="end"/>
        </w:r>
      </w:p>
    </w:sdtContent>
  </w:sdt>
  <w:p w:rsidR="00CE5BD5" w:rsidRPr="003E58AE" w:rsidRDefault="00CE5BD5" w:rsidP="000C3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Default="00CE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D5" w:rsidRDefault="00CE5BD5" w:rsidP="000C37E8">
      <w:r>
        <w:separator/>
      </w:r>
    </w:p>
  </w:footnote>
  <w:footnote w:type="continuationSeparator" w:id="0">
    <w:p w:rsidR="00CE5BD5" w:rsidRDefault="00CE5BD5" w:rsidP="000C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Default="00CE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Default="00CE5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Default="00CE5B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D5" w:rsidRPr="0073599D" w:rsidRDefault="00CE5BD5" w:rsidP="00E91024">
    <w:pPr>
      <w:pStyle w:val="Header"/>
      <w:ind w:left="0"/>
      <w:jc w:val="right"/>
      <w:rPr>
        <w:sz w:val="20"/>
        <w:szCs w:val="20"/>
        <w:lang w:val="pt-BR"/>
      </w:rPr>
    </w:pPr>
    <w:r w:rsidRPr="0073599D">
      <w:rPr>
        <w:sz w:val="20"/>
        <w:szCs w:val="20"/>
      </w:rPr>
      <w:tab/>
    </w:r>
    <w:r w:rsidRPr="0073599D">
      <w:rPr>
        <w:sz w:val="20"/>
        <w:szCs w:val="20"/>
        <w:lang w:val="pt-BR"/>
      </w:rPr>
      <w:t xml:space="preserve">Investment Funds Working Group Minutes </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E5BD5" w:rsidTr="008F15A3">
      <w:trPr>
        <w:cantSplit/>
        <w:trHeight w:hRule="exact" w:val="50"/>
      </w:trPr>
      <w:tc>
        <w:tcPr>
          <w:tcW w:w="9242" w:type="dxa"/>
        </w:tcPr>
        <w:p w:rsidR="00CE5BD5" w:rsidRDefault="00CE5BD5">
          <w:pPr>
            <w:pStyle w:val="Headereveninstrucpages"/>
          </w:pPr>
        </w:p>
      </w:tc>
    </w:tr>
  </w:tbl>
  <w:p w:rsidR="00CE5BD5" w:rsidRDefault="00CE5BD5"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7971B2"/>
    <w:multiLevelType w:val="multilevel"/>
    <w:tmpl w:val="1B666EDC"/>
    <w:lvl w:ilvl="0">
      <w:start w:val="1"/>
      <w:numFmt w:val="decimal"/>
      <w:pStyle w:val="Heading1"/>
      <w:lvlText w:val="%1"/>
      <w:lvlJc w:val="left"/>
      <w:pPr>
        <w:tabs>
          <w:tab w:val="num" w:pos="5184"/>
        </w:tabs>
        <w:ind w:left="5184" w:hanging="1134"/>
      </w:pPr>
      <w:rPr>
        <w:rFonts w:hint="default"/>
      </w:rPr>
    </w:lvl>
    <w:lvl w:ilvl="1">
      <w:start w:val="1"/>
      <w:numFmt w:val="decimal"/>
      <w:pStyle w:val="Heading2"/>
      <w:lvlText w:val="%1.%2"/>
      <w:lvlJc w:val="left"/>
      <w:pPr>
        <w:tabs>
          <w:tab w:val="num" w:pos="1494"/>
        </w:tabs>
        <w:ind w:left="1494" w:hanging="1134"/>
      </w:pPr>
      <w:rPr>
        <w:rFonts w:hint="default"/>
      </w:rPr>
    </w:lvl>
    <w:lvl w:ilvl="2">
      <w:start w:val="1"/>
      <w:numFmt w:val="decimal"/>
      <w:pStyle w:val="Heading3"/>
      <w:lvlText w:val="%1.%2.%3"/>
      <w:lvlJc w:val="left"/>
      <w:pPr>
        <w:tabs>
          <w:tab w:val="num" w:pos="2304"/>
        </w:tabs>
        <w:ind w:left="230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2">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5">
    <w:nsid w:val="35536AD8"/>
    <w:multiLevelType w:val="hybridMultilevel"/>
    <w:tmpl w:val="B6E8705A"/>
    <w:lvl w:ilvl="0" w:tplc="08090001">
      <w:start w:val="1"/>
      <w:numFmt w:val="bullet"/>
      <w:lvlText w:val=""/>
      <w:lvlJc w:val="left"/>
      <w:pPr>
        <w:ind w:left="2700" w:hanging="360"/>
      </w:pPr>
      <w:rPr>
        <w:rFonts w:ascii="Symbol" w:hAnsi="Symbol" w:hint="default"/>
      </w:rPr>
    </w:lvl>
    <w:lvl w:ilvl="1" w:tplc="B6986004">
      <w:numFmt w:val="bullet"/>
      <w:lvlText w:val="•"/>
      <w:lvlJc w:val="left"/>
      <w:pPr>
        <w:ind w:left="3615" w:hanging="555"/>
      </w:pPr>
      <w:rPr>
        <w:rFonts w:ascii="Calibri" w:eastAsia="Times" w:hAnsi="Calibri" w:cs="Calibri"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21">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2">
    <w:nsid w:val="6CE54A25"/>
    <w:multiLevelType w:val="hybridMultilevel"/>
    <w:tmpl w:val="65A6F4A4"/>
    <w:lvl w:ilvl="0" w:tplc="CC58C2EC">
      <w:start w:val="1"/>
      <w:numFmt w:val="bullet"/>
      <w:lvlText w:val="•"/>
      <w:lvlJc w:val="left"/>
      <w:pPr>
        <w:tabs>
          <w:tab w:val="num" w:pos="720"/>
        </w:tabs>
        <w:ind w:left="720" w:hanging="360"/>
      </w:pPr>
      <w:rPr>
        <w:rFonts w:ascii="Arial" w:hAnsi="Arial" w:hint="default"/>
      </w:rPr>
    </w:lvl>
    <w:lvl w:ilvl="1" w:tplc="6F30DBF6" w:tentative="1">
      <w:start w:val="1"/>
      <w:numFmt w:val="bullet"/>
      <w:lvlText w:val="•"/>
      <w:lvlJc w:val="left"/>
      <w:pPr>
        <w:tabs>
          <w:tab w:val="num" w:pos="1440"/>
        </w:tabs>
        <w:ind w:left="1440" w:hanging="360"/>
      </w:pPr>
      <w:rPr>
        <w:rFonts w:ascii="Arial" w:hAnsi="Arial" w:hint="default"/>
      </w:rPr>
    </w:lvl>
    <w:lvl w:ilvl="2" w:tplc="0AACD51C" w:tentative="1">
      <w:start w:val="1"/>
      <w:numFmt w:val="bullet"/>
      <w:lvlText w:val="•"/>
      <w:lvlJc w:val="left"/>
      <w:pPr>
        <w:tabs>
          <w:tab w:val="num" w:pos="2160"/>
        </w:tabs>
        <w:ind w:left="2160" w:hanging="360"/>
      </w:pPr>
      <w:rPr>
        <w:rFonts w:ascii="Arial" w:hAnsi="Arial" w:hint="default"/>
      </w:rPr>
    </w:lvl>
    <w:lvl w:ilvl="3" w:tplc="1110DE20" w:tentative="1">
      <w:start w:val="1"/>
      <w:numFmt w:val="bullet"/>
      <w:lvlText w:val="•"/>
      <w:lvlJc w:val="left"/>
      <w:pPr>
        <w:tabs>
          <w:tab w:val="num" w:pos="2880"/>
        </w:tabs>
        <w:ind w:left="2880" w:hanging="360"/>
      </w:pPr>
      <w:rPr>
        <w:rFonts w:ascii="Arial" w:hAnsi="Arial" w:hint="default"/>
      </w:rPr>
    </w:lvl>
    <w:lvl w:ilvl="4" w:tplc="21AE6FE6" w:tentative="1">
      <w:start w:val="1"/>
      <w:numFmt w:val="bullet"/>
      <w:lvlText w:val="•"/>
      <w:lvlJc w:val="left"/>
      <w:pPr>
        <w:tabs>
          <w:tab w:val="num" w:pos="3600"/>
        </w:tabs>
        <w:ind w:left="3600" w:hanging="360"/>
      </w:pPr>
      <w:rPr>
        <w:rFonts w:ascii="Arial" w:hAnsi="Arial" w:hint="default"/>
      </w:rPr>
    </w:lvl>
    <w:lvl w:ilvl="5" w:tplc="61BCC25E" w:tentative="1">
      <w:start w:val="1"/>
      <w:numFmt w:val="bullet"/>
      <w:lvlText w:val="•"/>
      <w:lvlJc w:val="left"/>
      <w:pPr>
        <w:tabs>
          <w:tab w:val="num" w:pos="4320"/>
        </w:tabs>
        <w:ind w:left="4320" w:hanging="360"/>
      </w:pPr>
      <w:rPr>
        <w:rFonts w:ascii="Arial" w:hAnsi="Arial" w:hint="default"/>
      </w:rPr>
    </w:lvl>
    <w:lvl w:ilvl="6" w:tplc="4B3A3E72" w:tentative="1">
      <w:start w:val="1"/>
      <w:numFmt w:val="bullet"/>
      <w:lvlText w:val="•"/>
      <w:lvlJc w:val="left"/>
      <w:pPr>
        <w:tabs>
          <w:tab w:val="num" w:pos="5040"/>
        </w:tabs>
        <w:ind w:left="5040" w:hanging="360"/>
      </w:pPr>
      <w:rPr>
        <w:rFonts w:ascii="Arial" w:hAnsi="Arial" w:hint="default"/>
      </w:rPr>
    </w:lvl>
    <w:lvl w:ilvl="7" w:tplc="0D026A66" w:tentative="1">
      <w:start w:val="1"/>
      <w:numFmt w:val="bullet"/>
      <w:lvlText w:val="•"/>
      <w:lvlJc w:val="left"/>
      <w:pPr>
        <w:tabs>
          <w:tab w:val="num" w:pos="5760"/>
        </w:tabs>
        <w:ind w:left="5760" w:hanging="360"/>
      </w:pPr>
      <w:rPr>
        <w:rFonts w:ascii="Arial" w:hAnsi="Arial" w:hint="default"/>
      </w:rPr>
    </w:lvl>
    <w:lvl w:ilvl="8" w:tplc="399C6D20" w:tentative="1">
      <w:start w:val="1"/>
      <w:numFmt w:val="bullet"/>
      <w:lvlText w:val="•"/>
      <w:lvlJc w:val="left"/>
      <w:pPr>
        <w:tabs>
          <w:tab w:val="num" w:pos="6480"/>
        </w:tabs>
        <w:ind w:left="6480" w:hanging="360"/>
      </w:pPr>
      <w:rPr>
        <w:rFonts w:ascii="Arial" w:hAnsi="Arial" w:hint="default"/>
      </w:rPr>
    </w:lvl>
  </w:abstractNum>
  <w:abstractNum w:abstractNumId="23">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5">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6">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21"/>
  </w:num>
  <w:num w:numId="3">
    <w:abstractNumId w:val="14"/>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19"/>
  </w:num>
  <w:num w:numId="15">
    <w:abstractNumId w:val="18"/>
  </w:num>
  <w:num w:numId="16">
    <w:abstractNumId w:val="12"/>
  </w:num>
  <w:num w:numId="17">
    <w:abstractNumId w:val="17"/>
  </w:num>
  <w:num w:numId="18">
    <w:abstractNumId w:val="27"/>
  </w:num>
  <w:num w:numId="19">
    <w:abstractNumId w:val="11"/>
  </w:num>
  <w:num w:numId="20">
    <w:abstractNumId w:val="13"/>
  </w:num>
  <w:num w:numId="21">
    <w:abstractNumId w:val="3"/>
  </w:num>
  <w:num w:numId="22">
    <w:abstractNumId w:val="16"/>
  </w:num>
  <w:num w:numId="23">
    <w:abstractNumId w:val="20"/>
  </w:num>
  <w:num w:numId="24">
    <w:abstractNumId w:val="23"/>
  </w:num>
  <w:num w:numId="25">
    <w:abstractNumId w:val="26"/>
  </w:num>
  <w:num w:numId="26">
    <w:abstractNumId w:val="15"/>
  </w:num>
  <w:num w:numId="27">
    <w:abstractNumId w:val="22"/>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8" w:dllVersion="513" w:checkStyle="1"/>
  <w:activeWritingStyle w:appName="MSWord" w:lang="en-US"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65B"/>
    <w:rsid w:val="000018AE"/>
    <w:rsid w:val="0000191D"/>
    <w:rsid w:val="00001AC8"/>
    <w:rsid w:val="00001B89"/>
    <w:rsid w:val="00002508"/>
    <w:rsid w:val="00002EE3"/>
    <w:rsid w:val="00004556"/>
    <w:rsid w:val="000054AD"/>
    <w:rsid w:val="00005DB1"/>
    <w:rsid w:val="0000764E"/>
    <w:rsid w:val="00007E66"/>
    <w:rsid w:val="00010608"/>
    <w:rsid w:val="000106AA"/>
    <w:rsid w:val="00011EAF"/>
    <w:rsid w:val="00012387"/>
    <w:rsid w:val="0001552A"/>
    <w:rsid w:val="00015BCC"/>
    <w:rsid w:val="00017410"/>
    <w:rsid w:val="00021790"/>
    <w:rsid w:val="00022175"/>
    <w:rsid w:val="00022528"/>
    <w:rsid w:val="00022654"/>
    <w:rsid w:val="00025289"/>
    <w:rsid w:val="00025307"/>
    <w:rsid w:val="0002565D"/>
    <w:rsid w:val="00025F0A"/>
    <w:rsid w:val="00026AD3"/>
    <w:rsid w:val="00026E88"/>
    <w:rsid w:val="00027AA8"/>
    <w:rsid w:val="00027AC9"/>
    <w:rsid w:val="00027B10"/>
    <w:rsid w:val="0003053A"/>
    <w:rsid w:val="00030BC2"/>
    <w:rsid w:val="00031059"/>
    <w:rsid w:val="00031AE7"/>
    <w:rsid w:val="00032543"/>
    <w:rsid w:val="00033355"/>
    <w:rsid w:val="000345E8"/>
    <w:rsid w:val="000348FF"/>
    <w:rsid w:val="00034FC2"/>
    <w:rsid w:val="000353A8"/>
    <w:rsid w:val="00035726"/>
    <w:rsid w:val="00037962"/>
    <w:rsid w:val="00037B3A"/>
    <w:rsid w:val="0004007E"/>
    <w:rsid w:val="00040B7D"/>
    <w:rsid w:val="000416AA"/>
    <w:rsid w:val="00042B28"/>
    <w:rsid w:val="00042D6E"/>
    <w:rsid w:val="00043FDC"/>
    <w:rsid w:val="00044BAC"/>
    <w:rsid w:val="00044E4B"/>
    <w:rsid w:val="00046CC5"/>
    <w:rsid w:val="00047552"/>
    <w:rsid w:val="00050122"/>
    <w:rsid w:val="00050400"/>
    <w:rsid w:val="00050F1F"/>
    <w:rsid w:val="0005296D"/>
    <w:rsid w:val="00053CF8"/>
    <w:rsid w:val="000633ED"/>
    <w:rsid w:val="0006398C"/>
    <w:rsid w:val="00063CDC"/>
    <w:rsid w:val="0006664A"/>
    <w:rsid w:val="000670DE"/>
    <w:rsid w:val="00067847"/>
    <w:rsid w:val="000703DE"/>
    <w:rsid w:val="00070B10"/>
    <w:rsid w:val="00070C4D"/>
    <w:rsid w:val="00071606"/>
    <w:rsid w:val="00071FE8"/>
    <w:rsid w:val="00074109"/>
    <w:rsid w:val="0007410B"/>
    <w:rsid w:val="00075361"/>
    <w:rsid w:val="00075BC4"/>
    <w:rsid w:val="0007640E"/>
    <w:rsid w:val="000775D4"/>
    <w:rsid w:val="00080CB4"/>
    <w:rsid w:val="00085E8E"/>
    <w:rsid w:val="00086802"/>
    <w:rsid w:val="0008779A"/>
    <w:rsid w:val="00090231"/>
    <w:rsid w:val="000906F7"/>
    <w:rsid w:val="00091D45"/>
    <w:rsid w:val="00093AAD"/>
    <w:rsid w:val="00093C32"/>
    <w:rsid w:val="00093C79"/>
    <w:rsid w:val="00093F83"/>
    <w:rsid w:val="00095D15"/>
    <w:rsid w:val="00096085"/>
    <w:rsid w:val="0009782C"/>
    <w:rsid w:val="00097D7D"/>
    <w:rsid w:val="000A1167"/>
    <w:rsid w:val="000A1402"/>
    <w:rsid w:val="000A15E5"/>
    <w:rsid w:val="000A1D34"/>
    <w:rsid w:val="000A2910"/>
    <w:rsid w:val="000A3DE9"/>
    <w:rsid w:val="000A4D6D"/>
    <w:rsid w:val="000A5F41"/>
    <w:rsid w:val="000A6454"/>
    <w:rsid w:val="000B015D"/>
    <w:rsid w:val="000B0F50"/>
    <w:rsid w:val="000B10D2"/>
    <w:rsid w:val="000B1881"/>
    <w:rsid w:val="000B3AB0"/>
    <w:rsid w:val="000C0055"/>
    <w:rsid w:val="000C16D5"/>
    <w:rsid w:val="000C3186"/>
    <w:rsid w:val="000C3650"/>
    <w:rsid w:val="000C37E8"/>
    <w:rsid w:val="000C530C"/>
    <w:rsid w:val="000C77D0"/>
    <w:rsid w:val="000D23EE"/>
    <w:rsid w:val="000D275D"/>
    <w:rsid w:val="000D2EA0"/>
    <w:rsid w:val="000D3F1F"/>
    <w:rsid w:val="000D3FDA"/>
    <w:rsid w:val="000D5FC4"/>
    <w:rsid w:val="000D7BF8"/>
    <w:rsid w:val="000E2675"/>
    <w:rsid w:val="000E437B"/>
    <w:rsid w:val="000E47FC"/>
    <w:rsid w:val="000E4BA5"/>
    <w:rsid w:val="000E4E01"/>
    <w:rsid w:val="000E5626"/>
    <w:rsid w:val="000E66A0"/>
    <w:rsid w:val="000E673D"/>
    <w:rsid w:val="000F1529"/>
    <w:rsid w:val="000F2D13"/>
    <w:rsid w:val="000F6459"/>
    <w:rsid w:val="000F67FE"/>
    <w:rsid w:val="000F7583"/>
    <w:rsid w:val="000F7FE0"/>
    <w:rsid w:val="00100ACA"/>
    <w:rsid w:val="001013CF"/>
    <w:rsid w:val="0010237A"/>
    <w:rsid w:val="001048D7"/>
    <w:rsid w:val="00104DCE"/>
    <w:rsid w:val="00105B58"/>
    <w:rsid w:val="00107421"/>
    <w:rsid w:val="0011062C"/>
    <w:rsid w:val="00110747"/>
    <w:rsid w:val="001114C4"/>
    <w:rsid w:val="00117C30"/>
    <w:rsid w:val="0012026C"/>
    <w:rsid w:val="001207BE"/>
    <w:rsid w:val="00123518"/>
    <w:rsid w:val="0012422E"/>
    <w:rsid w:val="001245BA"/>
    <w:rsid w:val="00125CB6"/>
    <w:rsid w:val="00131976"/>
    <w:rsid w:val="001330FE"/>
    <w:rsid w:val="00133F0B"/>
    <w:rsid w:val="001344C0"/>
    <w:rsid w:val="001361C0"/>
    <w:rsid w:val="00137EB4"/>
    <w:rsid w:val="00140528"/>
    <w:rsid w:val="00140A76"/>
    <w:rsid w:val="00147F37"/>
    <w:rsid w:val="0015631A"/>
    <w:rsid w:val="00157433"/>
    <w:rsid w:val="00160991"/>
    <w:rsid w:val="0016109B"/>
    <w:rsid w:val="00162FD0"/>
    <w:rsid w:val="001640B8"/>
    <w:rsid w:val="0016424A"/>
    <w:rsid w:val="001644EF"/>
    <w:rsid w:val="00165005"/>
    <w:rsid w:val="00165712"/>
    <w:rsid w:val="00166E6A"/>
    <w:rsid w:val="001703A8"/>
    <w:rsid w:val="00170F51"/>
    <w:rsid w:val="001729EB"/>
    <w:rsid w:val="00172CE3"/>
    <w:rsid w:val="0017306B"/>
    <w:rsid w:val="0017372E"/>
    <w:rsid w:val="00173B9A"/>
    <w:rsid w:val="001766D8"/>
    <w:rsid w:val="00180458"/>
    <w:rsid w:val="001834B7"/>
    <w:rsid w:val="00183A35"/>
    <w:rsid w:val="00183AFB"/>
    <w:rsid w:val="0018592E"/>
    <w:rsid w:val="00185E71"/>
    <w:rsid w:val="001876E4"/>
    <w:rsid w:val="00190505"/>
    <w:rsid w:val="00190954"/>
    <w:rsid w:val="0019095B"/>
    <w:rsid w:val="00192456"/>
    <w:rsid w:val="0019424E"/>
    <w:rsid w:val="00195758"/>
    <w:rsid w:val="00196A5C"/>
    <w:rsid w:val="00196B7C"/>
    <w:rsid w:val="00197EC5"/>
    <w:rsid w:val="001A275E"/>
    <w:rsid w:val="001A28B5"/>
    <w:rsid w:val="001A383A"/>
    <w:rsid w:val="001A3F87"/>
    <w:rsid w:val="001A4434"/>
    <w:rsid w:val="001A534B"/>
    <w:rsid w:val="001B023B"/>
    <w:rsid w:val="001B07CA"/>
    <w:rsid w:val="001B1D98"/>
    <w:rsid w:val="001B35B8"/>
    <w:rsid w:val="001B5251"/>
    <w:rsid w:val="001B56CF"/>
    <w:rsid w:val="001B6714"/>
    <w:rsid w:val="001B6B99"/>
    <w:rsid w:val="001B70DC"/>
    <w:rsid w:val="001C02F0"/>
    <w:rsid w:val="001C1507"/>
    <w:rsid w:val="001C1ECE"/>
    <w:rsid w:val="001C23B2"/>
    <w:rsid w:val="001C280A"/>
    <w:rsid w:val="001C2870"/>
    <w:rsid w:val="001C5B21"/>
    <w:rsid w:val="001C6F08"/>
    <w:rsid w:val="001C7561"/>
    <w:rsid w:val="001D1C77"/>
    <w:rsid w:val="001D4ED1"/>
    <w:rsid w:val="001D553E"/>
    <w:rsid w:val="001D569A"/>
    <w:rsid w:val="001D7165"/>
    <w:rsid w:val="001E3462"/>
    <w:rsid w:val="001E3726"/>
    <w:rsid w:val="001E3863"/>
    <w:rsid w:val="001E3A66"/>
    <w:rsid w:val="001E3EE4"/>
    <w:rsid w:val="001E405D"/>
    <w:rsid w:val="001E4EAF"/>
    <w:rsid w:val="001E54E4"/>
    <w:rsid w:val="001E5E2C"/>
    <w:rsid w:val="001E670D"/>
    <w:rsid w:val="001E7ECC"/>
    <w:rsid w:val="001F0B75"/>
    <w:rsid w:val="001F140C"/>
    <w:rsid w:val="001F278A"/>
    <w:rsid w:val="001F2FEC"/>
    <w:rsid w:val="001F3010"/>
    <w:rsid w:val="001F424B"/>
    <w:rsid w:val="001F5B47"/>
    <w:rsid w:val="001F5DDC"/>
    <w:rsid w:val="001F6192"/>
    <w:rsid w:val="001F6498"/>
    <w:rsid w:val="001F7E57"/>
    <w:rsid w:val="002005AB"/>
    <w:rsid w:val="00200C0C"/>
    <w:rsid w:val="00200FCC"/>
    <w:rsid w:val="0020181B"/>
    <w:rsid w:val="00201F40"/>
    <w:rsid w:val="00202204"/>
    <w:rsid w:val="00202218"/>
    <w:rsid w:val="002039FD"/>
    <w:rsid w:val="00203EB9"/>
    <w:rsid w:val="0020455A"/>
    <w:rsid w:val="00204C7B"/>
    <w:rsid w:val="00205552"/>
    <w:rsid w:val="00206AC8"/>
    <w:rsid w:val="00207162"/>
    <w:rsid w:val="00210B23"/>
    <w:rsid w:val="002136B8"/>
    <w:rsid w:val="00215351"/>
    <w:rsid w:val="002173B7"/>
    <w:rsid w:val="0021752D"/>
    <w:rsid w:val="0021786C"/>
    <w:rsid w:val="00217DD8"/>
    <w:rsid w:val="002202AD"/>
    <w:rsid w:val="002207E0"/>
    <w:rsid w:val="002207E7"/>
    <w:rsid w:val="0022177F"/>
    <w:rsid w:val="00221C92"/>
    <w:rsid w:val="00222EE6"/>
    <w:rsid w:val="00223B67"/>
    <w:rsid w:val="002240CE"/>
    <w:rsid w:val="00225BC8"/>
    <w:rsid w:val="00225DE5"/>
    <w:rsid w:val="002272C5"/>
    <w:rsid w:val="0022740F"/>
    <w:rsid w:val="00230C83"/>
    <w:rsid w:val="00232752"/>
    <w:rsid w:val="002358E6"/>
    <w:rsid w:val="00235F45"/>
    <w:rsid w:val="0023645B"/>
    <w:rsid w:val="00237847"/>
    <w:rsid w:val="00237BFC"/>
    <w:rsid w:val="00240B9D"/>
    <w:rsid w:val="00240BDB"/>
    <w:rsid w:val="00241336"/>
    <w:rsid w:val="00241D77"/>
    <w:rsid w:val="00242263"/>
    <w:rsid w:val="00243B0F"/>
    <w:rsid w:val="00243E68"/>
    <w:rsid w:val="00244504"/>
    <w:rsid w:val="002446B5"/>
    <w:rsid w:val="00246684"/>
    <w:rsid w:val="00246AF9"/>
    <w:rsid w:val="00246C22"/>
    <w:rsid w:val="002472A4"/>
    <w:rsid w:val="00247C29"/>
    <w:rsid w:val="002506B4"/>
    <w:rsid w:val="002509E5"/>
    <w:rsid w:val="00250D1D"/>
    <w:rsid w:val="00250D2E"/>
    <w:rsid w:val="00251365"/>
    <w:rsid w:val="00251978"/>
    <w:rsid w:val="0025316F"/>
    <w:rsid w:val="002555E2"/>
    <w:rsid w:val="00256B53"/>
    <w:rsid w:val="00256BEE"/>
    <w:rsid w:val="00256D1B"/>
    <w:rsid w:val="002604F0"/>
    <w:rsid w:val="00261A3B"/>
    <w:rsid w:val="00262FA0"/>
    <w:rsid w:val="00263EBD"/>
    <w:rsid w:val="002644E7"/>
    <w:rsid w:val="00266856"/>
    <w:rsid w:val="00266D9F"/>
    <w:rsid w:val="0026730E"/>
    <w:rsid w:val="0026742D"/>
    <w:rsid w:val="00271BA0"/>
    <w:rsid w:val="00271F10"/>
    <w:rsid w:val="002723CE"/>
    <w:rsid w:val="0027357E"/>
    <w:rsid w:val="002739EF"/>
    <w:rsid w:val="00273F9F"/>
    <w:rsid w:val="00275C35"/>
    <w:rsid w:val="00276FCA"/>
    <w:rsid w:val="0027774F"/>
    <w:rsid w:val="00280A70"/>
    <w:rsid w:val="00280B82"/>
    <w:rsid w:val="002811B0"/>
    <w:rsid w:val="002815B1"/>
    <w:rsid w:val="00281D72"/>
    <w:rsid w:val="00282F88"/>
    <w:rsid w:val="00282FC2"/>
    <w:rsid w:val="002847CB"/>
    <w:rsid w:val="00284E33"/>
    <w:rsid w:val="002856F4"/>
    <w:rsid w:val="002867B9"/>
    <w:rsid w:val="00287177"/>
    <w:rsid w:val="00292CD6"/>
    <w:rsid w:val="00293C10"/>
    <w:rsid w:val="0029451C"/>
    <w:rsid w:val="002948BD"/>
    <w:rsid w:val="002A0BEB"/>
    <w:rsid w:val="002A32C6"/>
    <w:rsid w:val="002A36B3"/>
    <w:rsid w:val="002A463A"/>
    <w:rsid w:val="002A46D9"/>
    <w:rsid w:val="002A613D"/>
    <w:rsid w:val="002A6C1D"/>
    <w:rsid w:val="002A755B"/>
    <w:rsid w:val="002A7935"/>
    <w:rsid w:val="002B1CC4"/>
    <w:rsid w:val="002B2737"/>
    <w:rsid w:val="002B2A1B"/>
    <w:rsid w:val="002B48DB"/>
    <w:rsid w:val="002B675E"/>
    <w:rsid w:val="002B67CD"/>
    <w:rsid w:val="002B6C4E"/>
    <w:rsid w:val="002C0102"/>
    <w:rsid w:val="002C2471"/>
    <w:rsid w:val="002C2720"/>
    <w:rsid w:val="002C2A60"/>
    <w:rsid w:val="002C2BE7"/>
    <w:rsid w:val="002C58F7"/>
    <w:rsid w:val="002C5A84"/>
    <w:rsid w:val="002C7D74"/>
    <w:rsid w:val="002C7F72"/>
    <w:rsid w:val="002D061A"/>
    <w:rsid w:val="002D0E51"/>
    <w:rsid w:val="002D1677"/>
    <w:rsid w:val="002D18D0"/>
    <w:rsid w:val="002D26C0"/>
    <w:rsid w:val="002D4D2B"/>
    <w:rsid w:val="002D5A98"/>
    <w:rsid w:val="002D61FC"/>
    <w:rsid w:val="002D672B"/>
    <w:rsid w:val="002E0900"/>
    <w:rsid w:val="002E30AF"/>
    <w:rsid w:val="002E3D1D"/>
    <w:rsid w:val="002E418E"/>
    <w:rsid w:val="002E4358"/>
    <w:rsid w:val="002E553D"/>
    <w:rsid w:val="002E747D"/>
    <w:rsid w:val="002E78D3"/>
    <w:rsid w:val="002E7BC4"/>
    <w:rsid w:val="002F0ECF"/>
    <w:rsid w:val="002F10DD"/>
    <w:rsid w:val="002F14F2"/>
    <w:rsid w:val="002F2D3F"/>
    <w:rsid w:val="002F33A7"/>
    <w:rsid w:val="002F3AD8"/>
    <w:rsid w:val="002F3BA5"/>
    <w:rsid w:val="002F6D51"/>
    <w:rsid w:val="002F70BE"/>
    <w:rsid w:val="003000FE"/>
    <w:rsid w:val="003009FE"/>
    <w:rsid w:val="00300C0C"/>
    <w:rsid w:val="003010DC"/>
    <w:rsid w:val="00301F23"/>
    <w:rsid w:val="003025D4"/>
    <w:rsid w:val="003032A8"/>
    <w:rsid w:val="00303914"/>
    <w:rsid w:val="0030571E"/>
    <w:rsid w:val="0030591A"/>
    <w:rsid w:val="00305E05"/>
    <w:rsid w:val="00306EDE"/>
    <w:rsid w:val="00307BA0"/>
    <w:rsid w:val="00307C19"/>
    <w:rsid w:val="00307F6D"/>
    <w:rsid w:val="003100F4"/>
    <w:rsid w:val="0031155C"/>
    <w:rsid w:val="003134D2"/>
    <w:rsid w:val="00313FFC"/>
    <w:rsid w:val="00314203"/>
    <w:rsid w:val="0031420F"/>
    <w:rsid w:val="00321C1F"/>
    <w:rsid w:val="00323B78"/>
    <w:rsid w:val="003245A3"/>
    <w:rsid w:val="003248CE"/>
    <w:rsid w:val="00324F5F"/>
    <w:rsid w:val="0032539D"/>
    <w:rsid w:val="00325614"/>
    <w:rsid w:val="0033039E"/>
    <w:rsid w:val="00330CA0"/>
    <w:rsid w:val="003330E1"/>
    <w:rsid w:val="0033383F"/>
    <w:rsid w:val="00333B05"/>
    <w:rsid w:val="0033406B"/>
    <w:rsid w:val="00336B34"/>
    <w:rsid w:val="00336ED4"/>
    <w:rsid w:val="0034072D"/>
    <w:rsid w:val="003411DF"/>
    <w:rsid w:val="003457ED"/>
    <w:rsid w:val="00345BAC"/>
    <w:rsid w:val="00345CDE"/>
    <w:rsid w:val="003468E7"/>
    <w:rsid w:val="003474FF"/>
    <w:rsid w:val="00347961"/>
    <w:rsid w:val="00347D62"/>
    <w:rsid w:val="003501D3"/>
    <w:rsid w:val="003501F9"/>
    <w:rsid w:val="00351220"/>
    <w:rsid w:val="00352E09"/>
    <w:rsid w:val="00353850"/>
    <w:rsid w:val="0035486C"/>
    <w:rsid w:val="003570EE"/>
    <w:rsid w:val="0035712F"/>
    <w:rsid w:val="003574AD"/>
    <w:rsid w:val="00357DAF"/>
    <w:rsid w:val="0036065A"/>
    <w:rsid w:val="00360839"/>
    <w:rsid w:val="00362218"/>
    <w:rsid w:val="00362D1B"/>
    <w:rsid w:val="00362FB6"/>
    <w:rsid w:val="00363C13"/>
    <w:rsid w:val="0036477C"/>
    <w:rsid w:val="0036492A"/>
    <w:rsid w:val="00364EFA"/>
    <w:rsid w:val="003653C3"/>
    <w:rsid w:val="00366BC7"/>
    <w:rsid w:val="00367BA7"/>
    <w:rsid w:val="00371083"/>
    <w:rsid w:val="00372530"/>
    <w:rsid w:val="003728CD"/>
    <w:rsid w:val="003729CA"/>
    <w:rsid w:val="00373827"/>
    <w:rsid w:val="003739B1"/>
    <w:rsid w:val="00374A50"/>
    <w:rsid w:val="00374F15"/>
    <w:rsid w:val="00376B38"/>
    <w:rsid w:val="00381204"/>
    <w:rsid w:val="00381BDC"/>
    <w:rsid w:val="00381DE8"/>
    <w:rsid w:val="003820EC"/>
    <w:rsid w:val="00383536"/>
    <w:rsid w:val="003875DD"/>
    <w:rsid w:val="00390C64"/>
    <w:rsid w:val="003910D0"/>
    <w:rsid w:val="00391237"/>
    <w:rsid w:val="00396A01"/>
    <w:rsid w:val="003A0AE4"/>
    <w:rsid w:val="003A1824"/>
    <w:rsid w:val="003A1F43"/>
    <w:rsid w:val="003A253C"/>
    <w:rsid w:val="003A2A43"/>
    <w:rsid w:val="003A38F7"/>
    <w:rsid w:val="003A40EC"/>
    <w:rsid w:val="003A5548"/>
    <w:rsid w:val="003A7434"/>
    <w:rsid w:val="003B029B"/>
    <w:rsid w:val="003B0FA1"/>
    <w:rsid w:val="003B1846"/>
    <w:rsid w:val="003B28EE"/>
    <w:rsid w:val="003B3916"/>
    <w:rsid w:val="003B3B10"/>
    <w:rsid w:val="003B4789"/>
    <w:rsid w:val="003B5C8C"/>
    <w:rsid w:val="003B695B"/>
    <w:rsid w:val="003B6A51"/>
    <w:rsid w:val="003B776E"/>
    <w:rsid w:val="003C15AA"/>
    <w:rsid w:val="003C3408"/>
    <w:rsid w:val="003C4294"/>
    <w:rsid w:val="003C5953"/>
    <w:rsid w:val="003C6A52"/>
    <w:rsid w:val="003C7885"/>
    <w:rsid w:val="003C79F3"/>
    <w:rsid w:val="003C7B94"/>
    <w:rsid w:val="003D056C"/>
    <w:rsid w:val="003D16CA"/>
    <w:rsid w:val="003D54C2"/>
    <w:rsid w:val="003D5C0E"/>
    <w:rsid w:val="003D7590"/>
    <w:rsid w:val="003E3669"/>
    <w:rsid w:val="003E36DE"/>
    <w:rsid w:val="003E4526"/>
    <w:rsid w:val="003E474A"/>
    <w:rsid w:val="003E4C38"/>
    <w:rsid w:val="003E5171"/>
    <w:rsid w:val="003E6CE8"/>
    <w:rsid w:val="003F1544"/>
    <w:rsid w:val="003F2691"/>
    <w:rsid w:val="003F3047"/>
    <w:rsid w:val="003F3383"/>
    <w:rsid w:val="003F4CE9"/>
    <w:rsid w:val="003F5CEB"/>
    <w:rsid w:val="003F6099"/>
    <w:rsid w:val="003F7B11"/>
    <w:rsid w:val="00400887"/>
    <w:rsid w:val="0040411A"/>
    <w:rsid w:val="004044CF"/>
    <w:rsid w:val="00404F55"/>
    <w:rsid w:val="00405438"/>
    <w:rsid w:val="00405E00"/>
    <w:rsid w:val="00406631"/>
    <w:rsid w:val="004070B6"/>
    <w:rsid w:val="00407CD4"/>
    <w:rsid w:val="00407F45"/>
    <w:rsid w:val="00410CEE"/>
    <w:rsid w:val="004126F6"/>
    <w:rsid w:val="00415218"/>
    <w:rsid w:val="00416EB7"/>
    <w:rsid w:val="004173CC"/>
    <w:rsid w:val="0041764B"/>
    <w:rsid w:val="004207D7"/>
    <w:rsid w:val="00420DBA"/>
    <w:rsid w:val="004226B0"/>
    <w:rsid w:val="00423208"/>
    <w:rsid w:val="00424C95"/>
    <w:rsid w:val="0042596A"/>
    <w:rsid w:val="0042620B"/>
    <w:rsid w:val="00426595"/>
    <w:rsid w:val="00427DE3"/>
    <w:rsid w:val="00430315"/>
    <w:rsid w:val="00430EA4"/>
    <w:rsid w:val="00431339"/>
    <w:rsid w:val="00432917"/>
    <w:rsid w:val="00432F27"/>
    <w:rsid w:val="00437C16"/>
    <w:rsid w:val="00440216"/>
    <w:rsid w:val="00440477"/>
    <w:rsid w:val="00441034"/>
    <w:rsid w:val="00442913"/>
    <w:rsid w:val="00443741"/>
    <w:rsid w:val="004445E7"/>
    <w:rsid w:val="004449D1"/>
    <w:rsid w:val="004454E7"/>
    <w:rsid w:val="00445638"/>
    <w:rsid w:val="00445A24"/>
    <w:rsid w:val="00445FA0"/>
    <w:rsid w:val="00447997"/>
    <w:rsid w:val="0045140F"/>
    <w:rsid w:val="00452900"/>
    <w:rsid w:val="0045413D"/>
    <w:rsid w:val="004542CA"/>
    <w:rsid w:val="00455CE0"/>
    <w:rsid w:val="004600DF"/>
    <w:rsid w:val="004608CA"/>
    <w:rsid w:val="00460D26"/>
    <w:rsid w:val="00461E97"/>
    <w:rsid w:val="00462302"/>
    <w:rsid w:val="0046271E"/>
    <w:rsid w:val="00462820"/>
    <w:rsid w:val="00462E9C"/>
    <w:rsid w:val="004633C2"/>
    <w:rsid w:val="00465FA6"/>
    <w:rsid w:val="00467622"/>
    <w:rsid w:val="00470D45"/>
    <w:rsid w:val="00472078"/>
    <w:rsid w:val="00472E54"/>
    <w:rsid w:val="004751B5"/>
    <w:rsid w:val="00475286"/>
    <w:rsid w:val="004756C3"/>
    <w:rsid w:val="0047588E"/>
    <w:rsid w:val="00475D1D"/>
    <w:rsid w:val="00476AF2"/>
    <w:rsid w:val="00480C0A"/>
    <w:rsid w:val="004813B6"/>
    <w:rsid w:val="004816F7"/>
    <w:rsid w:val="00481C0F"/>
    <w:rsid w:val="00481DCB"/>
    <w:rsid w:val="00482E64"/>
    <w:rsid w:val="00484C78"/>
    <w:rsid w:val="00485E19"/>
    <w:rsid w:val="00486CFD"/>
    <w:rsid w:val="004909DE"/>
    <w:rsid w:val="0049122E"/>
    <w:rsid w:val="004918B6"/>
    <w:rsid w:val="00492D44"/>
    <w:rsid w:val="00493141"/>
    <w:rsid w:val="004932C1"/>
    <w:rsid w:val="004937A1"/>
    <w:rsid w:val="00493BE1"/>
    <w:rsid w:val="00493F2F"/>
    <w:rsid w:val="0049568B"/>
    <w:rsid w:val="00496F5D"/>
    <w:rsid w:val="004A04AF"/>
    <w:rsid w:val="004A1464"/>
    <w:rsid w:val="004A1A6E"/>
    <w:rsid w:val="004A20CE"/>
    <w:rsid w:val="004A2DAF"/>
    <w:rsid w:val="004A5404"/>
    <w:rsid w:val="004A7D37"/>
    <w:rsid w:val="004A7F3C"/>
    <w:rsid w:val="004A7F81"/>
    <w:rsid w:val="004B0ADF"/>
    <w:rsid w:val="004B1CBA"/>
    <w:rsid w:val="004B2E2E"/>
    <w:rsid w:val="004B2F1F"/>
    <w:rsid w:val="004B306C"/>
    <w:rsid w:val="004B37B4"/>
    <w:rsid w:val="004B4842"/>
    <w:rsid w:val="004B6255"/>
    <w:rsid w:val="004B6B39"/>
    <w:rsid w:val="004B6E52"/>
    <w:rsid w:val="004B73DE"/>
    <w:rsid w:val="004B78A3"/>
    <w:rsid w:val="004C1988"/>
    <w:rsid w:val="004C24E1"/>
    <w:rsid w:val="004C4B0B"/>
    <w:rsid w:val="004C51B1"/>
    <w:rsid w:val="004C7075"/>
    <w:rsid w:val="004C7108"/>
    <w:rsid w:val="004D0B65"/>
    <w:rsid w:val="004D25DF"/>
    <w:rsid w:val="004D5203"/>
    <w:rsid w:val="004D5898"/>
    <w:rsid w:val="004E00D4"/>
    <w:rsid w:val="004E2775"/>
    <w:rsid w:val="004E2BD9"/>
    <w:rsid w:val="004E35C0"/>
    <w:rsid w:val="004E508A"/>
    <w:rsid w:val="004E5194"/>
    <w:rsid w:val="004F028E"/>
    <w:rsid w:val="004F1770"/>
    <w:rsid w:val="004F3A73"/>
    <w:rsid w:val="004F3EA6"/>
    <w:rsid w:val="004F4D25"/>
    <w:rsid w:val="004F5A7C"/>
    <w:rsid w:val="004F5E5F"/>
    <w:rsid w:val="004F683E"/>
    <w:rsid w:val="004F717E"/>
    <w:rsid w:val="004F7B22"/>
    <w:rsid w:val="004F7F9F"/>
    <w:rsid w:val="0050132A"/>
    <w:rsid w:val="0050332A"/>
    <w:rsid w:val="00503A4A"/>
    <w:rsid w:val="00504C0E"/>
    <w:rsid w:val="00504E2E"/>
    <w:rsid w:val="00505AC7"/>
    <w:rsid w:val="0050738D"/>
    <w:rsid w:val="0051069A"/>
    <w:rsid w:val="00513AFC"/>
    <w:rsid w:val="005158B4"/>
    <w:rsid w:val="00515B5E"/>
    <w:rsid w:val="00516B57"/>
    <w:rsid w:val="005172D2"/>
    <w:rsid w:val="00517AD5"/>
    <w:rsid w:val="00517BD7"/>
    <w:rsid w:val="00520DBF"/>
    <w:rsid w:val="00521FCF"/>
    <w:rsid w:val="005230F8"/>
    <w:rsid w:val="00523F7E"/>
    <w:rsid w:val="005240C4"/>
    <w:rsid w:val="005243D5"/>
    <w:rsid w:val="00526FC2"/>
    <w:rsid w:val="00527BD0"/>
    <w:rsid w:val="00530429"/>
    <w:rsid w:val="005308D9"/>
    <w:rsid w:val="00530C79"/>
    <w:rsid w:val="00536005"/>
    <w:rsid w:val="005362BF"/>
    <w:rsid w:val="0053665D"/>
    <w:rsid w:val="0053737E"/>
    <w:rsid w:val="00540143"/>
    <w:rsid w:val="005405D4"/>
    <w:rsid w:val="005414BF"/>
    <w:rsid w:val="00542BA6"/>
    <w:rsid w:val="00543CAD"/>
    <w:rsid w:val="00546D8D"/>
    <w:rsid w:val="005501C1"/>
    <w:rsid w:val="005524A4"/>
    <w:rsid w:val="0055343F"/>
    <w:rsid w:val="005556AF"/>
    <w:rsid w:val="00560129"/>
    <w:rsid w:val="00561576"/>
    <w:rsid w:val="005627F5"/>
    <w:rsid w:val="00562FF1"/>
    <w:rsid w:val="005633B5"/>
    <w:rsid w:val="00566678"/>
    <w:rsid w:val="00566CED"/>
    <w:rsid w:val="00566EB9"/>
    <w:rsid w:val="005674B6"/>
    <w:rsid w:val="005731E7"/>
    <w:rsid w:val="005732D5"/>
    <w:rsid w:val="00573F4D"/>
    <w:rsid w:val="0057592E"/>
    <w:rsid w:val="00575EF8"/>
    <w:rsid w:val="00576403"/>
    <w:rsid w:val="00577ABF"/>
    <w:rsid w:val="00577E02"/>
    <w:rsid w:val="0058239A"/>
    <w:rsid w:val="00582A31"/>
    <w:rsid w:val="005839E1"/>
    <w:rsid w:val="00584255"/>
    <w:rsid w:val="00585060"/>
    <w:rsid w:val="00585B65"/>
    <w:rsid w:val="0058710E"/>
    <w:rsid w:val="00587518"/>
    <w:rsid w:val="00587F7A"/>
    <w:rsid w:val="005901BC"/>
    <w:rsid w:val="00590B92"/>
    <w:rsid w:val="00591D2F"/>
    <w:rsid w:val="00592C01"/>
    <w:rsid w:val="00593492"/>
    <w:rsid w:val="00594493"/>
    <w:rsid w:val="005944B7"/>
    <w:rsid w:val="00595A4C"/>
    <w:rsid w:val="00596976"/>
    <w:rsid w:val="0059725E"/>
    <w:rsid w:val="00597FCD"/>
    <w:rsid w:val="005A11B7"/>
    <w:rsid w:val="005A1A2B"/>
    <w:rsid w:val="005A1E72"/>
    <w:rsid w:val="005A1FD7"/>
    <w:rsid w:val="005A40F4"/>
    <w:rsid w:val="005A5116"/>
    <w:rsid w:val="005A702F"/>
    <w:rsid w:val="005B0A2A"/>
    <w:rsid w:val="005B1AFE"/>
    <w:rsid w:val="005B264A"/>
    <w:rsid w:val="005B39A5"/>
    <w:rsid w:val="005B5A0D"/>
    <w:rsid w:val="005B5EAE"/>
    <w:rsid w:val="005B7298"/>
    <w:rsid w:val="005C079E"/>
    <w:rsid w:val="005C187D"/>
    <w:rsid w:val="005C3C92"/>
    <w:rsid w:val="005C407A"/>
    <w:rsid w:val="005C4C2A"/>
    <w:rsid w:val="005D090A"/>
    <w:rsid w:val="005D0BC3"/>
    <w:rsid w:val="005D0EDB"/>
    <w:rsid w:val="005D1FEF"/>
    <w:rsid w:val="005D2228"/>
    <w:rsid w:val="005D3724"/>
    <w:rsid w:val="005D6EE8"/>
    <w:rsid w:val="005E10B6"/>
    <w:rsid w:val="005E29C6"/>
    <w:rsid w:val="005E3064"/>
    <w:rsid w:val="005E30EA"/>
    <w:rsid w:val="005E36EC"/>
    <w:rsid w:val="005E5087"/>
    <w:rsid w:val="005E59C1"/>
    <w:rsid w:val="005E6393"/>
    <w:rsid w:val="005E66BF"/>
    <w:rsid w:val="005E6939"/>
    <w:rsid w:val="005F0FBB"/>
    <w:rsid w:val="005F2A35"/>
    <w:rsid w:val="005F433B"/>
    <w:rsid w:val="005F4C3B"/>
    <w:rsid w:val="005F50F4"/>
    <w:rsid w:val="005F5943"/>
    <w:rsid w:val="005F5BB0"/>
    <w:rsid w:val="0060053A"/>
    <w:rsid w:val="006006EA"/>
    <w:rsid w:val="00600FFB"/>
    <w:rsid w:val="00601BAD"/>
    <w:rsid w:val="00601CA1"/>
    <w:rsid w:val="00603143"/>
    <w:rsid w:val="00604AC4"/>
    <w:rsid w:val="00605479"/>
    <w:rsid w:val="00606B15"/>
    <w:rsid w:val="0061046B"/>
    <w:rsid w:val="006118F1"/>
    <w:rsid w:val="00611F4C"/>
    <w:rsid w:val="00612587"/>
    <w:rsid w:val="00612AEB"/>
    <w:rsid w:val="0061510C"/>
    <w:rsid w:val="00616AC3"/>
    <w:rsid w:val="00616E0D"/>
    <w:rsid w:val="00617B2D"/>
    <w:rsid w:val="00617C8E"/>
    <w:rsid w:val="00620A4D"/>
    <w:rsid w:val="00621A75"/>
    <w:rsid w:val="00623218"/>
    <w:rsid w:val="00623BC3"/>
    <w:rsid w:val="00624184"/>
    <w:rsid w:val="00625291"/>
    <w:rsid w:val="00626CCD"/>
    <w:rsid w:val="006278ED"/>
    <w:rsid w:val="00632B27"/>
    <w:rsid w:val="006334EB"/>
    <w:rsid w:val="00633AE6"/>
    <w:rsid w:val="00633D49"/>
    <w:rsid w:val="006350A5"/>
    <w:rsid w:val="0063697A"/>
    <w:rsid w:val="006402D3"/>
    <w:rsid w:val="006463E8"/>
    <w:rsid w:val="00646824"/>
    <w:rsid w:val="00647DBD"/>
    <w:rsid w:val="006503BE"/>
    <w:rsid w:val="00651196"/>
    <w:rsid w:val="0065353C"/>
    <w:rsid w:val="006563CE"/>
    <w:rsid w:val="00656D67"/>
    <w:rsid w:val="006571DA"/>
    <w:rsid w:val="00661526"/>
    <w:rsid w:val="00661CCF"/>
    <w:rsid w:val="00662173"/>
    <w:rsid w:val="00663557"/>
    <w:rsid w:val="00666291"/>
    <w:rsid w:val="00667A04"/>
    <w:rsid w:val="006709FF"/>
    <w:rsid w:val="00670A34"/>
    <w:rsid w:val="00670DE8"/>
    <w:rsid w:val="0067141F"/>
    <w:rsid w:val="00671545"/>
    <w:rsid w:val="006716FD"/>
    <w:rsid w:val="00673030"/>
    <w:rsid w:val="00673863"/>
    <w:rsid w:val="00674C06"/>
    <w:rsid w:val="00675F59"/>
    <w:rsid w:val="00676662"/>
    <w:rsid w:val="006776EC"/>
    <w:rsid w:val="00680EF2"/>
    <w:rsid w:val="0068162B"/>
    <w:rsid w:val="00681861"/>
    <w:rsid w:val="006819E4"/>
    <w:rsid w:val="00682B58"/>
    <w:rsid w:val="00682DD9"/>
    <w:rsid w:val="006853A8"/>
    <w:rsid w:val="00685CCF"/>
    <w:rsid w:val="006864CC"/>
    <w:rsid w:val="00687344"/>
    <w:rsid w:val="006902E4"/>
    <w:rsid w:val="00690B1E"/>
    <w:rsid w:val="00693042"/>
    <w:rsid w:val="0069401B"/>
    <w:rsid w:val="00695F19"/>
    <w:rsid w:val="00696E65"/>
    <w:rsid w:val="00696E8D"/>
    <w:rsid w:val="006A00CC"/>
    <w:rsid w:val="006A1C6A"/>
    <w:rsid w:val="006A33D6"/>
    <w:rsid w:val="006A676B"/>
    <w:rsid w:val="006B1C58"/>
    <w:rsid w:val="006B1E11"/>
    <w:rsid w:val="006B2756"/>
    <w:rsid w:val="006B32DD"/>
    <w:rsid w:val="006B3644"/>
    <w:rsid w:val="006B37FC"/>
    <w:rsid w:val="006B4663"/>
    <w:rsid w:val="006B4815"/>
    <w:rsid w:val="006B6BE6"/>
    <w:rsid w:val="006B76D4"/>
    <w:rsid w:val="006B7888"/>
    <w:rsid w:val="006C20E5"/>
    <w:rsid w:val="006C268B"/>
    <w:rsid w:val="006C54A4"/>
    <w:rsid w:val="006C6663"/>
    <w:rsid w:val="006C6987"/>
    <w:rsid w:val="006D0A4F"/>
    <w:rsid w:val="006D13D0"/>
    <w:rsid w:val="006D18F2"/>
    <w:rsid w:val="006D1A41"/>
    <w:rsid w:val="006D1C11"/>
    <w:rsid w:val="006D2B5A"/>
    <w:rsid w:val="006D4842"/>
    <w:rsid w:val="006D584D"/>
    <w:rsid w:val="006D5ACE"/>
    <w:rsid w:val="006D64DA"/>
    <w:rsid w:val="006D7090"/>
    <w:rsid w:val="006D7340"/>
    <w:rsid w:val="006E086A"/>
    <w:rsid w:val="006E1B82"/>
    <w:rsid w:val="006E2AD7"/>
    <w:rsid w:val="006E3A6E"/>
    <w:rsid w:val="006E4C47"/>
    <w:rsid w:val="006E4C48"/>
    <w:rsid w:val="006E5A4D"/>
    <w:rsid w:val="006E6464"/>
    <w:rsid w:val="006E7B11"/>
    <w:rsid w:val="006F0A55"/>
    <w:rsid w:val="006F13F9"/>
    <w:rsid w:val="006F201D"/>
    <w:rsid w:val="006F2655"/>
    <w:rsid w:val="006F2E00"/>
    <w:rsid w:val="006F3479"/>
    <w:rsid w:val="006F34DD"/>
    <w:rsid w:val="006F3FB9"/>
    <w:rsid w:val="006F63EC"/>
    <w:rsid w:val="006F73DA"/>
    <w:rsid w:val="006F7611"/>
    <w:rsid w:val="007002FE"/>
    <w:rsid w:val="007012E7"/>
    <w:rsid w:val="00701D34"/>
    <w:rsid w:val="00701DA0"/>
    <w:rsid w:val="00702023"/>
    <w:rsid w:val="00704A94"/>
    <w:rsid w:val="007058D7"/>
    <w:rsid w:val="00706662"/>
    <w:rsid w:val="00706995"/>
    <w:rsid w:val="007072E7"/>
    <w:rsid w:val="0071144A"/>
    <w:rsid w:val="00711D2A"/>
    <w:rsid w:val="00712617"/>
    <w:rsid w:val="0071317C"/>
    <w:rsid w:val="007162F9"/>
    <w:rsid w:val="007170E8"/>
    <w:rsid w:val="0072185D"/>
    <w:rsid w:val="00722BFC"/>
    <w:rsid w:val="00722D3C"/>
    <w:rsid w:val="00722E14"/>
    <w:rsid w:val="00723099"/>
    <w:rsid w:val="007243BE"/>
    <w:rsid w:val="00726A0B"/>
    <w:rsid w:val="00726DD7"/>
    <w:rsid w:val="007275D5"/>
    <w:rsid w:val="00727E98"/>
    <w:rsid w:val="007324B3"/>
    <w:rsid w:val="00733386"/>
    <w:rsid w:val="007333E0"/>
    <w:rsid w:val="007340D7"/>
    <w:rsid w:val="0073423E"/>
    <w:rsid w:val="007354F6"/>
    <w:rsid w:val="0073599D"/>
    <w:rsid w:val="007359D3"/>
    <w:rsid w:val="0073697C"/>
    <w:rsid w:val="00737136"/>
    <w:rsid w:val="00737C61"/>
    <w:rsid w:val="00741FD2"/>
    <w:rsid w:val="007420BE"/>
    <w:rsid w:val="00744B09"/>
    <w:rsid w:val="00747951"/>
    <w:rsid w:val="00751423"/>
    <w:rsid w:val="007518D7"/>
    <w:rsid w:val="007520B9"/>
    <w:rsid w:val="00753AA3"/>
    <w:rsid w:val="00753F87"/>
    <w:rsid w:val="00754FC7"/>
    <w:rsid w:val="00756633"/>
    <w:rsid w:val="00757122"/>
    <w:rsid w:val="007572A2"/>
    <w:rsid w:val="00757328"/>
    <w:rsid w:val="00757B92"/>
    <w:rsid w:val="0076027E"/>
    <w:rsid w:val="00760B52"/>
    <w:rsid w:val="00761471"/>
    <w:rsid w:val="00761CAA"/>
    <w:rsid w:val="00761E1A"/>
    <w:rsid w:val="00763716"/>
    <w:rsid w:val="00763A6E"/>
    <w:rsid w:val="00763C3C"/>
    <w:rsid w:val="0076456D"/>
    <w:rsid w:val="007653E8"/>
    <w:rsid w:val="00765AA0"/>
    <w:rsid w:val="00765D37"/>
    <w:rsid w:val="00766590"/>
    <w:rsid w:val="00766BFA"/>
    <w:rsid w:val="00770477"/>
    <w:rsid w:val="007705BA"/>
    <w:rsid w:val="00771737"/>
    <w:rsid w:val="00773D22"/>
    <w:rsid w:val="0077552C"/>
    <w:rsid w:val="00775598"/>
    <w:rsid w:val="00775E06"/>
    <w:rsid w:val="007766C6"/>
    <w:rsid w:val="00777400"/>
    <w:rsid w:val="00777D2A"/>
    <w:rsid w:val="0078157F"/>
    <w:rsid w:val="0078193D"/>
    <w:rsid w:val="0078269D"/>
    <w:rsid w:val="00783A2C"/>
    <w:rsid w:val="0078492A"/>
    <w:rsid w:val="00784D42"/>
    <w:rsid w:val="00786023"/>
    <w:rsid w:val="0078614B"/>
    <w:rsid w:val="00786C08"/>
    <w:rsid w:val="007903E9"/>
    <w:rsid w:val="00790B1E"/>
    <w:rsid w:val="007933E5"/>
    <w:rsid w:val="00794E29"/>
    <w:rsid w:val="007953C5"/>
    <w:rsid w:val="0079666B"/>
    <w:rsid w:val="00797A2E"/>
    <w:rsid w:val="007A093F"/>
    <w:rsid w:val="007A15D2"/>
    <w:rsid w:val="007A1E85"/>
    <w:rsid w:val="007A2E1D"/>
    <w:rsid w:val="007A51C0"/>
    <w:rsid w:val="007A5EB3"/>
    <w:rsid w:val="007A70A3"/>
    <w:rsid w:val="007A7151"/>
    <w:rsid w:val="007A7468"/>
    <w:rsid w:val="007B0627"/>
    <w:rsid w:val="007B36D1"/>
    <w:rsid w:val="007B61B4"/>
    <w:rsid w:val="007B667D"/>
    <w:rsid w:val="007B687B"/>
    <w:rsid w:val="007C00B9"/>
    <w:rsid w:val="007C12BA"/>
    <w:rsid w:val="007C4734"/>
    <w:rsid w:val="007C4BC9"/>
    <w:rsid w:val="007C5053"/>
    <w:rsid w:val="007C5D0D"/>
    <w:rsid w:val="007C7B1D"/>
    <w:rsid w:val="007D02A9"/>
    <w:rsid w:val="007D0B1C"/>
    <w:rsid w:val="007D13D4"/>
    <w:rsid w:val="007D2941"/>
    <w:rsid w:val="007D38DD"/>
    <w:rsid w:val="007D49C3"/>
    <w:rsid w:val="007D7C92"/>
    <w:rsid w:val="007E1A04"/>
    <w:rsid w:val="007E2C9B"/>
    <w:rsid w:val="007E395D"/>
    <w:rsid w:val="007E583B"/>
    <w:rsid w:val="007F1A37"/>
    <w:rsid w:val="007F2A1A"/>
    <w:rsid w:val="007F5104"/>
    <w:rsid w:val="007F5DFB"/>
    <w:rsid w:val="00800C40"/>
    <w:rsid w:val="00801093"/>
    <w:rsid w:val="00802CDA"/>
    <w:rsid w:val="0080476F"/>
    <w:rsid w:val="00805B42"/>
    <w:rsid w:val="00806BF2"/>
    <w:rsid w:val="00807BE8"/>
    <w:rsid w:val="00807C09"/>
    <w:rsid w:val="00807EFE"/>
    <w:rsid w:val="00814EFD"/>
    <w:rsid w:val="00816B6F"/>
    <w:rsid w:val="00817035"/>
    <w:rsid w:val="00817706"/>
    <w:rsid w:val="00817D97"/>
    <w:rsid w:val="00820520"/>
    <w:rsid w:val="008210AA"/>
    <w:rsid w:val="0082134C"/>
    <w:rsid w:val="00822179"/>
    <w:rsid w:val="00823F95"/>
    <w:rsid w:val="0082487E"/>
    <w:rsid w:val="0082523E"/>
    <w:rsid w:val="008328F7"/>
    <w:rsid w:val="00833ECB"/>
    <w:rsid w:val="0083492A"/>
    <w:rsid w:val="0083520C"/>
    <w:rsid w:val="00840144"/>
    <w:rsid w:val="00841ED0"/>
    <w:rsid w:val="008422D0"/>
    <w:rsid w:val="008426F6"/>
    <w:rsid w:val="00842813"/>
    <w:rsid w:val="00843867"/>
    <w:rsid w:val="00844122"/>
    <w:rsid w:val="00844927"/>
    <w:rsid w:val="00845A30"/>
    <w:rsid w:val="00850DB0"/>
    <w:rsid w:val="00850E5A"/>
    <w:rsid w:val="008522DB"/>
    <w:rsid w:val="00853A75"/>
    <w:rsid w:val="00853B75"/>
    <w:rsid w:val="00855762"/>
    <w:rsid w:val="00855B93"/>
    <w:rsid w:val="00855F7B"/>
    <w:rsid w:val="00861AF6"/>
    <w:rsid w:val="008624C7"/>
    <w:rsid w:val="00864311"/>
    <w:rsid w:val="00864B9E"/>
    <w:rsid w:val="00864DAE"/>
    <w:rsid w:val="00866D45"/>
    <w:rsid w:val="0086747D"/>
    <w:rsid w:val="008676A8"/>
    <w:rsid w:val="00867923"/>
    <w:rsid w:val="00867BCC"/>
    <w:rsid w:val="00867FC3"/>
    <w:rsid w:val="0087013A"/>
    <w:rsid w:val="008721B3"/>
    <w:rsid w:val="00872BA1"/>
    <w:rsid w:val="008778B5"/>
    <w:rsid w:val="00877FC6"/>
    <w:rsid w:val="008824F5"/>
    <w:rsid w:val="00882C10"/>
    <w:rsid w:val="0088329F"/>
    <w:rsid w:val="008834A1"/>
    <w:rsid w:val="00883E82"/>
    <w:rsid w:val="008864D9"/>
    <w:rsid w:val="00887512"/>
    <w:rsid w:val="0089060F"/>
    <w:rsid w:val="00890E0D"/>
    <w:rsid w:val="00891B10"/>
    <w:rsid w:val="0089267E"/>
    <w:rsid w:val="008956F2"/>
    <w:rsid w:val="00896B55"/>
    <w:rsid w:val="00896C2D"/>
    <w:rsid w:val="00896C7D"/>
    <w:rsid w:val="008A032D"/>
    <w:rsid w:val="008A1EDA"/>
    <w:rsid w:val="008A2A61"/>
    <w:rsid w:val="008A2ACA"/>
    <w:rsid w:val="008A3651"/>
    <w:rsid w:val="008A5447"/>
    <w:rsid w:val="008A60F9"/>
    <w:rsid w:val="008A615C"/>
    <w:rsid w:val="008A64B1"/>
    <w:rsid w:val="008A6BF7"/>
    <w:rsid w:val="008A7047"/>
    <w:rsid w:val="008A75CF"/>
    <w:rsid w:val="008A7AC3"/>
    <w:rsid w:val="008B0B88"/>
    <w:rsid w:val="008B1993"/>
    <w:rsid w:val="008B3CF8"/>
    <w:rsid w:val="008B44EC"/>
    <w:rsid w:val="008B5DB3"/>
    <w:rsid w:val="008B600D"/>
    <w:rsid w:val="008B718A"/>
    <w:rsid w:val="008B78B6"/>
    <w:rsid w:val="008B7934"/>
    <w:rsid w:val="008B7C89"/>
    <w:rsid w:val="008B7D2C"/>
    <w:rsid w:val="008C045C"/>
    <w:rsid w:val="008C16FB"/>
    <w:rsid w:val="008C1818"/>
    <w:rsid w:val="008C1D74"/>
    <w:rsid w:val="008C36F7"/>
    <w:rsid w:val="008C3F75"/>
    <w:rsid w:val="008C55C8"/>
    <w:rsid w:val="008D49FC"/>
    <w:rsid w:val="008D561D"/>
    <w:rsid w:val="008D5D49"/>
    <w:rsid w:val="008D62F1"/>
    <w:rsid w:val="008E21A9"/>
    <w:rsid w:val="008E29D7"/>
    <w:rsid w:val="008E2B4E"/>
    <w:rsid w:val="008E5B31"/>
    <w:rsid w:val="008E6777"/>
    <w:rsid w:val="008E7964"/>
    <w:rsid w:val="008F15A3"/>
    <w:rsid w:val="008F1878"/>
    <w:rsid w:val="008F2426"/>
    <w:rsid w:val="008F720F"/>
    <w:rsid w:val="008F72B6"/>
    <w:rsid w:val="00900623"/>
    <w:rsid w:val="00900F6B"/>
    <w:rsid w:val="009017FC"/>
    <w:rsid w:val="009022AC"/>
    <w:rsid w:val="0090367F"/>
    <w:rsid w:val="00906F1F"/>
    <w:rsid w:val="0091391D"/>
    <w:rsid w:val="00914595"/>
    <w:rsid w:val="00915205"/>
    <w:rsid w:val="009158C3"/>
    <w:rsid w:val="00915BAF"/>
    <w:rsid w:val="0091773F"/>
    <w:rsid w:val="009177A5"/>
    <w:rsid w:val="00920C62"/>
    <w:rsid w:val="00923C09"/>
    <w:rsid w:val="009240D7"/>
    <w:rsid w:val="00924A10"/>
    <w:rsid w:val="0092643F"/>
    <w:rsid w:val="009264FD"/>
    <w:rsid w:val="00927B97"/>
    <w:rsid w:val="00930D08"/>
    <w:rsid w:val="00932432"/>
    <w:rsid w:val="00934F51"/>
    <w:rsid w:val="0093569E"/>
    <w:rsid w:val="00935ED6"/>
    <w:rsid w:val="00935F9D"/>
    <w:rsid w:val="0093666B"/>
    <w:rsid w:val="00936C15"/>
    <w:rsid w:val="00937197"/>
    <w:rsid w:val="0093746E"/>
    <w:rsid w:val="00937AB0"/>
    <w:rsid w:val="009401D9"/>
    <w:rsid w:val="00941E03"/>
    <w:rsid w:val="009420FB"/>
    <w:rsid w:val="009423D4"/>
    <w:rsid w:val="00944A30"/>
    <w:rsid w:val="00944BD8"/>
    <w:rsid w:val="0094540D"/>
    <w:rsid w:val="009456DC"/>
    <w:rsid w:val="00945B14"/>
    <w:rsid w:val="00945E73"/>
    <w:rsid w:val="009462D4"/>
    <w:rsid w:val="00946353"/>
    <w:rsid w:val="00946F34"/>
    <w:rsid w:val="0095072B"/>
    <w:rsid w:val="00952754"/>
    <w:rsid w:val="009530E5"/>
    <w:rsid w:val="009539B7"/>
    <w:rsid w:val="0095431F"/>
    <w:rsid w:val="009544A7"/>
    <w:rsid w:val="00954BEE"/>
    <w:rsid w:val="00955638"/>
    <w:rsid w:val="00957945"/>
    <w:rsid w:val="00960A6B"/>
    <w:rsid w:val="00962286"/>
    <w:rsid w:val="00967EE1"/>
    <w:rsid w:val="00970DC8"/>
    <w:rsid w:val="00970E17"/>
    <w:rsid w:val="00971C0E"/>
    <w:rsid w:val="00972871"/>
    <w:rsid w:val="00974AA1"/>
    <w:rsid w:val="00975EA8"/>
    <w:rsid w:val="009808FE"/>
    <w:rsid w:val="00981ADD"/>
    <w:rsid w:val="00981BDB"/>
    <w:rsid w:val="00982082"/>
    <w:rsid w:val="009822C9"/>
    <w:rsid w:val="00983D5E"/>
    <w:rsid w:val="00987387"/>
    <w:rsid w:val="00987FBF"/>
    <w:rsid w:val="00990395"/>
    <w:rsid w:val="00991250"/>
    <w:rsid w:val="00991DF0"/>
    <w:rsid w:val="00992272"/>
    <w:rsid w:val="009928B3"/>
    <w:rsid w:val="00992D89"/>
    <w:rsid w:val="0099388A"/>
    <w:rsid w:val="0099708C"/>
    <w:rsid w:val="009A0BF3"/>
    <w:rsid w:val="009A2EAB"/>
    <w:rsid w:val="009A3C17"/>
    <w:rsid w:val="009A4636"/>
    <w:rsid w:val="009A6344"/>
    <w:rsid w:val="009A66A8"/>
    <w:rsid w:val="009A6B8D"/>
    <w:rsid w:val="009B00E6"/>
    <w:rsid w:val="009B1812"/>
    <w:rsid w:val="009B233A"/>
    <w:rsid w:val="009B3C56"/>
    <w:rsid w:val="009B69B9"/>
    <w:rsid w:val="009B7070"/>
    <w:rsid w:val="009B7229"/>
    <w:rsid w:val="009B731D"/>
    <w:rsid w:val="009B7747"/>
    <w:rsid w:val="009B790F"/>
    <w:rsid w:val="009C0CFA"/>
    <w:rsid w:val="009C186B"/>
    <w:rsid w:val="009C198F"/>
    <w:rsid w:val="009C22CD"/>
    <w:rsid w:val="009C2901"/>
    <w:rsid w:val="009C3882"/>
    <w:rsid w:val="009C7F54"/>
    <w:rsid w:val="009C7FD6"/>
    <w:rsid w:val="009D1817"/>
    <w:rsid w:val="009D23B9"/>
    <w:rsid w:val="009D3701"/>
    <w:rsid w:val="009D7EC7"/>
    <w:rsid w:val="009E1DF1"/>
    <w:rsid w:val="009E32E3"/>
    <w:rsid w:val="009E399D"/>
    <w:rsid w:val="009E433B"/>
    <w:rsid w:val="009E4445"/>
    <w:rsid w:val="009E4D25"/>
    <w:rsid w:val="009E552A"/>
    <w:rsid w:val="009E5DDB"/>
    <w:rsid w:val="009E62BE"/>
    <w:rsid w:val="009F07A6"/>
    <w:rsid w:val="009F34C4"/>
    <w:rsid w:val="009F3C5C"/>
    <w:rsid w:val="009F4165"/>
    <w:rsid w:val="009F520D"/>
    <w:rsid w:val="009F672C"/>
    <w:rsid w:val="009F7EC9"/>
    <w:rsid w:val="00A0016F"/>
    <w:rsid w:val="00A011A3"/>
    <w:rsid w:val="00A06DC5"/>
    <w:rsid w:val="00A07107"/>
    <w:rsid w:val="00A07A45"/>
    <w:rsid w:val="00A11330"/>
    <w:rsid w:val="00A11818"/>
    <w:rsid w:val="00A12679"/>
    <w:rsid w:val="00A13209"/>
    <w:rsid w:val="00A13C61"/>
    <w:rsid w:val="00A145AC"/>
    <w:rsid w:val="00A1729A"/>
    <w:rsid w:val="00A17587"/>
    <w:rsid w:val="00A20330"/>
    <w:rsid w:val="00A204C0"/>
    <w:rsid w:val="00A222C4"/>
    <w:rsid w:val="00A2482C"/>
    <w:rsid w:val="00A24FF6"/>
    <w:rsid w:val="00A30845"/>
    <w:rsid w:val="00A3151E"/>
    <w:rsid w:val="00A31B0E"/>
    <w:rsid w:val="00A327F0"/>
    <w:rsid w:val="00A37F60"/>
    <w:rsid w:val="00A403ED"/>
    <w:rsid w:val="00A40A2C"/>
    <w:rsid w:val="00A421CC"/>
    <w:rsid w:val="00A42BB2"/>
    <w:rsid w:val="00A444E1"/>
    <w:rsid w:val="00A45E56"/>
    <w:rsid w:val="00A47C7E"/>
    <w:rsid w:val="00A47D35"/>
    <w:rsid w:val="00A5068A"/>
    <w:rsid w:val="00A50793"/>
    <w:rsid w:val="00A51A1F"/>
    <w:rsid w:val="00A52123"/>
    <w:rsid w:val="00A524A8"/>
    <w:rsid w:val="00A53497"/>
    <w:rsid w:val="00A5393C"/>
    <w:rsid w:val="00A551E4"/>
    <w:rsid w:val="00A55975"/>
    <w:rsid w:val="00A570C8"/>
    <w:rsid w:val="00A577A7"/>
    <w:rsid w:val="00A57E4A"/>
    <w:rsid w:val="00A6004D"/>
    <w:rsid w:val="00A60514"/>
    <w:rsid w:val="00A607AA"/>
    <w:rsid w:val="00A60AE6"/>
    <w:rsid w:val="00A622E9"/>
    <w:rsid w:val="00A6339C"/>
    <w:rsid w:val="00A64F07"/>
    <w:rsid w:val="00A65086"/>
    <w:rsid w:val="00A65F05"/>
    <w:rsid w:val="00A66281"/>
    <w:rsid w:val="00A664CD"/>
    <w:rsid w:val="00A66C17"/>
    <w:rsid w:val="00A67FDB"/>
    <w:rsid w:val="00A70858"/>
    <w:rsid w:val="00A71578"/>
    <w:rsid w:val="00A71A00"/>
    <w:rsid w:val="00A71D2B"/>
    <w:rsid w:val="00A74DCF"/>
    <w:rsid w:val="00A74E35"/>
    <w:rsid w:val="00A757F9"/>
    <w:rsid w:val="00A75B3B"/>
    <w:rsid w:val="00A76405"/>
    <w:rsid w:val="00A7655C"/>
    <w:rsid w:val="00A80E78"/>
    <w:rsid w:val="00A80F7F"/>
    <w:rsid w:val="00A81D37"/>
    <w:rsid w:val="00A85D84"/>
    <w:rsid w:val="00A861A7"/>
    <w:rsid w:val="00A900BF"/>
    <w:rsid w:val="00A90444"/>
    <w:rsid w:val="00A9044F"/>
    <w:rsid w:val="00A91C7F"/>
    <w:rsid w:val="00A91EA0"/>
    <w:rsid w:val="00A92973"/>
    <w:rsid w:val="00A92B92"/>
    <w:rsid w:val="00A93222"/>
    <w:rsid w:val="00A94AF8"/>
    <w:rsid w:val="00A94FFA"/>
    <w:rsid w:val="00A95162"/>
    <w:rsid w:val="00A9519A"/>
    <w:rsid w:val="00A96017"/>
    <w:rsid w:val="00A97EE9"/>
    <w:rsid w:val="00AA09BB"/>
    <w:rsid w:val="00AA2705"/>
    <w:rsid w:val="00AA2D3E"/>
    <w:rsid w:val="00AA4B3B"/>
    <w:rsid w:val="00AA665D"/>
    <w:rsid w:val="00AA6CDC"/>
    <w:rsid w:val="00AA6F86"/>
    <w:rsid w:val="00AB0C62"/>
    <w:rsid w:val="00AB2406"/>
    <w:rsid w:val="00AB29E3"/>
    <w:rsid w:val="00AB3B80"/>
    <w:rsid w:val="00AB4C9F"/>
    <w:rsid w:val="00AB564A"/>
    <w:rsid w:val="00AB6EA3"/>
    <w:rsid w:val="00AB752D"/>
    <w:rsid w:val="00AB7AC3"/>
    <w:rsid w:val="00AB7C7E"/>
    <w:rsid w:val="00AC0BF4"/>
    <w:rsid w:val="00AC0EDF"/>
    <w:rsid w:val="00AC117C"/>
    <w:rsid w:val="00AC3434"/>
    <w:rsid w:val="00AC57A0"/>
    <w:rsid w:val="00AC6E83"/>
    <w:rsid w:val="00AD0071"/>
    <w:rsid w:val="00AD1573"/>
    <w:rsid w:val="00AD17A9"/>
    <w:rsid w:val="00AD1C0F"/>
    <w:rsid w:val="00AD3FF5"/>
    <w:rsid w:val="00AD69E0"/>
    <w:rsid w:val="00AE2AB2"/>
    <w:rsid w:val="00AE4AF9"/>
    <w:rsid w:val="00AE6D85"/>
    <w:rsid w:val="00AE75AC"/>
    <w:rsid w:val="00AE7A2F"/>
    <w:rsid w:val="00AE7B8B"/>
    <w:rsid w:val="00AF0144"/>
    <w:rsid w:val="00AF0450"/>
    <w:rsid w:val="00AF28ED"/>
    <w:rsid w:val="00AF2D24"/>
    <w:rsid w:val="00AF35C4"/>
    <w:rsid w:val="00AF379F"/>
    <w:rsid w:val="00AF6E32"/>
    <w:rsid w:val="00AF750D"/>
    <w:rsid w:val="00AF7FC0"/>
    <w:rsid w:val="00B003E3"/>
    <w:rsid w:val="00B01F7F"/>
    <w:rsid w:val="00B028B6"/>
    <w:rsid w:val="00B069FF"/>
    <w:rsid w:val="00B11021"/>
    <w:rsid w:val="00B1188A"/>
    <w:rsid w:val="00B12046"/>
    <w:rsid w:val="00B13C43"/>
    <w:rsid w:val="00B1406C"/>
    <w:rsid w:val="00B147B7"/>
    <w:rsid w:val="00B1676A"/>
    <w:rsid w:val="00B17815"/>
    <w:rsid w:val="00B20278"/>
    <w:rsid w:val="00B20C12"/>
    <w:rsid w:val="00B21277"/>
    <w:rsid w:val="00B216AD"/>
    <w:rsid w:val="00B22A25"/>
    <w:rsid w:val="00B2345C"/>
    <w:rsid w:val="00B26455"/>
    <w:rsid w:val="00B26B6C"/>
    <w:rsid w:val="00B27049"/>
    <w:rsid w:val="00B278E1"/>
    <w:rsid w:val="00B329AF"/>
    <w:rsid w:val="00B34090"/>
    <w:rsid w:val="00B34E86"/>
    <w:rsid w:val="00B3536B"/>
    <w:rsid w:val="00B35902"/>
    <w:rsid w:val="00B3644A"/>
    <w:rsid w:val="00B36D0D"/>
    <w:rsid w:val="00B373C9"/>
    <w:rsid w:val="00B408F7"/>
    <w:rsid w:val="00B40D1A"/>
    <w:rsid w:val="00B415AD"/>
    <w:rsid w:val="00B423A5"/>
    <w:rsid w:val="00B42C79"/>
    <w:rsid w:val="00B4320D"/>
    <w:rsid w:val="00B4339A"/>
    <w:rsid w:val="00B43F5F"/>
    <w:rsid w:val="00B45735"/>
    <w:rsid w:val="00B46D31"/>
    <w:rsid w:val="00B4779F"/>
    <w:rsid w:val="00B477F7"/>
    <w:rsid w:val="00B50E2D"/>
    <w:rsid w:val="00B52338"/>
    <w:rsid w:val="00B5361E"/>
    <w:rsid w:val="00B5377B"/>
    <w:rsid w:val="00B54D58"/>
    <w:rsid w:val="00B57306"/>
    <w:rsid w:val="00B57F42"/>
    <w:rsid w:val="00B62587"/>
    <w:rsid w:val="00B6331B"/>
    <w:rsid w:val="00B642E7"/>
    <w:rsid w:val="00B64325"/>
    <w:rsid w:val="00B715DD"/>
    <w:rsid w:val="00B72471"/>
    <w:rsid w:val="00B72A17"/>
    <w:rsid w:val="00B72BAB"/>
    <w:rsid w:val="00B73EAF"/>
    <w:rsid w:val="00B75165"/>
    <w:rsid w:val="00B75C6C"/>
    <w:rsid w:val="00B76F56"/>
    <w:rsid w:val="00B80940"/>
    <w:rsid w:val="00B80F5B"/>
    <w:rsid w:val="00B816BE"/>
    <w:rsid w:val="00B825EE"/>
    <w:rsid w:val="00B83134"/>
    <w:rsid w:val="00B84464"/>
    <w:rsid w:val="00B84A23"/>
    <w:rsid w:val="00B85D30"/>
    <w:rsid w:val="00B86CCF"/>
    <w:rsid w:val="00B86FA6"/>
    <w:rsid w:val="00B90DD8"/>
    <w:rsid w:val="00B91AE5"/>
    <w:rsid w:val="00B91C29"/>
    <w:rsid w:val="00B92BC4"/>
    <w:rsid w:val="00B937C3"/>
    <w:rsid w:val="00B93E87"/>
    <w:rsid w:val="00B9423A"/>
    <w:rsid w:val="00B96664"/>
    <w:rsid w:val="00B97C1B"/>
    <w:rsid w:val="00BA18DA"/>
    <w:rsid w:val="00BA1A64"/>
    <w:rsid w:val="00BA25BA"/>
    <w:rsid w:val="00BA3BCC"/>
    <w:rsid w:val="00BA4FA7"/>
    <w:rsid w:val="00BA6B69"/>
    <w:rsid w:val="00BA7B43"/>
    <w:rsid w:val="00BB1915"/>
    <w:rsid w:val="00BB2113"/>
    <w:rsid w:val="00BB3079"/>
    <w:rsid w:val="00BB492D"/>
    <w:rsid w:val="00BB69A0"/>
    <w:rsid w:val="00BC0163"/>
    <w:rsid w:val="00BC2715"/>
    <w:rsid w:val="00BC276B"/>
    <w:rsid w:val="00BC4255"/>
    <w:rsid w:val="00BC6362"/>
    <w:rsid w:val="00BC6895"/>
    <w:rsid w:val="00BC6A3A"/>
    <w:rsid w:val="00BC7B34"/>
    <w:rsid w:val="00BD04C6"/>
    <w:rsid w:val="00BD13BB"/>
    <w:rsid w:val="00BD26F8"/>
    <w:rsid w:val="00BD278A"/>
    <w:rsid w:val="00BD2DE4"/>
    <w:rsid w:val="00BD4A38"/>
    <w:rsid w:val="00BD5076"/>
    <w:rsid w:val="00BD58A9"/>
    <w:rsid w:val="00BD5C81"/>
    <w:rsid w:val="00BD6920"/>
    <w:rsid w:val="00BD6B5C"/>
    <w:rsid w:val="00BE0952"/>
    <w:rsid w:val="00BE1713"/>
    <w:rsid w:val="00BE30FC"/>
    <w:rsid w:val="00BE50A6"/>
    <w:rsid w:val="00BE5EB1"/>
    <w:rsid w:val="00BE6BFF"/>
    <w:rsid w:val="00BE7691"/>
    <w:rsid w:val="00BE78CF"/>
    <w:rsid w:val="00BE7E4A"/>
    <w:rsid w:val="00BF1838"/>
    <w:rsid w:val="00BF19DB"/>
    <w:rsid w:val="00BF287C"/>
    <w:rsid w:val="00BF2C6C"/>
    <w:rsid w:val="00BF2DB1"/>
    <w:rsid w:val="00BF2EAE"/>
    <w:rsid w:val="00BF64D4"/>
    <w:rsid w:val="00BF72E6"/>
    <w:rsid w:val="00BF7801"/>
    <w:rsid w:val="00C000C7"/>
    <w:rsid w:val="00C0061A"/>
    <w:rsid w:val="00C00A32"/>
    <w:rsid w:val="00C015CA"/>
    <w:rsid w:val="00C021DE"/>
    <w:rsid w:val="00C04DF9"/>
    <w:rsid w:val="00C050ED"/>
    <w:rsid w:val="00C107CC"/>
    <w:rsid w:val="00C108FD"/>
    <w:rsid w:val="00C10E2B"/>
    <w:rsid w:val="00C11466"/>
    <w:rsid w:val="00C1262C"/>
    <w:rsid w:val="00C12BF4"/>
    <w:rsid w:val="00C13C6B"/>
    <w:rsid w:val="00C142C9"/>
    <w:rsid w:val="00C17D7A"/>
    <w:rsid w:val="00C17E51"/>
    <w:rsid w:val="00C20877"/>
    <w:rsid w:val="00C21A79"/>
    <w:rsid w:val="00C221C1"/>
    <w:rsid w:val="00C22215"/>
    <w:rsid w:val="00C22E64"/>
    <w:rsid w:val="00C2366E"/>
    <w:rsid w:val="00C23D2F"/>
    <w:rsid w:val="00C268D5"/>
    <w:rsid w:val="00C26A89"/>
    <w:rsid w:val="00C27D3B"/>
    <w:rsid w:val="00C27D8A"/>
    <w:rsid w:val="00C303D0"/>
    <w:rsid w:val="00C304F9"/>
    <w:rsid w:val="00C31B59"/>
    <w:rsid w:val="00C31DA8"/>
    <w:rsid w:val="00C35063"/>
    <w:rsid w:val="00C37A42"/>
    <w:rsid w:val="00C37A50"/>
    <w:rsid w:val="00C447E4"/>
    <w:rsid w:val="00C4531A"/>
    <w:rsid w:val="00C45A13"/>
    <w:rsid w:val="00C45EC9"/>
    <w:rsid w:val="00C46637"/>
    <w:rsid w:val="00C5002C"/>
    <w:rsid w:val="00C506F4"/>
    <w:rsid w:val="00C51FA2"/>
    <w:rsid w:val="00C52362"/>
    <w:rsid w:val="00C52794"/>
    <w:rsid w:val="00C536AC"/>
    <w:rsid w:val="00C53A46"/>
    <w:rsid w:val="00C55DEF"/>
    <w:rsid w:val="00C563FD"/>
    <w:rsid w:val="00C57687"/>
    <w:rsid w:val="00C578C7"/>
    <w:rsid w:val="00C61528"/>
    <w:rsid w:val="00C61F75"/>
    <w:rsid w:val="00C61FD7"/>
    <w:rsid w:val="00C62B00"/>
    <w:rsid w:val="00C6331F"/>
    <w:rsid w:val="00C64C54"/>
    <w:rsid w:val="00C653A3"/>
    <w:rsid w:val="00C6555B"/>
    <w:rsid w:val="00C657B5"/>
    <w:rsid w:val="00C65997"/>
    <w:rsid w:val="00C66044"/>
    <w:rsid w:val="00C67E7E"/>
    <w:rsid w:val="00C702F6"/>
    <w:rsid w:val="00C72934"/>
    <w:rsid w:val="00C72996"/>
    <w:rsid w:val="00C74223"/>
    <w:rsid w:val="00C7446C"/>
    <w:rsid w:val="00C76BAC"/>
    <w:rsid w:val="00C77425"/>
    <w:rsid w:val="00C77C4E"/>
    <w:rsid w:val="00C77FD1"/>
    <w:rsid w:val="00C80707"/>
    <w:rsid w:val="00C80B37"/>
    <w:rsid w:val="00C81C0F"/>
    <w:rsid w:val="00C81DC8"/>
    <w:rsid w:val="00C8215F"/>
    <w:rsid w:val="00C84A94"/>
    <w:rsid w:val="00C86288"/>
    <w:rsid w:val="00C8653B"/>
    <w:rsid w:val="00C870DE"/>
    <w:rsid w:val="00C875A8"/>
    <w:rsid w:val="00C95CE6"/>
    <w:rsid w:val="00C95D9F"/>
    <w:rsid w:val="00C96A49"/>
    <w:rsid w:val="00C9764D"/>
    <w:rsid w:val="00CA0DEB"/>
    <w:rsid w:val="00CA0DF6"/>
    <w:rsid w:val="00CA5089"/>
    <w:rsid w:val="00CA5F75"/>
    <w:rsid w:val="00CA71D0"/>
    <w:rsid w:val="00CB18FD"/>
    <w:rsid w:val="00CB1DD1"/>
    <w:rsid w:val="00CB2162"/>
    <w:rsid w:val="00CB32D0"/>
    <w:rsid w:val="00CB47D9"/>
    <w:rsid w:val="00CB6AAD"/>
    <w:rsid w:val="00CB6E09"/>
    <w:rsid w:val="00CB74F3"/>
    <w:rsid w:val="00CB78A9"/>
    <w:rsid w:val="00CC076B"/>
    <w:rsid w:val="00CC08B1"/>
    <w:rsid w:val="00CC5004"/>
    <w:rsid w:val="00CC597C"/>
    <w:rsid w:val="00CC6A9D"/>
    <w:rsid w:val="00CD0505"/>
    <w:rsid w:val="00CD0A58"/>
    <w:rsid w:val="00CD18E2"/>
    <w:rsid w:val="00CD5B96"/>
    <w:rsid w:val="00CD7BC7"/>
    <w:rsid w:val="00CD7D2C"/>
    <w:rsid w:val="00CD7ED5"/>
    <w:rsid w:val="00CE01FE"/>
    <w:rsid w:val="00CE06AE"/>
    <w:rsid w:val="00CE1136"/>
    <w:rsid w:val="00CE19E2"/>
    <w:rsid w:val="00CE1CB1"/>
    <w:rsid w:val="00CE29F4"/>
    <w:rsid w:val="00CE3C91"/>
    <w:rsid w:val="00CE3F3E"/>
    <w:rsid w:val="00CE4527"/>
    <w:rsid w:val="00CE52CC"/>
    <w:rsid w:val="00CE5BD5"/>
    <w:rsid w:val="00CE72F3"/>
    <w:rsid w:val="00CE7368"/>
    <w:rsid w:val="00CF160D"/>
    <w:rsid w:val="00CF1861"/>
    <w:rsid w:val="00CF38B6"/>
    <w:rsid w:val="00D02F14"/>
    <w:rsid w:val="00D04AA4"/>
    <w:rsid w:val="00D0782B"/>
    <w:rsid w:val="00D07AAA"/>
    <w:rsid w:val="00D07C43"/>
    <w:rsid w:val="00D105F9"/>
    <w:rsid w:val="00D1169D"/>
    <w:rsid w:val="00D120E7"/>
    <w:rsid w:val="00D12167"/>
    <w:rsid w:val="00D15115"/>
    <w:rsid w:val="00D15F92"/>
    <w:rsid w:val="00D21398"/>
    <w:rsid w:val="00D22F48"/>
    <w:rsid w:val="00D232E4"/>
    <w:rsid w:val="00D2568F"/>
    <w:rsid w:val="00D2611F"/>
    <w:rsid w:val="00D2676F"/>
    <w:rsid w:val="00D27908"/>
    <w:rsid w:val="00D27AF2"/>
    <w:rsid w:val="00D3019A"/>
    <w:rsid w:val="00D30E9D"/>
    <w:rsid w:val="00D324BE"/>
    <w:rsid w:val="00D33CDE"/>
    <w:rsid w:val="00D34C83"/>
    <w:rsid w:val="00D37953"/>
    <w:rsid w:val="00D40CFF"/>
    <w:rsid w:val="00D41978"/>
    <w:rsid w:val="00D42088"/>
    <w:rsid w:val="00D42CD3"/>
    <w:rsid w:val="00D43545"/>
    <w:rsid w:val="00D43DBF"/>
    <w:rsid w:val="00D43DC3"/>
    <w:rsid w:val="00D44D3F"/>
    <w:rsid w:val="00D45CE7"/>
    <w:rsid w:val="00D46B59"/>
    <w:rsid w:val="00D47A1C"/>
    <w:rsid w:val="00D47FF3"/>
    <w:rsid w:val="00D5175B"/>
    <w:rsid w:val="00D5196A"/>
    <w:rsid w:val="00D51D33"/>
    <w:rsid w:val="00D523B8"/>
    <w:rsid w:val="00D524AA"/>
    <w:rsid w:val="00D53134"/>
    <w:rsid w:val="00D5365E"/>
    <w:rsid w:val="00D553F4"/>
    <w:rsid w:val="00D55597"/>
    <w:rsid w:val="00D5567E"/>
    <w:rsid w:val="00D558BA"/>
    <w:rsid w:val="00D55E4D"/>
    <w:rsid w:val="00D560F2"/>
    <w:rsid w:val="00D6161D"/>
    <w:rsid w:val="00D617E4"/>
    <w:rsid w:val="00D61A12"/>
    <w:rsid w:val="00D63D2D"/>
    <w:rsid w:val="00D64A9A"/>
    <w:rsid w:val="00D6612D"/>
    <w:rsid w:val="00D664ED"/>
    <w:rsid w:val="00D66925"/>
    <w:rsid w:val="00D67D4F"/>
    <w:rsid w:val="00D7103A"/>
    <w:rsid w:val="00D757FE"/>
    <w:rsid w:val="00D75CD1"/>
    <w:rsid w:val="00D75FF7"/>
    <w:rsid w:val="00D763CF"/>
    <w:rsid w:val="00D803D5"/>
    <w:rsid w:val="00D81825"/>
    <w:rsid w:val="00D81C39"/>
    <w:rsid w:val="00D81C8F"/>
    <w:rsid w:val="00D81FE1"/>
    <w:rsid w:val="00D8289F"/>
    <w:rsid w:val="00D831E4"/>
    <w:rsid w:val="00D84D8D"/>
    <w:rsid w:val="00D87C25"/>
    <w:rsid w:val="00D87DF4"/>
    <w:rsid w:val="00D9002C"/>
    <w:rsid w:val="00D90981"/>
    <w:rsid w:val="00D90A4D"/>
    <w:rsid w:val="00D9144D"/>
    <w:rsid w:val="00D92AD6"/>
    <w:rsid w:val="00D93CAE"/>
    <w:rsid w:val="00D94114"/>
    <w:rsid w:val="00D9412E"/>
    <w:rsid w:val="00D941B4"/>
    <w:rsid w:val="00D94ABC"/>
    <w:rsid w:val="00D95F05"/>
    <w:rsid w:val="00D96A41"/>
    <w:rsid w:val="00D96C13"/>
    <w:rsid w:val="00D97B6D"/>
    <w:rsid w:val="00DA00AF"/>
    <w:rsid w:val="00DA0155"/>
    <w:rsid w:val="00DA1825"/>
    <w:rsid w:val="00DA3FB1"/>
    <w:rsid w:val="00DA5BBA"/>
    <w:rsid w:val="00DA5F03"/>
    <w:rsid w:val="00DA7757"/>
    <w:rsid w:val="00DB0385"/>
    <w:rsid w:val="00DB0483"/>
    <w:rsid w:val="00DB1860"/>
    <w:rsid w:val="00DB1AF3"/>
    <w:rsid w:val="00DB25E1"/>
    <w:rsid w:val="00DB2B78"/>
    <w:rsid w:val="00DB3557"/>
    <w:rsid w:val="00DB4641"/>
    <w:rsid w:val="00DB46CD"/>
    <w:rsid w:val="00DB5184"/>
    <w:rsid w:val="00DB5AF7"/>
    <w:rsid w:val="00DB6931"/>
    <w:rsid w:val="00DC0B45"/>
    <w:rsid w:val="00DC4560"/>
    <w:rsid w:val="00DC586F"/>
    <w:rsid w:val="00DC593E"/>
    <w:rsid w:val="00DC7D81"/>
    <w:rsid w:val="00DC7E17"/>
    <w:rsid w:val="00DD3313"/>
    <w:rsid w:val="00DD496E"/>
    <w:rsid w:val="00DD62CC"/>
    <w:rsid w:val="00DE3174"/>
    <w:rsid w:val="00DE3C7E"/>
    <w:rsid w:val="00DE48C3"/>
    <w:rsid w:val="00DE4A03"/>
    <w:rsid w:val="00DE5553"/>
    <w:rsid w:val="00DE5676"/>
    <w:rsid w:val="00DE61BB"/>
    <w:rsid w:val="00DF1D40"/>
    <w:rsid w:val="00DF2CFE"/>
    <w:rsid w:val="00DF2E28"/>
    <w:rsid w:val="00DF540F"/>
    <w:rsid w:val="00DF64DF"/>
    <w:rsid w:val="00DF7E9B"/>
    <w:rsid w:val="00E00A30"/>
    <w:rsid w:val="00E01E01"/>
    <w:rsid w:val="00E06116"/>
    <w:rsid w:val="00E065F8"/>
    <w:rsid w:val="00E06927"/>
    <w:rsid w:val="00E06BF7"/>
    <w:rsid w:val="00E0775B"/>
    <w:rsid w:val="00E1045F"/>
    <w:rsid w:val="00E108E1"/>
    <w:rsid w:val="00E128B5"/>
    <w:rsid w:val="00E12F4F"/>
    <w:rsid w:val="00E13737"/>
    <w:rsid w:val="00E14F35"/>
    <w:rsid w:val="00E16503"/>
    <w:rsid w:val="00E17FCD"/>
    <w:rsid w:val="00E2151E"/>
    <w:rsid w:val="00E21D43"/>
    <w:rsid w:val="00E22645"/>
    <w:rsid w:val="00E22C3E"/>
    <w:rsid w:val="00E238D9"/>
    <w:rsid w:val="00E2425F"/>
    <w:rsid w:val="00E253B9"/>
    <w:rsid w:val="00E26643"/>
    <w:rsid w:val="00E274B1"/>
    <w:rsid w:val="00E30148"/>
    <w:rsid w:val="00E312EA"/>
    <w:rsid w:val="00E31330"/>
    <w:rsid w:val="00E32DF2"/>
    <w:rsid w:val="00E331A5"/>
    <w:rsid w:val="00E339BC"/>
    <w:rsid w:val="00E35AF2"/>
    <w:rsid w:val="00E36226"/>
    <w:rsid w:val="00E36301"/>
    <w:rsid w:val="00E367F9"/>
    <w:rsid w:val="00E37DE4"/>
    <w:rsid w:val="00E41C88"/>
    <w:rsid w:val="00E42455"/>
    <w:rsid w:val="00E43A1C"/>
    <w:rsid w:val="00E44F6D"/>
    <w:rsid w:val="00E45F51"/>
    <w:rsid w:val="00E46DA5"/>
    <w:rsid w:val="00E4708D"/>
    <w:rsid w:val="00E5005E"/>
    <w:rsid w:val="00E51EF1"/>
    <w:rsid w:val="00E52E0F"/>
    <w:rsid w:val="00E53CC2"/>
    <w:rsid w:val="00E54815"/>
    <w:rsid w:val="00E553C3"/>
    <w:rsid w:val="00E5681E"/>
    <w:rsid w:val="00E572C5"/>
    <w:rsid w:val="00E57C77"/>
    <w:rsid w:val="00E6264E"/>
    <w:rsid w:val="00E62B26"/>
    <w:rsid w:val="00E63BDB"/>
    <w:rsid w:val="00E63F38"/>
    <w:rsid w:val="00E63F4F"/>
    <w:rsid w:val="00E64091"/>
    <w:rsid w:val="00E6441D"/>
    <w:rsid w:val="00E6554C"/>
    <w:rsid w:val="00E65E6C"/>
    <w:rsid w:val="00E66462"/>
    <w:rsid w:val="00E678B2"/>
    <w:rsid w:val="00E67A66"/>
    <w:rsid w:val="00E67BCD"/>
    <w:rsid w:val="00E67D08"/>
    <w:rsid w:val="00E70120"/>
    <w:rsid w:val="00E70995"/>
    <w:rsid w:val="00E721B9"/>
    <w:rsid w:val="00E72F3B"/>
    <w:rsid w:val="00E7323A"/>
    <w:rsid w:val="00E74CE8"/>
    <w:rsid w:val="00E75CF1"/>
    <w:rsid w:val="00E77072"/>
    <w:rsid w:val="00E77886"/>
    <w:rsid w:val="00E81B30"/>
    <w:rsid w:val="00E81C72"/>
    <w:rsid w:val="00E82360"/>
    <w:rsid w:val="00E839C4"/>
    <w:rsid w:val="00E83F45"/>
    <w:rsid w:val="00E83FC8"/>
    <w:rsid w:val="00E83FD8"/>
    <w:rsid w:val="00E84441"/>
    <w:rsid w:val="00E84B16"/>
    <w:rsid w:val="00E84B50"/>
    <w:rsid w:val="00E85076"/>
    <w:rsid w:val="00E85686"/>
    <w:rsid w:val="00E873DA"/>
    <w:rsid w:val="00E874D6"/>
    <w:rsid w:val="00E91024"/>
    <w:rsid w:val="00E92F3F"/>
    <w:rsid w:val="00E94BFA"/>
    <w:rsid w:val="00E94D59"/>
    <w:rsid w:val="00E955A7"/>
    <w:rsid w:val="00E95BBF"/>
    <w:rsid w:val="00E967A4"/>
    <w:rsid w:val="00E96F3E"/>
    <w:rsid w:val="00EA02C3"/>
    <w:rsid w:val="00EA20EC"/>
    <w:rsid w:val="00EA31AE"/>
    <w:rsid w:val="00EA50B0"/>
    <w:rsid w:val="00EB037E"/>
    <w:rsid w:val="00EB107D"/>
    <w:rsid w:val="00EB3CC7"/>
    <w:rsid w:val="00EB404B"/>
    <w:rsid w:val="00EB5A0C"/>
    <w:rsid w:val="00EB633D"/>
    <w:rsid w:val="00EB7363"/>
    <w:rsid w:val="00EB769F"/>
    <w:rsid w:val="00EB772A"/>
    <w:rsid w:val="00EC0566"/>
    <w:rsid w:val="00EC124E"/>
    <w:rsid w:val="00EC28C4"/>
    <w:rsid w:val="00EC30C0"/>
    <w:rsid w:val="00EC3C78"/>
    <w:rsid w:val="00EC40FA"/>
    <w:rsid w:val="00EC53AC"/>
    <w:rsid w:val="00EC5525"/>
    <w:rsid w:val="00EC5B7E"/>
    <w:rsid w:val="00EC671A"/>
    <w:rsid w:val="00EC714D"/>
    <w:rsid w:val="00EC7E38"/>
    <w:rsid w:val="00EC7F9C"/>
    <w:rsid w:val="00ED0BE8"/>
    <w:rsid w:val="00ED3275"/>
    <w:rsid w:val="00ED3852"/>
    <w:rsid w:val="00ED3936"/>
    <w:rsid w:val="00ED3F1B"/>
    <w:rsid w:val="00ED4BA0"/>
    <w:rsid w:val="00ED5BA8"/>
    <w:rsid w:val="00ED6AE7"/>
    <w:rsid w:val="00ED7D67"/>
    <w:rsid w:val="00EE01CA"/>
    <w:rsid w:val="00EE06EF"/>
    <w:rsid w:val="00EE13C5"/>
    <w:rsid w:val="00EE14E9"/>
    <w:rsid w:val="00EE1F18"/>
    <w:rsid w:val="00EE27A9"/>
    <w:rsid w:val="00EE2986"/>
    <w:rsid w:val="00EE35F8"/>
    <w:rsid w:val="00EE3697"/>
    <w:rsid w:val="00EE3F96"/>
    <w:rsid w:val="00EE4419"/>
    <w:rsid w:val="00EE5EBB"/>
    <w:rsid w:val="00EE6417"/>
    <w:rsid w:val="00EF0999"/>
    <w:rsid w:val="00EF0C84"/>
    <w:rsid w:val="00EF0EE5"/>
    <w:rsid w:val="00EF215E"/>
    <w:rsid w:val="00EF2508"/>
    <w:rsid w:val="00EF34F0"/>
    <w:rsid w:val="00EF3CB5"/>
    <w:rsid w:val="00EF53DB"/>
    <w:rsid w:val="00EF6AB2"/>
    <w:rsid w:val="00EF71A1"/>
    <w:rsid w:val="00F003C4"/>
    <w:rsid w:val="00F00755"/>
    <w:rsid w:val="00F00930"/>
    <w:rsid w:val="00F0247D"/>
    <w:rsid w:val="00F024FC"/>
    <w:rsid w:val="00F0361A"/>
    <w:rsid w:val="00F042FE"/>
    <w:rsid w:val="00F045FD"/>
    <w:rsid w:val="00F05FF6"/>
    <w:rsid w:val="00F10977"/>
    <w:rsid w:val="00F11C27"/>
    <w:rsid w:val="00F1278B"/>
    <w:rsid w:val="00F12CC7"/>
    <w:rsid w:val="00F144AD"/>
    <w:rsid w:val="00F14EC4"/>
    <w:rsid w:val="00F150ED"/>
    <w:rsid w:val="00F155B3"/>
    <w:rsid w:val="00F15E61"/>
    <w:rsid w:val="00F17109"/>
    <w:rsid w:val="00F201C4"/>
    <w:rsid w:val="00F24A1C"/>
    <w:rsid w:val="00F24D83"/>
    <w:rsid w:val="00F259C7"/>
    <w:rsid w:val="00F25A65"/>
    <w:rsid w:val="00F2674B"/>
    <w:rsid w:val="00F27724"/>
    <w:rsid w:val="00F30273"/>
    <w:rsid w:val="00F30BB8"/>
    <w:rsid w:val="00F30E99"/>
    <w:rsid w:val="00F310DF"/>
    <w:rsid w:val="00F314EC"/>
    <w:rsid w:val="00F31EF6"/>
    <w:rsid w:val="00F32AD5"/>
    <w:rsid w:val="00F3345A"/>
    <w:rsid w:val="00F340FA"/>
    <w:rsid w:val="00F35804"/>
    <w:rsid w:val="00F358D2"/>
    <w:rsid w:val="00F35B0E"/>
    <w:rsid w:val="00F400F1"/>
    <w:rsid w:val="00F405A1"/>
    <w:rsid w:val="00F40A43"/>
    <w:rsid w:val="00F423E3"/>
    <w:rsid w:val="00F433D3"/>
    <w:rsid w:val="00F44567"/>
    <w:rsid w:val="00F462E3"/>
    <w:rsid w:val="00F47F7A"/>
    <w:rsid w:val="00F514E4"/>
    <w:rsid w:val="00F532B8"/>
    <w:rsid w:val="00F549CC"/>
    <w:rsid w:val="00F54D51"/>
    <w:rsid w:val="00F569FE"/>
    <w:rsid w:val="00F60469"/>
    <w:rsid w:val="00F6149B"/>
    <w:rsid w:val="00F61D58"/>
    <w:rsid w:val="00F62FF1"/>
    <w:rsid w:val="00F63F13"/>
    <w:rsid w:val="00F64CA1"/>
    <w:rsid w:val="00F66A35"/>
    <w:rsid w:val="00F70BAD"/>
    <w:rsid w:val="00F729CC"/>
    <w:rsid w:val="00F73268"/>
    <w:rsid w:val="00F74299"/>
    <w:rsid w:val="00F743FD"/>
    <w:rsid w:val="00F74892"/>
    <w:rsid w:val="00F74C2B"/>
    <w:rsid w:val="00F74CAC"/>
    <w:rsid w:val="00F76659"/>
    <w:rsid w:val="00F80206"/>
    <w:rsid w:val="00F81E21"/>
    <w:rsid w:val="00F83B23"/>
    <w:rsid w:val="00F842ED"/>
    <w:rsid w:val="00F84AC3"/>
    <w:rsid w:val="00F84C89"/>
    <w:rsid w:val="00F85F2F"/>
    <w:rsid w:val="00F873B2"/>
    <w:rsid w:val="00F90FC8"/>
    <w:rsid w:val="00F94234"/>
    <w:rsid w:val="00F9593F"/>
    <w:rsid w:val="00F96C1D"/>
    <w:rsid w:val="00F97B56"/>
    <w:rsid w:val="00FA0714"/>
    <w:rsid w:val="00FA1473"/>
    <w:rsid w:val="00FA18EA"/>
    <w:rsid w:val="00FA290F"/>
    <w:rsid w:val="00FA2B3C"/>
    <w:rsid w:val="00FA38D3"/>
    <w:rsid w:val="00FA3F55"/>
    <w:rsid w:val="00FA5048"/>
    <w:rsid w:val="00FA5F7F"/>
    <w:rsid w:val="00FA65F6"/>
    <w:rsid w:val="00FA7090"/>
    <w:rsid w:val="00FA7FC3"/>
    <w:rsid w:val="00FB04FF"/>
    <w:rsid w:val="00FB0A89"/>
    <w:rsid w:val="00FB1B9D"/>
    <w:rsid w:val="00FB1FA5"/>
    <w:rsid w:val="00FB235E"/>
    <w:rsid w:val="00FB2A6E"/>
    <w:rsid w:val="00FB32BA"/>
    <w:rsid w:val="00FB3FD3"/>
    <w:rsid w:val="00FB5524"/>
    <w:rsid w:val="00FB67F1"/>
    <w:rsid w:val="00FB6FB4"/>
    <w:rsid w:val="00FB74D0"/>
    <w:rsid w:val="00FB789B"/>
    <w:rsid w:val="00FC0147"/>
    <w:rsid w:val="00FC03B7"/>
    <w:rsid w:val="00FC0CED"/>
    <w:rsid w:val="00FC24C1"/>
    <w:rsid w:val="00FC4137"/>
    <w:rsid w:val="00FC4C9D"/>
    <w:rsid w:val="00FC5DA1"/>
    <w:rsid w:val="00FC6296"/>
    <w:rsid w:val="00FC6D03"/>
    <w:rsid w:val="00FD05B1"/>
    <w:rsid w:val="00FD5F69"/>
    <w:rsid w:val="00FD6ED2"/>
    <w:rsid w:val="00FD7F36"/>
    <w:rsid w:val="00FE0B37"/>
    <w:rsid w:val="00FE0EC9"/>
    <w:rsid w:val="00FE2636"/>
    <w:rsid w:val="00FE3DBA"/>
    <w:rsid w:val="00FE5052"/>
    <w:rsid w:val="00FE5E1C"/>
    <w:rsid w:val="00FE6E14"/>
    <w:rsid w:val="00FF0EC1"/>
    <w:rsid w:val="00FF2BC3"/>
    <w:rsid w:val="00FF4896"/>
    <w:rsid w:val="00FF4A03"/>
    <w:rsid w:val="00FF51A7"/>
    <w:rsid w:val="00FF71BA"/>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List Bullet 3" w:uiPriority="99"/>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uiPriority="99"/>
    <w:lsdException w:name="Strong" w:uiPriority="22" w:qFormat="1"/>
    <w:lsdException w:name="Emphasis" w:semiHidden="1" w:qFormat="1"/>
    <w:lsdException w:name="Normal (Web)" w:uiPriority="99"/>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C37E8"/>
    <w:pPr>
      <w:suppressAutoHyphens/>
      <w:spacing w:before="120" w:after="120"/>
      <w:ind w:left="720"/>
    </w:pPr>
    <w:rPr>
      <w:rFonts w:asciiTheme="minorHAnsi" w:hAnsiTheme="minorHAnsi" w:cstheme="minorHAnsi"/>
      <w:sz w:val="22"/>
      <w:szCs w:val="22"/>
      <w:lang w:val="en-GB"/>
    </w:rPr>
  </w:style>
  <w:style w:type="paragraph" w:styleId="Heading1">
    <w:name w:val="heading 1"/>
    <w:next w:val="Normal"/>
    <w:qFormat/>
    <w:rsid w:val="001A4434"/>
    <w:pPr>
      <w:keepNext/>
      <w:numPr>
        <w:numId w:val="19"/>
      </w:numPr>
      <w:tabs>
        <w:tab w:val="clear" w:pos="5184"/>
        <w:tab w:val="num" w:pos="1134"/>
        <w:tab w:val="num" w:pos="6534"/>
      </w:tabs>
      <w:spacing w:before="360" w:after="120"/>
      <w:ind w:left="720" w:hanging="720"/>
      <w:outlineLvl w:val="0"/>
    </w:pPr>
    <w:rPr>
      <w:rFonts w:ascii="Arial" w:hAnsi="Arial"/>
      <w:b/>
      <w:color w:val="76923C" w:themeColor="accent3" w:themeShade="BF"/>
      <w:kern w:val="28"/>
      <w:sz w:val="28"/>
      <w:lang w:val="en-GB"/>
    </w:rPr>
  </w:style>
  <w:style w:type="paragraph" w:styleId="Heading2">
    <w:name w:val="heading 2"/>
    <w:basedOn w:val="Heading1"/>
    <w:next w:val="Normal"/>
    <w:qFormat/>
    <w:rsid w:val="00C578C7"/>
    <w:pPr>
      <w:numPr>
        <w:ilvl w:val="1"/>
      </w:numPr>
      <w:tabs>
        <w:tab w:val="num" w:pos="4014"/>
        <w:tab w:val="num" w:pos="7614"/>
      </w:tabs>
      <w:spacing w:before="240" w:after="60"/>
      <w:ind w:left="720" w:hanging="720"/>
      <w:outlineLvl w:val="1"/>
    </w:pPr>
    <w:rPr>
      <w:color w:val="auto"/>
      <w:sz w:val="24"/>
    </w:rPr>
  </w:style>
  <w:style w:type="paragraph" w:styleId="Heading3">
    <w:name w:val="heading 3"/>
    <w:basedOn w:val="Heading2"/>
    <w:next w:val="Normal"/>
    <w:qFormat/>
    <w:rsid w:val="00093F83"/>
    <w:pPr>
      <w:numPr>
        <w:ilvl w:val="2"/>
      </w:numPr>
      <w:tabs>
        <w:tab w:val="clear" w:pos="7614"/>
      </w:tabs>
      <w:spacing w:after="120"/>
      <w:ind w:left="1440" w:hanging="720"/>
      <w:outlineLvl w:val="2"/>
    </w:pPr>
    <w:rPr>
      <w:sz w:val="22"/>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style>
  <w:style w:type="paragraph" w:styleId="Heading6">
    <w:name w:val="heading 6"/>
    <w:aliases w:val="Heading 6 DO NOT USE"/>
    <w:basedOn w:val="Normal"/>
    <w:next w:val="Normal"/>
    <w:semiHidden/>
    <w:qFormat/>
    <w:rsid w:val="00A327F0"/>
    <w:pPr>
      <w:spacing w:before="240" w:after="60"/>
      <w:ind w:left="0"/>
      <w:outlineLvl w:val="5"/>
    </w:pPr>
    <w:rPr>
      <w:i/>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qFormat/>
    <w:rsid w:val="00C53A46"/>
    <w:pPr>
      <w:tabs>
        <w:tab w:val="left" w:pos="567"/>
        <w:tab w:val="right" w:leader="dot" w:pos="9242"/>
      </w:tabs>
      <w:spacing w:before="60" w:after="60"/>
      <w:ind w:left="562" w:hanging="562"/>
    </w:pPr>
    <w:rPr>
      <w:noProof/>
      <w:sz w:val="20"/>
    </w:rPr>
  </w:style>
  <w:style w:type="paragraph" w:styleId="TOC2">
    <w:name w:val="toc 2"/>
    <w:basedOn w:val="TOC1"/>
    <w:uiPriority w:val="39"/>
    <w:qFormat/>
    <w:rsid w:val="009D7EC7"/>
    <w:pPr>
      <w:tabs>
        <w:tab w:val="left" w:pos="1134"/>
      </w:tabs>
      <w:spacing w:before="0" w:after="40"/>
      <w:ind w:left="1134"/>
    </w:pPr>
    <w:rPr>
      <w:snapToGrid w:val="0"/>
    </w:rPr>
  </w:style>
  <w:style w:type="paragraph" w:styleId="TOC3">
    <w:name w:val="toc 3"/>
    <w:basedOn w:val="Normal"/>
    <w:next w:val="Normal"/>
    <w:uiPriority w:val="39"/>
    <w:qFormat/>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uiPriority w:val="39"/>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qFormat/>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uiPriority w:val="22"/>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uiPriority w:val="39"/>
    <w:semiHidden/>
    <w:qFormat/>
    <w:rsid w:val="001C280A"/>
    <w:pPr>
      <w:outlineLvl w:val="9"/>
    </w:pPr>
  </w:style>
  <w:style w:type="paragraph" w:customStyle="1" w:styleId="TableBullet">
    <w:name w:val="Table Bullet"/>
    <w:basedOn w:val="TableText"/>
    <w:qForma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tabs>
        <w:tab w:val="num" w:pos="7614"/>
      </w:tabs>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Theme="minorHAnsi" w:hAnsiTheme="minorHAnsi" w:cstheme="minorHAnsi"/>
      <w:kern w:val="28"/>
      <w:sz w:val="22"/>
      <w:szCs w:val="22"/>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uiPriority w:val="99"/>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uiPriority w:val="39"/>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uiPriority w:val="99"/>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link w:val="ListParagraphChar"/>
    <w:uiPriority w:val="34"/>
    <w:qFormat/>
    <w:rsid w:val="007A51C0"/>
    <w:pPr>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 w:type="paragraph" w:customStyle="1" w:styleId="xl78">
    <w:name w:val="xl78"/>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79">
    <w:name w:val="xl79"/>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0">
    <w:name w:val="xl80"/>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1">
    <w:name w:val="xl81"/>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2">
    <w:name w:val="xl82"/>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3">
    <w:name w:val="xl83"/>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4">
    <w:name w:val="xl84"/>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5">
    <w:name w:val="xl85"/>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6">
    <w:name w:val="xl86"/>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7">
    <w:name w:val="xl87"/>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8">
    <w:name w:val="xl88"/>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9">
    <w:name w:val="xl89"/>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0">
    <w:name w:val="xl90"/>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1">
    <w:name w:val="xl91"/>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2">
    <w:name w:val="xl92"/>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3">
    <w:name w:val="xl93"/>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4">
    <w:name w:val="xl94"/>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5">
    <w:name w:val="xl95"/>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character" w:customStyle="1" w:styleId="ListParagraphChar">
    <w:name w:val="List Paragraph Char"/>
    <w:basedOn w:val="DefaultParagraphFont"/>
    <w:link w:val="ListParagraph"/>
    <w:uiPriority w:val="34"/>
    <w:locked/>
    <w:rsid w:val="009E552A"/>
    <w:rPr>
      <w:rFonts w:asciiTheme="minorHAnsi" w:hAnsiTheme="minorHAnsi"/>
      <w:sz w:val="22"/>
      <w:lang w:val="en-GB"/>
    </w:rPr>
  </w:style>
  <w:style w:type="character" w:customStyle="1" w:styleId="mptitle">
    <w:name w:val="mptitle"/>
    <w:basedOn w:val="DefaultParagraphFont"/>
    <w:rsid w:val="00701D34"/>
    <w:rPr>
      <w:b/>
      <w:bCs/>
      <w:color w:val="003478"/>
    </w:rPr>
  </w:style>
  <w:style w:type="table" w:customStyle="1" w:styleId="TableGrid10">
    <w:name w:val="Table Grid1"/>
    <w:basedOn w:val="TableGrid1"/>
    <w:next w:val="TableGrid"/>
    <w:uiPriority w:val="59"/>
    <w:rsid w:val="004A1A6E"/>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Normallevel2">
    <w:name w:val="Normal level 2"/>
    <w:basedOn w:val="Normal"/>
    <w:qFormat/>
    <w:rsid w:val="006D1A41"/>
    <w:pPr>
      <w:spacing w:after="0"/>
      <w:ind w:left="360"/>
    </w:pPr>
    <w:rPr>
      <w:rFonts w:cs="Times New Roman"/>
      <w:szCs w:val="20"/>
    </w:rPr>
  </w:style>
  <w:style w:type="paragraph" w:customStyle="1" w:styleId="Normallevel3">
    <w:name w:val="Normal level 3"/>
    <w:basedOn w:val="Normal"/>
    <w:qFormat/>
    <w:rsid w:val="00D75CD1"/>
    <w:pPr>
      <w:spacing w:after="0"/>
      <w:ind w:left="1710"/>
    </w:pPr>
    <w:rPr>
      <w:rFonts w:cs="Times New Roman"/>
      <w:szCs w:val="20"/>
    </w:rPr>
  </w:style>
  <w:style w:type="paragraph" w:customStyle="1" w:styleId="p3">
    <w:name w:val="p3"/>
    <w:basedOn w:val="Normal"/>
    <w:rsid w:val="00AA2D3E"/>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2">
    <w:name w:val="s2"/>
    <w:basedOn w:val="DefaultParagraphFont"/>
    <w:rsid w:val="00AA2D3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A2D3E"/>
  </w:style>
  <w:style w:type="paragraph" w:customStyle="1" w:styleId="p2">
    <w:name w:val="p2"/>
    <w:basedOn w:val="Normal"/>
    <w:rsid w:val="00300C0C"/>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3">
    <w:name w:val="s3"/>
    <w:basedOn w:val="DefaultParagraphFont"/>
    <w:rsid w:val="00BD58A9"/>
    <w:rPr>
      <w:rFonts w:ascii=".SFUIText-Regular" w:hAnsi=".SFUIText-Regular" w:hint="default"/>
      <w:b w:val="0"/>
      <w:bCs w:val="0"/>
      <w:i w:val="0"/>
      <w:iCs w:val="0"/>
      <w:color w:val="E4AF0A"/>
      <w:sz w:val="34"/>
      <w:szCs w:val="34"/>
    </w:rPr>
  </w:style>
  <w:style w:type="paragraph" w:customStyle="1" w:styleId="Normal2">
    <w:name w:val="Normal 2"/>
    <w:basedOn w:val="Normallevel2"/>
    <w:qFormat/>
    <w:rsid w:val="006819E4"/>
    <w:pPr>
      <w:tabs>
        <w:tab w:val="left" w:pos="5998"/>
      </w:tabs>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List Bullet 3" w:uiPriority="99"/>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uiPriority="99"/>
    <w:lsdException w:name="Strong" w:uiPriority="22" w:qFormat="1"/>
    <w:lsdException w:name="Emphasis" w:semiHidden="1" w:qFormat="1"/>
    <w:lsdException w:name="Normal (Web)" w:uiPriority="99"/>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C37E8"/>
    <w:pPr>
      <w:suppressAutoHyphens/>
      <w:spacing w:before="120" w:after="120"/>
      <w:ind w:left="720"/>
    </w:pPr>
    <w:rPr>
      <w:rFonts w:asciiTheme="minorHAnsi" w:hAnsiTheme="minorHAnsi" w:cstheme="minorHAnsi"/>
      <w:sz w:val="22"/>
      <w:szCs w:val="22"/>
      <w:lang w:val="en-GB"/>
    </w:rPr>
  </w:style>
  <w:style w:type="paragraph" w:styleId="Heading1">
    <w:name w:val="heading 1"/>
    <w:next w:val="Normal"/>
    <w:qFormat/>
    <w:rsid w:val="001A4434"/>
    <w:pPr>
      <w:keepNext/>
      <w:numPr>
        <w:numId w:val="19"/>
      </w:numPr>
      <w:tabs>
        <w:tab w:val="clear" w:pos="5184"/>
        <w:tab w:val="num" w:pos="1134"/>
        <w:tab w:val="num" w:pos="6534"/>
      </w:tabs>
      <w:spacing w:before="360" w:after="120"/>
      <w:ind w:left="720" w:hanging="720"/>
      <w:outlineLvl w:val="0"/>
    </w:pPr>
    <w:rPr>
      <w:rFonts w:ascii="Arial" w:hAnsi="Arial"/>
      <w:b/>
      <w:color w:val="76923C" w:themeColor="accent3" w:themeShade="BF"/>
      <w:kern w:val="28"/>
      <w:sz w:val="28"/>
      <w:lang w:val="en-GB"/>
    </w:rPr>
  </w:style>
  <w:style w:type="paragraph" w:styleId="Heading2">
    <w:name w:val="heading 2"/>
    <w:basedOn w:val="Heading1"/>
    <w:next w:val="Normal"/>
    <w:qFormat/>
    <w:rsid w:val="00C578C7"/>
    <w:pPr>
      <w:numPr>
        <w:ilvl w:val="1"/>
      </w:numPr>
      <w:tabs>
        <w:tab w:val="num" w:pos="4014"/>
        <w:tab w:val="num" w:pos="7614"/>
      </w:tabs>
      <w:spacing w:before="240" w:after="60"/>
      <w:ind w:left="720" w:hanging="720"/>
      <w:outlineLvl w:val="1"/>
    </w:pPr>
    <w:rPr>
      <w:color w:val="auto"/>
      <w:sz w:val="24"/>
    </w:rPr>
  </w:style>
  <w:style w:type="paragraph" w:styleId="Heading3">
    <w:name w:val="heading 3"/>
    <w:basedOn w:val="Heading2"/>
    <w:next w:val="Normal"/>
    <w:qFormat/>
    <w:rsid w:val="00093F83"/>
    <w:pPr>
      <w:numPr>
        <w:ilvl w:val="2"/>
      </w:numPr>
      <w:tabs>
        <w:tab w:val="clear" w:pos="7614"/>
      </w:tabs>
      <w:spacing w:after="120"/>
      <w:ind w:left="1440" w:hanging="720"/>
      <w:outlineLvl w:val="2"/>
    </w:pPr>
    <w:rPr>
      <w:sz w:val="22"/>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style>
  <w:style w:type="paragraph" w:styleId="Heading6">
    <w:name w:val="heading 6"/>
    <w:aliases w:val="Heading 6 DO NOT USE"/>
    <w:basedOn w:val="Normal"/>
    <w:next w:val="Normal"/>
    <w:semiHidden/>
    <w:qFormat/>
    <w:rsid w:val="00A327F0"/>
    <w:pPr>
      <w:spacing w:before="240" w:after="60"/>
      <w:ind w:left="0"/>
      <w:outlineLvl w:val="5"/>
    </w:pPr>
    <w:rPr>
      <w:i/>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qFormat/>
    <w:rsid w:val="00C53A46"/>
    <w:pPr>
      <w:tabs>
        <w:tab w:val="left" w:pos="567"/>
        <w:tab w:val="right" w:leader="dot" w:pos="9242"/>
      </w:tabs>
      <w:spacing w:before="60" w:after="60"/>
      <w:ind w:left="562" w:hanging="562"/>
    </w:pPr>
    <w:rPr>
      <w:noProof/>
      <w:sz w:val="20"/>
    </w:rPr>
  </w:style>
  <w:style w:type="paragraph" w:styleId="TOC2">
    <w:name w:val="toc 2"/>
    <w:basedOn w:val="TOC1"/>
    <w:uiPriority w:val="39"/>
    <w:qFormat/>
    <w:rsid w:val="009D7EC7"/>
    <w:pPr>
      <w:tabs>
        <w:tab w:val="left" w:pos="1134"/>
      </w:tabs>
      <w:spacing w:before="0" w:after="40"/>
      <w:ind w:left="1134"/>
    </w:pPr>
    <w:rPr>
      <w:snapToGrid w:val="0"/>
    </w:rPr>
  </w:style>
  <w:style w:type="paragraph" w:styleId="TOC3">
    <w:name w:val="toc 3"/>
    <w:basedOn w:val="Normal"/>
    <w:next w:val="Normal"/>
    <w:uiPriority w:val="39"/>
    <w:qFormat/>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uiPriority w:val="39"/>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qFormat/>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uiPriority w:val="22"/>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uiPriority w:val="39"/>
    <w:semiHidden/>
    <w:qFormat/>
    <w:rsid w:val="001C280A"/>
    <w:pPr>
      <w:outlineLvl w:val="9"/>
    </w:pPr>
  </w:style>
  <w:style w:type="paragraph" w:customStyle="1" w:styleId="TableBullet">
    <w:name w:val="Table Bullet"/>
    <w:basedOn w:val="TableText"/>
    <w:qForma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tabs>
        <w:tab w:val="num" w:pos="7614"/>
      </w:tabs>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Theme="minorHAnsi" w:hAnsiTheme="minorHAnsi" w:cstheme="minorHAnsi"/>
      <w:kern w:val="28"/>
      <w:sz w:val="22"/>
      <w:szCs w:val="22"/>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uiPriority w:val="99"/>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uiPriority w:val="39"/>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uiPriority w:val="99"/>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link w:val="ListParagraphChar"/>
    <w:uiPriority w:val="34"/>
    <w:qFormat/>
    <w:rsid w:val="007A51C0"/>
    <w:pPr>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 w:type="paragraph" w:customStyle="1" w:styleId="xl78">
    <w:name w:val="xl78"/>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79">
    <w:name w:val="xl79"/>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0">
    <w:name w:val="xl80"/>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1">
    <w:name w:val="xl81"/>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2">
    <w:name w:val="xl82"/>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3">
    <w:name w:val="xl83"/>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4">
    <w:name w:val="xl84"/>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5">
    <w:name w:val="xl85"/>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6">
    <w:name w:val="xl86"/>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7">
    <w:name w:val="xl87"/>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8">
    <w:name w:val="xl88"/>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9">
    <w:name w:val="xl89"/>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0">
    <w:name w:val="xl90"/>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1">
    <w:name w:val="xl91"/>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2">
    <w:name w:val="xl92"/>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3">
    <w:name w:val="xl93"/>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4">
    <w:name w:val="xl94"/>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5">
    <w:name w:val="xl95"/>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character" w:customStyle="1" w:styleId="ListParagraphChar">
    <w:name w:val="List Paragraph Char"/>
    <w:basedOn w:val="DefaultParagraphFont"/>
    <w:link w:val="ListParagraph"/>
    <w:uiPriority w:val="34"/>
    <w:locked/>
    <w:rsid w:val="009E552A"/>
    <w:rPr>
      <w:rFonts w:asciiTheme="minorHAnsi" w:hAnsiTheme="minorHAnsi"/>
      <w:sz w:val="22"/>
      <w:lang w:val="en-GB"/>
    </w:rPr>
  </w:style>
  <w:style w:type="character" w:customStyle="1" w:styleId="mptitle">
    <w:name w:val="mptitle"/>
    <w:basedOn w:val="DefaultParagraphFont"/>
    <w:rsid w:val="00701D34"/>
    <w:rPr>
      <w:b/>
      <w:bCs/>
      <w:color w:val="003478"/>
    </w:rPr>
  </w:style>
  <w:style w:type="table" w:customStyle="1" w:styleId="TableGrid10">
    <w:name w:val="Table Grid1"/>
    <w:basedOn w:val="TableGrid1"/>
    <w:next w:val="TableGrid"/>
    <w:uiPriority w:val="59"/>
    <w:rsid w:val="004A1A6E"/>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Normallevel2">
    <w:name w:val="Normal level 2"/>
    <w:basedOn w:val="Normal"/>
    <w:qFormat/>
    <w:rsid w:val="006D1A41"/>
    <w:pPr>
      <w:spacing w:after="0"/>
      <w:ind w:left="360"/>
    </w:pPr>
    <w:rPr>
      <w:rFonts w:cs="Times New Roman"/>
      <w:szCs w:val="20"/>
    </w:rPr>
  </w:style>
  <w:style w:type="paragraph" w:customStyle="1" w:styleId="Normallevel3">
    <w:name w:val="Normal level 3"/>
    <w:basedOn w:val="Normal"/>
    <w:qFormat/>
    <w:rsid w:val="00D75CD1"/>
    <w:pPr>
      <w:spacing w:after="0"/>
      <w:ind w:left="1710"/>
    </w:pPr>
    <w:rPr>
      <w:rFonts w:cs="Times New Roman"/>
      <w:szCs w:val="20"/>
    </w:rPr>
  </w:style>
  <w:style w:type="paragraph" w:customStyle="1" w:styleId="p3">
    <w:name w:val="p3"/>
    <w:basedOn w:val="Normal"/>
    <w:rsid w:val="00AA2D3E"/>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2">
    <w:name w:val="s2"/>
    <w:basedOn w:val="DefaultParagraphFont"/>
    <w:rsid w:val="00AA2D3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A2D3E"/>
  </w:style>
  <w:style w:type="paragraph" w:customStyle="1" w:styleId="p2">
    <w:name w:val="p2"/>
    <w:basedOn w:val="Normal"/>
    <w:rsid w:val="00300C0C"/>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3">
    <w:name w:val="s3"/>
    <w:basedOn w:val="DefaultParagraphFont"/>
    <w:rsid w:val="00BD58A9"/>
    <w:rPr>
      <w:rFonts w:ascii=".SFUIText-Regular" w:hAnsi=".SFUIText-Regular" w:hint="default"/>
      <w:b w:val="0"/>
      <w:bCs w:val="0"/>
      <w:i w:val="0"/>
      <w:iCs w:val="0"/>
      <w:color w:val="E4AF0A"/>
      <w:sz w:val="34"/>
      <w:szCs w:val="34"/>
    </w:rPr>
  </w:style>
  <w:style w:type="paragraph" w:customStyle="1" w:styleId="Normal2">
    <w:name w:val="Normal 2"/>
    <w:basedOn w:val="Normallevel2"/>
    <w:qFormat/>
    <w:rsid w:val="006819E4"/>
    <w:pPr>
      <w:tabs>
        <w:tab w:val="left" w:pos="5998"/>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384">
      <w:bodyDiv w:val="1"/>
      <w:marLeft w:val="0"/>
      <w:marRight w:val="0"/>
      <w:marTop w:val="0"/>
      <w:marBottom w:val="0"/>
      <w:divBdr>
        <w:top w:val="none" w:sz="0" w:space="0" w:color="auto"/>
        <w:left w:val="none" w:sz="0" w:space="0" w:color="auto"/>
        <w:bottom w:val="none" w:sz="0" w:space="0" w:color="auto"/>
        <w:right w:val="none" w:sz="0" w:space="0" w:color="auto"/>
      </w:divBdr>
    </w:div>
    <w:div w:id="53741827">
      <w:bodyDiv w:val="1"/>
      <w:marLeft w:val="0"/>
      <w:marRight w:val="0"/>
      <w:marTop w:val="0"/>
      <w:marBottom w:val="0"/>
      <w:divBdr>
        <w:top w:val="none" w:sz="0" w:space="0" w:color="auto"/>
        <w:left w:val="none" w:sz="0" w:space="0" w:color="auto"/>
        <w:bottom w:val="none" w:sz="0" w:space="0" w:color="auto"/>
        <w:right w:val="none" w:sz="0" w:space="0" w:color="auto"/>
      </w:divBdr>
      <w:divsChild>
        <w:div w:id="1692222228">
          <w:marLeft w:val="619"/>
          <w:marRight w:val="0"/>
          <w:marTop w:val="0"/>
          <w:marBottom w:val="0"/>
          <w:divBdr>
            <w:top w:val="none" w:sz="0" w:space="0" w:color="auto"/>
            <w:left w:val="none" w:sz="0" w:space="0" w:color="auto"/>
            <w:bottom w:val="none" w:sz="0" w:space="0" w:color="auto"/>
            <w:right w:val="none" w:sz="0" w:space="0" w:color="auto"/>
          </w:divBdr>
        </w:div>
      </w:divsChild>
    </w:div>
    <w:div w:id="58674134">
      <w:bodyDiv w:val="1"/>
      <w:marLeft w:val="0"/>
      <w:marRight w:val="0"/>
      <w:marTop w:val="0"/>
      <w:marBottom w:val="0"/>
      <w:divBdr>
        <w:top w:val="none" w:sz="0" w:space="0" w:color="auto"/>
        <w:left w:val="none" w:sz="0" w:space="0" w:color="auto"/>
        <w:bottom w:val="none" w:sz="0" w:space="0" w:color="auto"/>
        <w:right w:val="none" w:sz="0" w:space="0" w:color="auto"/>
      </w:divBdr>
    </w:div>
    <w:div w:id="106236157">
      <w:bodyDiv w:val="1"/>
      <w:marLeft w:val="0"/>
      <w:marRight w:val="0"/>
      <w:marTop w:val="0"/>
      <w:marBottom w:val="0"/>
      <w:divBdr>
        <w:top w:val="none" w:sz="0" w:space="0" w:color="auto"/>
        <w:left w:val="none" w:sz="0" w:space="0" w:color="auto"/>
        <w:bottom w:val="none" w:sz="0" w:space="0" w:color="auto"/>
        <w:right w:val="none" w:sz="0" w:space="0" w:color="auto"/>
      </w:divBdr>
    </w:div>
    <w:div w:id="108356050">
      <w:bodyDiv w:val="1"/>
      <w:marLeft w:val="0"/>
      <w:marRight w:val="0"/>
      <w:marTop w:val="0"/>
      <w:marBottom w:val="0"/>
      <w:divBdr>
        <w:top w:val="none" w:sz="0" w:space="0" w:color="auto"/>
        <w:left w:val="none" w:sz="0" w:space="0" w:color="auto"/>
        <w:bottom w:val="none" w:sz="0" w:space="0" w:color="auto"/>
        <w:right w:val="none" w:sz="0" w:space="0" w:color="auto"/>
      </w:divBdr>
    </w:div>
    <w:div w:id="151608484">
      <w:bodyDiv w:val="1"/>
      <w:marLeft w:val="0"/>
      <w:marRight w:val="0"/>
      <w:marTop w:val="0"/>
      <w:marBottom w:val="0"/>
      <w:divBdr>
        <w:top w:val="none" w:sz="0" w:space="0" w:color="auto"/>
        <w:left w:val="none" w:sz="0" w:space="0" w:color="auto"/>
        <w:bottom w:val="none" w:sz="0" w:space="0" w:color="auto"/>
        <w:right w:val="none" w:sz="0" w:space="0" w:color="auto"/>
      </w:divBdr>
    </w:div>
    <w:div w:id="154491081">
      <w:bodyDiv w:val="1"/>
      <w:marLeft w:val="0"/>
      <w:marRight w:val="0"/>
      <w:marTop w:val="0"/>
      <w:marBottom w:val="0"/>
      <w:divBdr>
        <w:top w:val="none" w:sz="0" w:space="0" w:color="auto"/>
        <w:left w:val="none" w:sz="0" w:space="0" w:color="auto"/>
        <w:bottom w:val="none" w:sz="0" w:space="0" w:color="auto"/>
        <w:right w:val="none" w:sz="0" w:space="0" w:color="auto"/>
      </w:divBdr>
    </w:div>
    <w:div w:id="161825471">
      <w:bodyDiv w:val="1"/>
      <w:marLeft w:val="0"/>
      <w:marRight w:val="0"/>
      <w:marTop w:val="0"/>
      <w:marBottom w:val="0"/>
      <w:divBdr>
        <w:top w:val="none" w:sz="0" w:space="0" w:color="auto"/>
        <w:left w:val="none" w:sz="0" w:space="0" w:color="auto"/>
        <w:bottom w:val="none" w:sz="0" w:space="0" w:color="auto"/>
        <w:right w:val="none" w:sz="0" w:space="0" w:color="auto"/>
      </w:divBdr>
    </w:div>
    <w:div w:id="165293191">
      <w:bodyDiv w:val="1"/>
      <w:marLeft w:val="0"/>
      <w:marRight w:val="0"/>
      <w:marTop w:val="0"/>
      <w:marBottom w:val="0"/>
      <w:divBdr>
        <w:top w:val="none" w:sz="0" w:space="0" w:color="auto"/>
        <w:left w:val="none" w:sz="0" w:space="0" w:color="auto"/>
        <w:bottom w:val="none" w:sz="0" w:space="0" w:color="auto"/>
        <w:right w:val="none" w:sz="0" w:space="0" w:color="auto"/>
      </w:divBdr>
    </w:div>
    <w:div w:id="165440154">
      <w:bodyDiv w:val="1"/>
      <w:marLeft w:val="0"/>
      <w:marRight w:val="0"/>
      <w:marTop w:val="0"/>
      <w:marBottom w:val="0"/>
      <w:divBdr>
        <w:top w:val="none" w:sz="0" w:space="0" w:color="auto"/>
        <w:left w:val="none" w:sz="0" w:space="0" w:color="auto"/>
        <w:bottom w:val="none" w:sz="0" w:space="0" w:color="auto"/>
        <w:right w:val="none" w:sz="0" w:space="0" w:color="auto"/>
      </w:divBdr>
      <w:divsChild>
        <w:div w:id="264971413">
          <w:marLeft w:val="619"/>
          <w:marRight w:val="0"/>
          <w:marTop w:val="0"/>
          <w:marBottom w:val="0"/>
          <w:divBdr>
            <w:top w:val="none" w:sz="0" w:space="0" w:color="auto"/>
            <w:left w:val="none" w:sz="0" w:space="0" w:color="auto"/>
            <w:bottom w:val="none" w:sz="0" w:space="0" w:color="auto"/>
            <w:right w:val="none" w:sz="0" w:space="0" w:color="auto"/>
          </w:divBdr>
        </w:div>
      </w:divsChild>
    </w:div>
    <w:div w:id="260795267">
      <w:bodyDiv w:val="1"/>
      <w:marLeft w:val="0"/>
      <w:marRight w:val="0"/>
      <w:marTop w:val="0"/>
      <w:marBottom w:val="0"/>
      <w:divBdr>
        <w:top w:val="none" w:sz="0" w:space="0" w:color="auto"/>
        <w:left w:val="none" w:sz="0" w:space="0" w:color="auto"/>
        <w:bottom w:val="none" w:sz="0" w:space="0" w:color="auto"/>
        <w:right w:val="none" w:sz="0" w:space="0" w:color="auto"/>
      </w:divBdr>
    </w:div>
    <w:div w:id="309212936">
      <w:bodyDiv w:val="1"/>
      <w:marLeft w:val="0"/>
      <w:marRight w:val="0"/>
      <w:marTop w:val="0"/>
      <w:marBottom w:val="0"/>
      <w:divBdr>
        <w:top w:val="none" w:sz="0" w:space="0" w:color="auto"/>
        <w:left w:val="none" w:sz="0" w:space="0" w:color="auto"/>
        <w:bottom w:val="none" w:sz="0" w:space="0" w:color="auto"/>
        <w:right w:val="none" w:sz="0" w:space="0" w:color="auto"/>
      </w:divBdr>
    </w:div>
    <w:div w:id="348651822">
      <w:bodyDiv w:val="1"/>
      <w:marLeft w:val="0"/>
      <w:marRight w:val="0"/>
      <w:marTop w:val="0"/>
      <w:marBottom w:val="0"/>
      <w:divBdr>
        <w:top w:val="none" w:sz="0" w:space="0" w:color="auto"/>
        <w:left w:val="none" w:sz="0" w:space="0" w:color="auto"/>
        <w:bottom w:val="none" w:sz="0" w:space="0" w:color="auto"/>
        <w:right w:val="none" w:sz="0" w:space="0" w:color="auto"/>
      </w:divBdr>
    </w:div>
    <w:div w:id="393818541">
      <w:bodyDiv w:val="1"/>
      <w:marLeft w:val="0"/>
      <w:marRight w:val="0"/>
      <w:marTop w:val="0"/>
      <w:marBottom w:val="0"/>
      <w:divBdr>
        <w:top w:val="none" w:sz="0" w:space="0" w:color="auto"/>
        <w:left w:val="none" w:sz="0" w:space="0" w:color="auto"/>
        <w:bottom w:val="none" w:sz="0" w:space="0" w:color="auto"/>
        <w:right w:val="none" w:sz="0" w:space="0" w:color="auto"/>
      </w:divBdr>
    </w:div>
    <w:div w:id="446200834">
      <w:bodyDiv w:val="1"/>
      <w:marLeft w:val="0"/>
      <w:marRight w:val="0"/>
      <w:marTop w:val="0"/>
      <w:marBottom w:val="0"/>
      <w:divBdr>
        <w:top w:val="none" w:sz="0" w:space="0" w:color="auto"/>
        <w:left w:val="none" w:sz="0" w:space="0" w:color="auto"/>
        <w:bottom w:val="none" w:sz="0" w:space="0" w:color="auto"/>
        <w:right w:val="none" w:sz="0" w:space="0" w:color="auto"/>
      </w:divBdr>
    </w:div>
    <w:div w:id="453671195">
      <w:bodyDiv w:val="1"/>
      <w:marLeft w:val="0"/>
      <w:marRight w:val="0"/>
      <w:marTop w:val="0"/>
      <w:marBottom w:val="0"/>
      <w:divBdr>
        <w:top w:val="none" w:sz="0" w:space="0" w:color="auto"/>
        <w:left w:val="none" w:sz="0" w:space="0" w:color="auto"/>
        <w:bottom w:val="none" w:sz="0" w:space="0" w:color="auto"/>
        <w:right w:val="none" w:sz="0" w:space="0" w:color="auto"/>
      </w:divBdr>
    </w:div>
    <w:div w:id="481507065">
      <w:bodyDiv w:val="1"/>
      <w:marLeft w:val="0"/>
      <w:marRight w:val="0"/>
      <w:marTop w:val="0"/>
      <w:marBottom w:val="0"/>
      <w:divBdr>
        <w:top w:val="none" w:sz="0" w:space="0" w:color="auto"/>
        <w:left w:val="none" w:sz="0" w:space="0" w:color="auto"/>
        <w:bottom w:val="none" w:sz="0" w:space="0" w:color="auto"/>
        <w:right w:val="none" w:sz="0" w:space="0" w:color="auto"/>
      </w:divBdr>
    </w:div>
    <w:div w:id="598372784">
      <w:bodyDiv w:val="1"/>
      <w:marLeft w:val="0"/>
      <w:marRight w:val="0"/>
      <w:marTop w:val="0"/>
      <w:marBottom w:val="0"/>
      <w:divBdr>
        <w:top w:val="none" w:sz="0" w:space="0" w:color="auto"/>
        <w:left w:val="none" w:sz="0" w:space="0" w:color="auto"/>
        <w:bottom w:val="none" w:sz="0" w:space="0" w:color="auto"/>
        <w:right w:val="none" w:sz="0" w:space="0" w:color="auto"/>
      </w:divBdr>
    </w:div>
    <w:div w:id="598877735">
      <w:bodyDiv w:val="1"/>
      <w:marLeft w:val="0"/>
      <w:marRight w:val="0"/>
      <w:marTop w:val="0"/>
      <w:marBottom w:val="0"/>
      <w:divBdr>
        <w:top w:val="none" w:sz="0" w:space="0" w:color="auto"/>
        <w:left w:val="none" w:sz="0" w:space="0" w:color="auto"/>
        <w:bottom w:val="none" w:sz="0" w:space="0" w:color="auto"/>
        <w:right w:val="none" w:sz="0" w:space="0" w:color="auto"/>
      </w:divBdr>
    </w:div>
    <w:div w:id="679234290">
      <w:bodyDiv w:val="1"/>
      <w:marLeft w:val="0"/>
      <w:marRight w:val="0"/>
      <w:marTop w:val="0"/>
      <w:marBottom w:val="0"/>
      <w:divBdr>
        <w:top w:val="none" w:sz="0" w:space="0" w:color="auto"/>
        <w:left w:val="none" w:sz="0" w:space="0" w:color="auto"/>
        <w:bottom w:val="none" w:sz="0" w:space="0" w:color="auto"/>
        <w:right w:val="none" w:sz="0" w:space="0" w:color="auto"/>
      </w:divBdr>
    </w:div>
    <w:div w:id="751463507">
      <w:bodyDiv w:val="1"/>
      <w:marLeft w:val="0"/>
      <w:marRight w:val="0"/>
      <w:marTop w:val="0"/>
      <w:marBottom w:val="0"/>
      <w:divBdr>
        <w:top w:val="none" w:sz="0" w:space="0" w:color="auto"/>
        <w:left w:val="none" w:sz="0" w:space="0" w:color="auto"/>
        <w:bottom w:val="none" w:sz="0" w:space="0" w:color="auto"/>
        <w:right w:val="none" w:sz="0" w:space="0" w:color="auto"/>
      </w:divBdr>
    </w:div>
    <w:div w:id="778646344">
      <w:bodyDiv w:val="1"/>
      <w:marLeft w:val="0"/>
      <w:marRight w:val="0"/>
      <w:marTop w:val="0"/>
      <w:marBottom w:val="0"/>
      <w:divBdr>
        <w:top w:val="none" w:sz="0" w:space="0" w:color="auto"/>
        <w:left w:val="none" w:sz="0" w:space="0" w:color="auto"/>
        <w:bottom w:val="none" w:sz="0" w:space="0" w:color="auto"/>
        <w:right w:val="none" w:sz="0" w:space="0" w:color="auto"/>
      </w:divBdr>
      <w:divsChild>
        <w:div w:id="1235746874">
          <w:marLeft w:val="547"/>
          <w:marRight w:val="0"/>
          <w:marTop w:val="0"/>
          <w:marBottom w:val="120"/>
          <w:divBdr>
            <w:top w:val="none" w:sz="0" w:space="0" w:color="auto"/>
            <w:left w:val="none" w:sz="0" w:space="0" w:color="auto"/>
            <w:bottom w:val="none" w:sz="0" w:space="0" w:color="auto"/>
            <w:right w:val="none" w:sz="0" w:space="0" w:color="auto"/>
          </w:divBdr>
        </w:div>
      </w:divsChild>
    </w:div>
    <w:div w:id="784351726">
      <w:bodyDiv w:val="1"/>
      <w:marLeft w:val="0"/>
      <w:marRight w:val="0"/>
      <w:marTop w:val="0"/>
      <w:marBottom w:val="0"/>
      <w:divBdr>
        <w:top w:val="none" w:sz="0" w:space="0" w:color="auto"/>
        <w:left w:val="none" w:sz="0" w:space="0" w:color="auto"/>
        <w:bottom w:val="none" w:sz="0" w:space="0" w:color="auto"/>
        <w:right w:val="none" w:sz="0" w:space="0" w:color="auto"/>
      </w:divBdr>
    </w:div>
    <w:div w:id="835615065">
      <w:bodyDiv w:val="1"/>
      <w:marLeft w:val="0"/>
      <w:marRight w:val="0"/>
      <w:marTop w:val="0"/>
      <w:marBottom w:val="0"/>
      <w:divBdr>
        <w:top w:val="none" w:sz="0" w:space="0" w:color="auto"/>
        <w:left w:val="none" w:sz="0" w:space="0" w:color="auto"/>
        <w:bottom w:val="none" w:sz="0" w:space="0" w:color="auto"/>
        <w:right w:val="none" w:sz="0" w:space="0" w:color="auto"/>
      </w:divBdr>
    </w:div>
    <w:div w:id="876090998">
      <w:bodyDiv w:val="1"/>
      <w:marLeft w:val="0"/>
      <w:marRight w:val="0"/>
      <w:marTop w:val="0"/>
      <w:marBottom w:val="0"/>
      <w:divBdr>
        <w:top w:val="none" w:sz="0" w:space="0" w:color="auto"/>
        <w:left w:val="none" w:sz="0" w:space="0" w:color="auto"/>
        <w:bottom w:val="none" w:sz="0" w:space="0" w:color="auto"/>
        <w:right w:val="none" w:sz="0" w:space="0" w:color="auto"/>
      </w:divBdr>
      <w:divsChild>
        <w:div w:id="807548429">
          <w:marLeft w:val="0"/>
          <w:marRight w:val="0"/>
          <w:marTop w:val="0"/>
          <w:marBottom w:val="0"/>
          <w:divBdr>
            <w:top w:val="outset" w:sz="8" w:space="0" w:color="auto"/>
            <w:left w:val="outset" w:sz="8" w:space="0" w:color="auto"/>
            <w:bottom w:val="outset" w:sz="8" w:space="0" w:color="auto"/>
            <w:right w:val="outset" w:sz="8" w:space="0" w:color="auto"/>
          </w:divBdr>
        </w:div>
      </w:divsChild>
    </w:div>
    <w:div w:id="906843786">
      <w:bodyDiv w:val="1"/>
      <w:marLeft w:val="0"/>
      <w:marRight w:val="0"/>
      <w:marTop w:val="0"/>
      <w:marBottom w:val="0"/>
      <w:divBdr>
        <w:top w:val="none" w:sz="0" w:space="0" w:color="auto"/>
        <w:left w:val="none" w:sz="0" w:space="0" w:color="auto"/>
        <w:bottom w:val="none" w:sz="0" w:space="0" w:color="auto"/>
        <w:right w:val="none" w:sz="0" w:space="0" w:color="auto"/>
      </w:divBdr>
      <w:divsChild>
        <w:div w:id="431440155">
          <w:marLeft w:val="0"/>
          <w:marRight w:val="0"/>
          <w:marTop w:val="0"/>
          <w:marBottom w:val="0"/>
          <w:divBdr>
            <w:top w:val="none" w:sz="0" w:space="0" w:color="auto"/>
            <w:left w:val="none" w:sz="0" w:space="0" w:color="auto"/>
            <w:bottom w:val="none" w:sz="0" w:space="0" w:color="auto"/>
            <w:right w:val="none" w:sz="0" w:space="0" w:color="auto"/>
          </w:divBdr>
          <w:divsChild>
            <w:div w:id="903023340">
              <w:marLeft w:val="0"/>
              <w:marRight w:val="0"/>
              <w:marTop w:val="0"/>
              <w:marBottom w:val="0"/>
              <w:divBdr>
                <w:top w:val="none" w:sz="0" w:space="0" w:color="auto"/>
                <w:left w:val="none" w:sz="0" w:space="0" w:color="auto"/>
                <w:bottom w:val="none" w:sz="0" w:space="0" w:color="auto"/>
                <w:right w:val="none" w:sz="0" w:space="0" w:color="auto"/>
              </w:divBdr>
              <w:divsChild>
                <w:div w:id="1244292495">
                  <w:marLeft w:val="0"/>
                  <w:marRight w:val="0"/>
                  <w:marTop w:val="0"/>
                  <w:marBottom w:val="0"/>
                  <w:divBdr>
                    <w:top w:val="none" w:sz="0" w:space="0" w:color="auto"/>
                    <w:left w:val="none" w:sz="0" w:space="0" w:color="auto"/>
                    <w:bottom w:val="none" w:sz="0" w:space="0" w:color="auto"/>
                    <w:right w:val="none" w:sz="0" w:space="0" w:color="auto"/>
                  </w:divBdr>
                  <w:divsChild>
                    <w:div w:id="1357923391">
                      <w:marLeft w:val="0"/>
                      <w:marRight w:val="0"/>
                      <w:marTop w:val="0"/>
                      <w:marBottom w:val="0"/>
                      <w:divBdr>
                        <w:top w:val="none" w:sz="0" w:space="0" w:color="auto"/>
                        <w:left w:val="none" w:sz="0" w:space="0" w:color="auto"/>
                        <w:bottom w:val="none" w:sz="0" w:space="0" w:color="auto"/>
                        <w:right w:val="none" w:sz="0" w:space="0" w:color="auto"/>
                      </w:divBdr>
                      <w:divsChild>
                        <w:div w:id="952637964">
                          <w:marLeft w:val="0"/>
                          <w:marRight w:val="0"/>
                          <w:marTop w:val="0"/>
                          <w:marBottom w:val="0"/>
                          <w:divBdr>
                            <w:top w:val="none" w:sz="0" w:space="0" w:color="auto"/>
                            <w:left w:val="none" w:sz="0" w:space="0" w:color="auto"/>
                            <w:bottom w:val="none" w:sz="0" w:space="0" w:color="auto"/>
                            <w:right w:val="none" w:sz="0" w:space="0" w:color="auto"/>
                          </w:divBdr>
                          <w:divsChild>
                            <w:div w:id="89086300">
                              <w:marLeft w:val="0"/>
                              <w:marRight w:val="0"/>
                              <w:marTop w:val="0"/>
                              <w:marBottom w:val="0"/>
                              <w:divBdr>
                                <w:top w:val="none" w:sz="0" w:space="0" w:color="auto"/>
                                <w:left w:val="none" w:sz="0" w:space="0" w:color="auto"/>
                                <w:bottom w:val="none" w:sz="0" w:space="0" w:color="auto"/>
                                <w:right w:val="none" w:sz="0" w:space="0" w:color="auto"/>
                              </w:divBdr>
                              <w:divsChild>
                                <w:div w:id="1294284964">
                                  <w:marLeft w:val="0"/>
                                  <w:marRight w:val="0"/>
                                  <w:marTop w:val="0"/>
                                  <w:marBottom w:val="0"/>
                                  <w:divBdr>
                                    <w:top w:val="none" w:sz="0" w:space="0" w:color="auto"/>
                                    <w:left w:val="none" w:sz="0" w:space="0" w:color="auto"/>
                                    <w:bottom w:val="none" w:sz="0" w:space="0" w:color="auto"/>
                                    <w:right w:val="none" w:sz="0" w:space="0" w:color="auto"/>
                                  </w:divBdr>
                                  <w:divsChild>
                                    <w:div w:id="1112433940">
                                      <w:marLeft w:val="0"/>
                                      <w:marRight w:val="0"/>
                                      <w:marTop w:val="0"/>
                                      <w:marBottom w:val="0"/>
                                      <w:divBdr>
                                        <w:top w:val="none" w:sz="0" w:space="0" w:color="auto"/>
                                        <w:left w:val="none" w:sz="0" w:space="0" w:color="auto"/>
                                        <w:bottom w:val="none" w:sz="0" w:space="0" w:color="auto"/>
                                        <w:right w:val="none" w:sz="0" w:space="0" w:color="auto"/>
                                      </w:divBdr>
                                      <w:divsChild>
                                        <w:div w:id="1758867558">
                                          <w:marLeft w:val="0"/>
                                          <w:marRight w:val="0"/>
                                          <w:marTop w:val="0"/>
                                          <w:marBottom w:val="0"/>
                                          <w:divBdr>
                                            <w:top w:val="none" w:sz="0" w:space="0" w:color="auto"/>
                                            <w:left w:val="none" w:sz="0" w:space="0" w:color="auto"/>
                                            <w:bottom w:val="none" w:sz="0" w:space="0" w:color="auto"/>
                                            <w:right w:val="none" w:sz="0" w:space="0" w:color="auto"/>
                                          </w:divBdr>
                                          <w:divsChild>
                                            <w:div w:id="1483545972">
                                              <w:marLeft w:val="-225"/>
                                              <w:marRight w:val="-225"/>
                                              <w:marTop w:val="0"/>
                                              <w:marBottom w:val="0"/>
                                              <w:divBdr>
                                                <w:top w:val="none" w:sz="0" w:space="0" w:color="auto"/>
                                                <w:left w:val="none" w:sz="0" w:space="0" w:color="auto"/>
                                                <w:bottom w:val="none" w:sz="0" w:space="0" w:color="auto"/>
                                                <w:right w:val="none" w:sz="0" w:space="0" w:color="auto"/>
                                              </w:divBdr>
                                              <w:divsChild>
                                                <w:div w:id="1132292029">
                                                  <w:marLeft w:val="0"/>
                                                  <w:marRight w:val="0"/>
                                                  <w:marTop w:val="0"/>
                                                  <w:marBottom w:val="0"/>
                                                  <w:divBdr>
                                                    <w:top w:val="none" w:sz="0" w:space="0" w:color="auto"/>
                                                    <w:left w:val="none" w:sz="0" w:space="0" w:color="auto"/>
                                                    <w:bottom w:val="none" w:sz="0" w:space="0" w:color="auto"/>
                                                    <w:right w:val="none" w:sz="0" w:space="0" w:color="auto"/>
                                                  </w:divBdr>
                                                  <w:divsChild>
                                                    <w:div w:id="185295537">
                                                      <w:marLeft w:val="0"/>
                                                      <w:marRight w:val="0"/>
                                                      <w:marTop w:val="0"/>
                                                      <w:marBottom w:val="0"/>
                                                      <w:divBdr>
                                                        <w:top w:val="none" w:sz="0" w:space="0" w:color="auto"/>
                                                        <w:left w:val="none" w:sz="0" w:space="0" w:color="auto"/>
                                                        <w:bottom w:val="none" w:sz="0" w:space="0" w:color="auto"/>
                                                        <w:right w:val="none" w:sz="0" w:space="0" w:color="auto"/>
                                                      </w:divBdr>
                                                      <w:divsChild>
                                                        <w:div w:id="1129274822">
                                                          <w:marLeft w:val="0"/>
                                                          <w:marRight w:val="0"/>
                                                          <w:marTop w:val="0"/>
                                                          <w:marBottom w:val="0"/>
                                                          <w:divBdr>
                                                            <w:top w:val="none" w:sz="0" w:space="0" w:color="auto"/>
                                                            <w:left w:val="none" w:sz="0" w:space="0" w:color="auto"/>
                                                            <w:bottom w:val="none" w:sz="0" w:space="0" w:color="auto"/>
                                                            <w:right w:val="none" w:sz="0" w:space="0" w:color="auto"/>
                                                          </w:divBdr>
                                                          <w:divsChild>
                                                            <w:div w:id="1908300788">
                                                              <w:marLeft w:val="0"/>
                                                              <w:marRight w:val="0"/>
                                                              <w:marTop w:val="0"/>
                                                              <w:marBottom w:val="0"/>
                                                              <w:divBdr>
                                                                <w:top w:val="none" w:sz="0" w:space="0" w:color="auto"/>
                                                                <w:left w:val="none" w:sz="0" w:space="0" w:color="auto"/>
                                                                <w:bottom w:val="none" w:sz="0" w:space="0" w:color="auto"/>
                                                                <w:right w:val="none" w:sz="0" w:space="0" w:color="auto"/>
                                                              </w:divBdr>
                                                              <w:divsChild>
                                                                <w:div w:id="1111707219">
                                                                  <w:marLeft w:val="0"/>
                                                                  <w:marRight w:val="0"/>
                                                                  <w:marTop w:val="0"/>
                                                                  <w:marBottom w:val="0"/>
                                                                  <w:divBdr>
                                                                    <w:top w:val="none" w:sz="0" w:space="0" w:color="auto"/>
                                                                    <w:left w:val="none" w:sz="0" w:space="0" w:color="auto"/>
                                                                    <w:bottom w:val="none" w:sz="0" w:space="0" w:color="auto"/>
                                                                    <w:right w:val="none" w:sz="0" w:space="0" w:color="auto"/>
                                                                  </w:divBdr>
                                                                  <w:divsChild>
                                                                    <w:div w:id="264777506">
                                                                      <w:marLeft w:val="0"/>
                                                                      <w:marRight w:val="0"/>
                                                                      <w:marTop w:val="0"/>
                                                                      <w:marBottom w:val="0"/>
                                                                      <w:divBdr>
                                                                        <w:top w:val="none" w:sz="0" w:space="0" w:color="auto"/>
                                                                        <w:left w:val="none" w:sz="0" w:space="0" w:color="auto"/>
                                                                        <w:bottom w:val="none" w:sz="0" w:space="0" w:color="auto"/>
                                                                        <w:right w:val="none" w:sz="0" w:space="0" w:color="auto"/>
                                                                      </w:divBdr>
                                                                      <w:divsChild>
                                                                        <w:div w:id="202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43356">
      <w:bodyDiv w:val="1"/>
      <w:marLeft w:val="0"/>
      <w:marRight w:val="0"/>
      <w:marTop w:val="0"/>
      <w:marBottom w:val="0"/>
      <w:divBdr>
        <w:top w:val="none" w:sz="0" w:space="0" w:color="auto"/>
        <w:left w:val="none" w:sz="0" w:space="0" w:color="auto"/>
        <w:bottom w:val="none" w:sz="0" w:space="0" w:color="auto"/>
        <w:right w:val="none" w:sz="0" w:space="0" w:color="auto"/>
      </w:divBdr>
    </w:div>
    <w:div w:id="944576191">
      <w:bodyDiv w:val="1"/>
      <w:marLeft w:val="0"/>
      <w:marRight w:val="0"/>
      <w:marTop w:val="0"/>
      <w:marBottom w:val="0"/>
      <w:divBdr>
        <w:top w:val="none" w:sz="0" w:space="0" w:color="auto"/>
        <w:left w:val="none" w:sz="0" w:space="0" w:color="auto"/>
        <w:bottom w:val="none" w:sz="0" w:space="0" w:color="auto"/>
        <w:right w:val="none" w:sz="0" w:space="0" w:color="auto"/>
      </w:divBdr>
    </w:div>
    <w:div w:id="949118476">
      <w:bodyDiv w:val="1"/>
      <w:marLeft w:val="0"/>
      <w:marRight w:val="0"/>
      <w:marTop w:val="0"/>
      <w:marBottom w:val="0"/>
      <w:divBdr>
        <w:top w:val="none" w:sz="0" w:space="0" w:color="auto"/>
        <w:left w:val="none" w:sz="0" w:space="0" w:color="auto"/>
        <w:bottom w:val="none" w:sz="0" w:space="0" w:color="auto"/>
        <w:right w:val="none" w:sz="0" w:space="0" w:color="auto"/>
      </w:divBdr>
    </w:div>
    <w:div w:id="962494393">
      <w:bodyDiv w:val="1"/>
      <w:marLeft w:val="0"/>
      <w:marRight w:val="0"/>
      <w:marTop w:val="0"/>
      <w:marBottom w:val="0"/>
      <w:divBdr>
        <w:top w:val="none" w:sz="0" w:space="0" w:color="auto"/>
        <w:left w:val="none" w:sz="0" w:space="0" w:color="auto"/>
        <w:bottom w:val="none" w:sz="0" w:space="0" w:color="auto"/>
        <w:right w:val="none" w:sz="0" w:space="0" w:color="auto"/>
      </w:divBdr>
    </w:div>
    <w:div w:id="979186316">
      <w:bodyDiv w:val="1"/>
      <w:marLeft w:val="0"/>
      <w:marRight w:val="0"/>
      <w:marTop w:val="0"/>
      <w:marBottom w:val="0"/>
      <w:divBdr>
        <w:top w:val="none" w:sz="0" w:space="0" w:color="auto"/>
        <w:left w:val="none" w:sz="0" w:space="0" w:color="auto"/>
        <w:bottom w:val="none" w:sz="0" w:space="0" w:color="auto"/>
        <w:right w:val="none" w:sz="0" w:space="0" w:color="auto"/>
      </w:divBdr>
    </w:div>
    <w:div w:id="991642501">
      <w:bodyDiv w:val="1"/>
      <w:marLeft w:val="0"/>
      <w:marRight w:val="0"/>
      <w:marTop w:val="0"/>
      <w:marBottom w:val="0"/>
      <w:divBdr>
        <w:top w:val="none" w:sz="0" w:space="0" w:color="auto"/>
        <w:left w:val="none" w:sz="0" w:space="0" w:color="auto"/>
        <w:bottom w:val="none" w:sz="0" w:space="0" w:color="auto"/>
        <w:right w:val="none" w:sz="0" w:space="0" w:color="auto"/>
      </w:divBdr>
      <w:divsChild>
        <w:div w:id="955258866">
          <w:marLeft w:val="547"/>
          <w:marRight w:val="0"/>
          <w:marTop w:val="0"/>
          <w:marBottom w:val="120"/>
          <w:divBdr>
            <w:top w:val="none" w:sz="0" w:space="0" w:color="auto"/>
            <w:left w:val="none" w:sz="0" w:space="0" w:color="auto"/>
            <w:bottom w:val="none" w:sz="0" w:space="0" w:color="auto"/>
            <w:right w:val="none" w:sz="0" w:space="0" w:color="auto"/>
          </w:divBdr>
        </w:div>
      </w:divsChild>
    </w:div>
    <w:div w:id="1000813500">
      <w:bodyDiv w:val="1"/>
      <w:marLeft w:val="0"/>
      <w:marRight w:val="0"/>
      <w:marTop w:val="0"/>
      <w:marBottom w:val="0"/>
      <w:divBdr>
        <w:top w:val="none" w:sz="0" w:space="0" w:color="auto"/>
        <w:left w:val="none" w:sz="0" w:space="0" w:color="auto"/>
        <w:bottom w:val="none" w:sz="0" w:space="0" w:color="auto"/>
        <w:right w:val="none" w:sz="0" w:space="0" w:color="auto"/>
      </w:divBdr>
    </w:div>
    <w:div w:id="1004674503">
      <w:bodyDiv w:val="1"/>
      <w:marLeft w:val="0"/>
      <w:marRight w:val="0"/>
      <w:marTop w:val="0"/>
      <w:marBottom w:val="0"/>
      <w:divBdr>
        <w:top w:val="none" w:sz="0" w:space="0" w:color="auto"/>
        <w:left w:val="none" w:sz="0" w:space="0" w:color="auto"/>
        <w:bottom w:val="none" w:sz="0" w:space="0" w:color="auto"/>
        <w:right w:val="none" w:sz="0" w:space="0" w:color="auto"/>
      </w:divBdr>
    </w:div>
    <w:div w:id="1103694453">
      <w:bodyDiv w:val="1"/>
      <w:marLeft w:val="0"/>
      <w:marRight w:val="0"/>
      <w:marTop w:val="0"/>
      <w:marBottom w:val="0"/>
      <w:divBdr>
        <w:top w:val="none" w:sz="0" w:space="0" w:color="auto"/>
        <w:left w:val="none" w:sz="0" w:space="0" w:color="auto"/>
        <w:bottom w:val="none" w:sz="0" w:space="0" w:color="auto"/>
        <w:right w:val="none" w:sz="0" w:space="0" w:color="auto"/>
      </w:divBdr>
    </w:div>
    <w:div w:id="1127242510">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171139712">
      <w:bodyDiv w:val="1"/>
      <w:marLeft w:val="0"/>
      <w:marRight w:val="0"/>
      <w:marTop w:val="0"/>
      <w:marBottom w:val="0"/>
      <w:divBdr>
        <w:top w:val="none" w:sz="0" w:space="0" w:color="auto"/>
        <w:left w:val="none" w:sz="0" w:space="0" w:color="auto"/>
        <w:bottom w:val="none" w:sz="0" w:space="0" w:color="auto"/>
        <w:right w:val="none" w:sz="0" w:space="0" w:color="auto"/>
      </w:divBdr>
      <w:divsChild>
        <w:div w:id="904527954">
          <w:marLeft w:val="0"/>
          <w:marRight w:val="0"/>
          <w:marTop w:val="0"/>
          <w:marBottom w:val="0"/>
          <w:divBdr>
            <w:top w:val="outset" w:sz="8" w:space="0" w:color="auto"/>
            <w:left w:val="outset" w:sz="8" w:space="0" w:color="auto"/>
            <w:bottom w:val="outset" w:sz="8" w:space="0" w:color="auto"/>
            <w:right w:val="outset" w:sz="8" w:space="0" w:color="auto"/>
          </w:divBdr>
        </w:div>
      </w:divsChild>
    </w:div>
    <w:div w:id="1190415067">
      <w:bodyDiv w:val="1"/>
      <w:marLeft w:val="0"/>
      <w:marRight w:val="0"/>
      <w:marTop w:val="0"/>
      <w:marBottom w:val="0"/>
      <w:divBdr>
        <w:top w:val="none" w:sz="0" w:space="0" w:color="auto"/>
        <w:left w:val="none" w:sz="0" w:space="0" w:color="auto"/>
        <w:bottom w:val="none" w:sz="0" w:space="0" w:color="auto"/>
        <w:right w:val="none" w:sz="0" w:space="0" w:color="auto"/>
      </w:divBdr>
    </w:div>
    <w:div w:id="1202547934">
      <w:bodyDiv w:val="1"/>
      <w:marLeft w:val="0"/>
      <w:marRight w:val="0"/>
      <w:marTop w:val="0"/>
      <w:marBottom w:val="0"/>
      <w:divBdr>
        <w:top w:val="none" w:sz="0" w:space="0" w:color="auto"/>
        <w:left w:val="none" w:sz="0" w:space="0" w:color="auto"/>
        <w:bottom w:val="none" w:sz="0" w:space="0" w:color="auto"/>
        <w:right w:val="none" w:sz="0" w:space="0" w:color="auto"/>
      </w:divBdr>
      <w:divsChild>
        <w:div w:id="1518695544">
          <w:marLeft w:val="547"/>
          <w:marRight w:val="0"/>
          <w:marTop w:val="0"/>
          <w:marBottom w:val="120"/>
          <w:divBdr>
            <w:top w:val="none" w:sz="0" w:space="0" w:color="auto"/>
            <w:left w:val="none" w:sz="0" w:space="0" w:color="auto"/>
            <w:bottom w:val="none" w:sz="0" w:space="0" w:color="auto"/>
            <w:right w:val="none" w:sz="0" w:space="0" w:color="auto"/>
          </w:divBdr>
        </w:div>
      </w:divsChild>
    </w:div>
    <w:div w:id="1235581719">
      <w:bodyDiv w:val="1"/>
      <w:marLeft w:val="0"/>
      <w:marRight w:val="0"/>
      <w:marTop w:val="0"/>
      <w:marBottom w:val="0"/>
      <w:divBdr>
        <w:top w:val="none" w:sz="0" w:space="0" w:color="auto"/>
        <w:left w:val="none" w:sz="0" w:space="0" w:color="auto"/>
        <w:bottom w:val="none" w:sz="0" w:space="0" w:color="auto"/>
        <w:right w:val="none" w:sz="0" w:space="0" w:color="auto"/>
      </w:divBdr>
    </w:div>
    <w:div w:id="1239171275">
      <w:bodyDiv w:val="1"/>
      <w:marLeft w:val="0"/>
      <w:marRight w:val="0"/>
      <w:marTop w:val="0"/>
      <w:marBottom w:val="0"/>
      <w:divBdr>
        <w:top w:val="none" w:sz="0" w:space="0" w:color="auto"/>
        <w:left w:val="none" w:sz="0" w:space="0" w:color="auto"/>
        <w:bottom w:val="none" w:sz="0" w:space="0" w:color="auto"/>
        <w:right w:val="none" w:sz="0" w:space="0" w:color="auto"/>
      </w:divBdr>
    </w:div>
    <w:div w:id="1255282350">
      <w:bodyDiv w:val="1"/>
      <w:marLeft w:val="0"/>
      <w:marRight w:val="0"/>
      <w:marTop w:val="0"/>
      <w:marBottom w:val="0"/>
      <w:divBdr>
        <w:top w:val="none" w:sz="0" w:space="0" w:color="auto"/>
        <w:left w:val="none" w:sz="0" w:space="0" w:color="auto"/>
        <w:bottom w:val="none" w:sz="0" w:space="0" w:color="auto"/>
        <w:right w:val="none" w:sz="0" w:space="0" w:color="auto"/>
      </w:divBdr>
    </w:div>
    <w:div w:id="1267420648">
      <w:bodyDiv w:val="1"/>
      <w:marLeft w:val="0"/>
      <w:marRight w:val="0"/>
      <w:marTop w:val="0"/>
      <w:marBottom w:val="0"/>
      <w:divBdr>
        <w:top w:val="none" w:sz="0" w:space="0" w:color="auto"/>
        <w:left w:val="none" w:sz="0" w:space="0" w:color="auto"/>
        <w:bottom w:val="none" w:sz="0" w:space="0" w:color="auto"/>
        <w:right w:val="none" w:sz="0" w:space="0" w:color="auto"/>
      </w:divBdr>
    </w:div>
    <w:div w:id="1280263339">
      <w:bodyDiv w:val="1"/>
      <w:marLeft w:val="0"/>
      <w:marRight w:val="0"/>
      <w:marTop w:val="0"/>
      <w:marBottom w:val="0"/>
      <w:divBdr>
        <w:top w:val="none" w:sz="0" w:space="0" w:color="auto"/>
        <w:left w:val="none" w:sz="0" w:space="0" w:color="auto"/>
        <w:bottom w:val="none" w:sz="0" w:space="0" w:color="auto"/>
        <w:right w:val="none" w:sz="0" w:space="0" w:color="auto"/>
      </w:divBdr>
    </w:div>
    <w:div w:id="1292370569">
      <w:bodyDiv w:val="1"/>
      <w:marLeft w:val="0"/>
      <w:marRight w:val="0"/>
      <w:marTop w:val="0"/>
      <w:marBottom w:val="0"/>
      <w:divBdr>
        <w:top w:val="none" w:sz="0" w:space="0" w:color="auto"/>
        <w:left w:val="none" w:sz="0" w:space="0" w:color="auto"/>
        <w:bottom w:val="none" w:sz="0" w:space="0" w:color="auto"/>
        <w:right w:val="none" w:sz="0" w:space="0" w:color="auto"/>
      </w:divBdr>
      <w:divsChild>
        <w:div w:id="542595904">
          <w:marLeft w:val="0"/>
          <w:marRight w:val="0"/>
          <w:marTop w:val="0"/>
          <w:marBottom w:val="0"/>
          <w:divBdr>
            <w:top w:val="outset" w:sz="8" w:space="0" w:color="auto"/>
            <w:left w:val="outset" w:sz="8" w:space="0" w:color="auto"/>
            <w:bottom w:val="outset" w:sz="8" w:space="0" w:color="auto"/>
            <w:right w:val="outset" w:sz="8" w:space="0" w:color="auto"/>
          </w:divBdr>
        </w:div>
      </w:divsChild>
    </w:div>
    <w:div w:id="1298532203">
      <w:bodyDiv w:val="1"/>
      <w:marLeft w:val="0"/>
      <w:marRight w:val="0"/>
      <w:marTop w:val="0"/>
      <w:marBottom w:val="0"/>
      <w:divBdr>
        <w:top w:val="none" w:sz="0" w:space="0" w:color="auto"/>
        <w:left w:val="none" w:sz="0" w:space="0" w:color="auto"/>
        <w:bottom w:val="none" w:sz="0" w:space="0" w:color="auto"/>
        <w:right w:val="none" w:sz="0" w:space="0" w:color="auto"/>
      </w:divBdr>
    </w:div>
    <w:div w:id="1354456072">
      <w:bodyDiv w:val="1"/>
      <w:marLeft w:val="0"/>
      <w:marRight w:val="0"/>
      <w:marTop w:val="0"/>
      <w:marBottom w:val="0"/>
      <w:divBdr>
        <w:top w:val="none" w:sz="0" w:space="0" w:color="auto"/>
        <w:left w:val="none" w:sz="0" w:space="0" w:color="auto"/>
        <w:bottom w:val="none" w:sz="0" w:space="0" w:color="auto"/>
        <w:right w:val="none" w:sz="0" w:space="0" w:color="auto"/>
      </w:divBdr>
    </w:div>
    <w:div w:id="1393698698">
      <w:bodyDiv w:val="1"/>
      <w:marLeft w:val="0"/>
      <w:marRight w:val="0"/>
      <w:marTop w:val="0"/>
      <w:marBottom w:val="0"/>
      <w:divBdr>
        <w:top w:val="none" w:sz="0" w:space="0" w:color="auto"/>
        <w:left w:val="none" w:sz="0" w:space="0" w:color="auto"/>
        <w:bottom w:val="none" w:sz="0" w:space="0" w:color="auto"/>
        <w:right w:val="none" w:sz="0" w:space="0" w:color="auto"/>
      </w:divBdr>
    </w:div>
    <w:div w:id="1410925376">
      <w:bodyDiv w:val="1"/>
      <w:marLeft w:val="0"/>
      <w:marRight w:val="0"/>
      <w:marTop w:val="0"/>
      <w:marBottom w:val="0"/>
      <w:divBdr>
        <w:top w:val="none" w:sz="0" w:space="0" w:color="auto"/>
        <w:left w:val="none" w:sz="0" w:space="0" w:color="auto"/>
        <w:bottom w:val="none" w:sz="0" w:space="0" w:color="auto"/>
        <w:right w:val="none" w:sz="0" w:space="0" w:color="auto"/>
      </w:divBdr>
    </w:div>
    <w:div w:id="1468158838">
      <w:bodyDiv w:val="1"/>
      <w:marLeft w:val="0"/>
      <w:marRight w:val="0"/>
      <w:marTop w:val="0"/>
      <w:marBottom w:val="0"/>
      <w:divBdr>
        <w:top w:val="none" w:sz="0" w:space="0" w:color="auto"/>
        <w:left w:val="none" w:sz="0" w:space="0" w:color="auto"/>
        <w:bottom w:val="none" w:sz="0" w:space="0" w:color="auto"/>
        <w:right w:val="none" w:sz="0" w:space="0" w:color="auto"/>
      </w:divBdr>
    </w:div>
    <w:div w:id="1490440112">
      <w:bodyDiv w:val="1"/>
      <w:marLeft w:val="0"/>
      <w:marRight w:val="0"/>
      <w:marTop w:val="0"/>
      <w:marBottom w:val="0"/>
      <w:divBdr>
        <w:top w:val="none" w:sz="0" w:space="0" w:color="auto"/>
        <w:left w:val="none" w:sz="0" w:space="0" w:color="auto"/>
        <w:bottom w:val="none" w:sz="0" w:space="0" w:color="auto"/>
        <w:right w:val="none" w:sz="0" w:space="0" w:color="auto"/>
      </w:divBdr>
    </w:div>
    <w:div w:id="1508668648">
      <w:bodyDiv w:val="1"/>
      <w:marLeft w:val="0"/>
      <w:marRight w:val="0"/>
      <w:marTop w:val="0"/>
      <w:marBottom w:val="0"/>
      <w:divBdr>
        <w:top w:val="none" w:sz="0" w:space="0" w:color="auto"/>
        <w:left w:val="none" w:sz="0" w:space="0" w:color="auto"/>
        <w:bottom w:val="none" w:sz="0" w:space="0" w:color="auto"/>
        <w:right w:val="none" w:sz="0" w:space="0" w:color="auto"/>
      </w:divBdr>
    </w:div>
    <w:div w:id="1516462553">
      <w:bodyDiv w:val="1"/>
      <w:marLeft w:val="0"/>
      <w:marRight w:val="0"/>
      <w:marTop w:val="0"/>
      <w:marBottom w:val="0"/>
      <w:divBdr>
        <w:top w:val="none" w:sz="0" w:space="0" w:color="auto"/>
        <w:left w:val="none" w:sz="0" w:space="0" w:color="auto"/>
        <w:bottom w:val="none" w:sz="0" w:space="0" w:color="auto"/>
        <w:right w:val="none" w:sz="0" w:space="0" w:color="auto"/>
      </w:divBdr>
      <w:divsChild>
        <w:div w:id="1217622590">
          <w:marLeft w:val="0"/>
          <w:marRight w:val="0"/>
          <w:marTop w:val="0"/>
          <w:marBottom w:val="0"/>
          <w:divBdr>
            <w:top w:val="outset" w:sz="8" w:space="0" w:color="auto"/>
            <w:left w:val="outset" w:sz="8" w:space="0" w:color="auto"/>
            <w:bottom w:val="outset" w:sz="8" w:space="0" w:color="auto"/>
            <w:right w:val="outset" w:sz="8" w:space="0" w:color="auto"/>
          </w:divBdr>
        </w:div>
      </w:divsChild>
    </w:div>
    <w:div w:id="1596129285">
      <w:bodyDiv w:val="1"/>
      <w:marLeft w:val="0"/>
      <w:marRight w:val="0"/>
      <w:marTop w:val="0"/>
      <w:marBottom w:val="0"/>
      <w:divBdr>
        <w:top w:val="none" w:sz="0" w:space="0" w:color="auto"/>
        <w:left w:val="none" w:sz="0" w:space="0" w:color="auto"/>
        <w:bottom w:val="none" w:sz="0" w:space="0" w:color="auto"/>
        <w:right w:val="none" w:sz="0" w:space="0" w:color="auto"/>
      </w:divBdr>
    </w:div>
    <w:div w:id="1618877403">
      <w:bodyDiv w:val="1"/>
      <w:marLeft w:val="0"/>
      <w:marRight w:val="0"/>
      <w:marTop w:val="0"/>
      <w:marBottom w:val="0"/>
      <w:divBdr>
        <w:top w:val="none" w:sz="0" w:space="0" w:color="auto"/>
        <w:left w:val="none" w:sz="0" w:space="0" w:color="auto"/>
        <w:bottom w:val="none" w:sz="0" w:space="0" w:color="auto"/>
        <w:right w:val="none" w:sz="0" w:space="0" w:color="auto"/>
      </w:divBdr>
    </w:div>
    <w:div w:id="1621499093">
      <w:bodyDiv w:val="1"/>
      <w:marLeft w:val="0"/>
      <w:marRight w:val="0"/>
      <w:marTop w:val="0"/>
      <w:marBottom w:val="0"/>
      <w:divBdr>
        <w:top w:val="none" w:sz="0" w:space="0" w:color="auto"/>
        <w:left w:val="none" w:sz="0" w:space="0" w:color="auto"/>
        <w:bottom w:val="none" w:sz="0" w:space="0" w:color="auto"/>
        <w:right w:val="none" w:sz="0" w:space="0" w:color="auto"/>
      </w:divBdr>
    </w:div>
    <w:div w:id="1655261423">
      <w:bodyDiv w:val="1"/>
      <w:marLeft w:val="0"/>
      <w:marRight w:val="0"/>
      <w:marTop w:val="0"/>
      <w:marBottom w:val="0"/>
      <w:divBdr>
        <w:top w:val="none" w:sz="0" w:space="0" w:color="auto"/>
        <w:left w:val="none" w:sz="0" w:space="0" w:color="auto"/>
        <w:bottom w:val="none" w:sz="0" w:space="0" w:color="auto"/>
        <w:right w:val="none" w:sz="0" w:space="0" w:color="auto"/>
      </w:divBdr>
    </w:div>
    <w:div w:id="1664626948">
      <w:bodyDiv w:val="1"/>
      <w:marLeft w:val="0"/>
      <w:marRight w:val="0"/>
      <w:marTop w:val="0"/>
      <w:marBottom w:val="0"/>
      <w:divBdr>
        <w:top w:val="none" w:sz="0" w:space="0" w:color="auto"/>
        <w:left w:val="none" w:sz="0" w:space="0" w:color="auto"/>
        <w:bottom w:val="none" w:sz="0" w:space="0" w:color="auto"/>
        <w:right w:val="none" w:sz="0" w:space="0" w:color="auto"/>
      </w:divBdr>
    </w:div>
    <w:div w:id="1667056503">
      <w:bodyDiv w:val="1"/>
      <w:marLeft w:val="0"/>
      <w:marRight w:val="0"/>
      <w:marTop w:val="0"/>
      <w:marBottom w:val="0"/>
      <w:divBdr>
        <w:top w:val="none" w:sz="0" w:space="0" w:color="auto"/>
        <w:left w:val="none" w:sz="0" w:space="0" w:color="auto"/>
        <w:bottom w:val="none" w:sz="0" w:space="0" w:color="auto"/>
        <w:right w:val="none" w:sz="0" w:space="0" w:color="auto"/>
      </w:divBdr>
    </w:div>
    <w:div w:id="1667127057">
      <w:bodyDiv w:val="1"/>
      <w:marLeft w:val="0"/>
      <w:marRight w:val="0"/>
      <w:marTop w:val="0"/>
      <w:marBottom w:val="0"/>
      <w:divBdr>
        <w:top w:val="none" w:sz="0" w:space="0" w:color="auto"/>
        <w:left w:val="none" w:sz="0" w:space="0" w:color="auto"/>
        <w:bottom w:val="none" w:sz="0" w:space="0" w:color="auto"/>
        <w:right w:val="none" w:sz="0" w:space="0" w:color="auto"/>
      </w:divBdr>
    </w:div>
    <w:div w:id="1758986458">
      <w:bodyDiv w:val="1"/>
      <w:marLeft w:val="0"/>
      <w:marRight w:val="0"/>
      <w:marTop w:val="0"/>
      <w:marBottom w:val="0"/>
      <w:divBdr>
        <w:top w:val="none" w:sz="0" w:space="0" w:color="auto"/>
        <w:left w:val="none" w:sz="0" w:space="0" w:color="auto"/>
        <w:bottom w:val="none" w:sz="0" w:space="0" w:color="auto"/>
        <w:right w:val="none" w:sz="0" w:space="0" w:color="auto"/>
      </w:divBdr>
    </w:div>
    <w:div w:id="1772774860">
      <w:bodyDiv w:val="1"/>
      <w:marLeft w:val="0"/>
      <w:marRight w:val="0"/>
      <w:marTop w:val="0"/>
      <w:marBottom w:val="0"/>
      <w:divBdr>
        <w:top w:val="none" w:sz="0" w:space="0" w:color="auto"/>
        <w:left w:val="none" w:sz="0" w:space="0" w:color="auto"/>
        <w:bottom w:val="none" w:sz="0" w:space="0" w:color="auto"/>
        <w:right w:val="none" w:sz="0" w:space="0" w:color="auto"/>
      </w:divBdr>
    </w:div>
    <w:div w:id="1799444992">
      <w:bodyDiv w:val="1"/>
      <w:marLeft w:val="0"/>
      <w:marRight w:val="0"/>
      <w:marTop w:val="0"/>
      <w:marBottom w:val="0"/>
      <w:divBdr>
        <w:top w:val="none" w:sz="0" w:space="0" w:color="auto"/>
        <w:left w:val="none" w:sz="0" w:space="0" w:color="auto"/>
        <w:bottom w:val="none" w:sz="0" w:space="0" w:color="auto"/>
        <w:right w:val="none" w:sz="0" w:space="0" w:color="auto"/>
      </w:divBdr>
    </w:div>
    <w:div w:id="1816487575">
      <w:bodyDiv w:val="1"/>
      <w:marLeft w:val="0"/>
      <w:marRight w:val="0"/>
      <w:marTop w:val="0"/>
      <w:marBottom w:val="0"/>
      <w:divBdr>
        <w:top w:val="none" w:sz="0" w:space="0" w:color="auto"/>
        <w:left w:val="none" w:sz="0" w:space="0" w:color="auto"/>
        <w:bottom w:val="none" w:sz="0" w:space="0" w:color="auto"/>
        <w:right w:val="none" w:sz="0" w:space="0" w:color="auto"/>
      </w:divBdr>
      <w:divsChild>
        <w:div w:id="179440570">
          <w:marLeft w:val="547"/>
          <w:marRight w:val="0"/>
          <w:marTop w:val="0"/>
          <w:marBottom w:val="120"/>
          <w:divBdr>
            <w:top w:val="none" w:sz="0" w:space="0" w:color="auto"/>
            <w:left w:val="none" w:sz="0" w:space="0" w:color="auto"/>
            <w:bottom w:val="none" w:sz="0" w:space="0" w:color="auto"/>
            <w:right w:val="none" w:sz="0" w:space="0" w:color="auto"/>
          </w:divBdr>
        </w:div>
      </w:divsChild>
    </w:div>
    <w:div w:id="1826847970">
      <w:bodyDiv w:val="1"/>
      <w:marLeft w:val="0"/>
      <w:marRight w:val="0"/>
      <w:marTop w:val="0"/>
      <w:marBottom w:val="0"/>
      <w:divBdr>
        <w:top w:val="none" w:sz="0" w:space="0" w:color="auto"/>
        <w:left w:val="none" w:sz="0" w:space="0" w:color="auto"/>
        <w:bottom w:val="none" w:sz="0" w:space="0" w:color="auto"/>
        <w:right w:val="none" w:sz="0" w:space="0" w:color="auto"/>
      </w:divBdr>
    </w:div>
    <w:div w:id="1934313562">
      <w:bodyDiv w:val="1"/>
      <w:marLeft w:val="0"/>
      <w:marRight w:val="0"/>
      <w:marTop w:val="0"/>
      <w:marBottom w:val="0"/>
      <w:divBdr>
        <w:top w:val="none" w:sz="0" w:space="0" w:color="auto"/>
        <w:left w:val="none" w:sz="0" w:space="0" w:color="auto"/>
        <w:bottom w:val="none" w:sz="0" w:space="0" w:color="auto"/>
        <w:right w:val="none" w:sz="0" w:space="0" w:color="auto"/>
      </w:divBdr>
    </w:div>
    <w:div w:id="1950113983">
      <w:bodyDiv w:val="1"/>
      <w:marLeft w:val="0"/>
      <w:marRight w:val="0"/>
      <w:marTop w:val="0"/>
      <w:marBottom w:val="0"/>
      <w:divBdr>
        <w:top w:val="none" w:sz="0" w:space="0" w:color="auto"/>
        <w:left w:val="none" w:sz="0" w:space="0" w:color="auto"/>
        <w:bottom w:val="none" w:sz="0" w:space="0" w:color="auto"/>
        <w:right w:val="none" w:sz="0" w:space="0" w:color="auto"/>
      </w:divBdr>
    </w:div>
    <w:div w:id="1971864350">
      <w:bodyDiv w:val="1"/>
      <w:marLeft w:val="0"/>
      <w:marRight w:val="0"/>
      <w:marTop w:val="0"/>
      <w:marBottom w:val="0"/>
      <w:divBdr>
        <w:top w:val="none" w:sz="0" w:space="0" w:color="auto"/>
        <w:left w:val="none" w:sz="0" w:space="0" w:color="auto"/>
        <w:bottom w:val="none" w:sz="0" w:space="0" w:color="auto"/>
        <w:right w:val="none" w:sz="0" w:space="0" w:color="auto"/>
      </w:divBdr>
    </w:div>
    <w:div w:id="1976182912">
      <w:bodyDiv w:val="1"/>
      <w:marLeft w:val="0"/>
      <w:marRight w:val="0"/>
      <w:marTop w:val="0"/>
      <w:marBottom w:val="0"/>
      <w:divBdr>
        <w:top w:val="none" w:sz="0" w:space="0" w:color="auto"/>
        <w:left w:val="none" w:sz="0" w:space="0" w:color="auto"/>
        <w:bottom w:val="none" w:sz="0" w:space="0" w:color="auto"/>
        <w:right w:val="none" w:sz="0" w:space="0" w:color="auto"/>
      </w:divBdr>
    </w:div>
    <w:div w:id="1978337965">
      <w:bodyDiv w:val="1"/>
      <w:marLeft w:val="0"/>
      <w:marRight w:val="0"/>
      <w:marTop w:val="0"/>
      <w:marBottom w:val="0"/>
      <w:divBdr>
        <w:top w:val="none" w:sz="0" w:space="0" w:color="auto"/>
        <w:left w:val="none" w:sz="0" w:space="0" w:color="auto"/>
        <w:bottom w:val="none" w:sz="0" w:space="0" w:color="auto"/>
        <w:right w:val="none" w:sz="0" w:space="0" w:color="auto"/>
      </w:divBdr>
    </w:div>
    <w:div w:id="2003773235">
      <w:bodyDiv w:val="1"/>
      <w:marLeft w:val="0"/>
      <w:marRight w:val="0"/>
      <w:marTop w:val="0"/>
      <w:marBottom w:val="0"/>
      <w:divBdr>
        <w:top w:val="none" w:sz="0" w:space="0" w:color="auto"/>
        <w:left w:val="none" w:sz="0" w:space="0" w:color="auto"/>
        <w:bottom w:val="none" w:sz="0" w:space="0" w:color="auto"/>
        <w:right w:val="none" w:sz="0" w:space="0" w:color="auto"/>
      </w:divBdr>
    </w:div>
    <w:div w:id="2009671786">
      <w:bodyDiv w:val="1"/>
      <w:marLeft w:val="0"/>
      <w:marRight w:val="0"/>
      <w:marTop w:val="0"/>
      <w:marBottom w:val="0"/>
      <w:divBdr>
        <w:top w:val="none" w:sz="0" w:space="0" w:color="auto"/>
        <w:left w:val="none" w:sz="0" w:space="0" w:color="auto"/>
        <w:bottom w:val="none" w:sz="0" w:space="0" w:color="auto"/>
        <w:right w:val="none" w:sz="0" w:space="0" w:color="auto"/>
      </w:divBdr>
    </w:div>
    <w:div w:id="2010717942">
      <w:bodyDiv w:val="1"/>
      <w:marLeft w:val="0"/>
      <w:marRight w:val="0"/>
      <w:marTop w:val="0"/>
      <w:marBottom w:val="0"/>
      <w:divBdr>
        <w:top w:val="none" w:sz="0" w:space="0" w:color="auto"/>
        <w:left w:val="none" w:sz="0" w:space="0" w:color="auto"/>
        <w:bottom w:val="none" w:sz="0" w:space="0" w:color="auto"/>
        <w:right w:val="none" w:sz="0" w:space="0" w:color="auto"/>
      </w:divBdr>
    </w:div>
    <w:div w:id="2020082990">
      <w:bodyDiv w:val="1"/>
      <w:marLeft w:val="0"/>
      <w:marRight w:val="0"/>
      <w:marTop w:val="0"/>
      <w:marBottom w:val="0"/>
      <w:divBdr>
        <w:top w:val="none" w:sz="0" w:space="0" w:color="auto"/>
        <w:left w:val="none" w:sz="0" w:space="0" w:color="auto"/>
        <w:bottom w:val="none" w:sz="0" w:space="0" w:color="auto"/>
        <w:right w:val="none" w:sz="0" w:space="0" w:color="auto"/>
      </w:divBdr>
    </w:div>
    <w:div w:id="2079861985">
      <w:bodyDiv w:val="1"/>
      <w:marLeft w:val="0"/>
      <w:marRight w:val="0"/>
      <w:marTop w:val="0"/>
      <w:marBottom w:val="0"/>
      <w:divBdr>
        <w:top w:val="none" w:sz="0" w:space="0" w:color="auto"/>
        <w:left w:val="none" w:sz="0" w:space="0" w:color="auto"/>
        <w:bottom w:val="none" w:sz="0" w:space="0" w:color="auto"/>
        <w:right w:val="none" w:sz="0" w:space="0" w:color="auto"/>
      </w:divBdr>
    </w:div>
    <w:div w:id="2084835331">
      <w:bodyDiv w:val="1"/>
      <w:marLeft w:val="0"/>
      <w:marRight w:val="0"/>
      <w:marTop w:val="0"/>
      <w:marBottom w:val="0"/>
      <w:divBdr>
        <w:top w:val="none" w:sz="0" w:space="0" w:color="auto"/>
        <w:left w:val="none" w:sz="0" w:space="0" w:color="auto"/>
        <w:bottom w:val="none" w:sz="0" w:space="0" w:color="auto"/>
        <w:right w:val="none" w:sz="0" w:space="0" w:color="auto"/>
      </w:divBdr>
    </w:div>
    <w:div w:id="2120683418">
      <w:bodyDiv w:val="1"/>
      <w:marLeft w:val="0"/>
      <w:marRight w:val="0"/>
      <w:marTop w:val="0"/>
      <w:marBottom w:val="0"/>
      <w:divBdr>
        <w:top w:val="none" w:sz="0" w:space="0" w:color="auto"/>
        <w:left w:val="none" w:sz="0" w:space="0" w:color="auto"/>
        <w:bottom w:val="none" w:sz="0" w:space="0" w:color="auto"/>
        <w:right w:val="none" w:sz="0" w:space="0" w:color="auto"/>
      </w:divBdr>
    </w:div>
    <w:div w:id="2140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o20022.org/documents/messages/acmt/schemas/acmt.003.001.05.zi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cfs.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s://validation.iso-payments.ch/scf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1DFA-7652-46E9-A7D6-76744DF1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7034</Words>
  <Characters>40931</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47870</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CHAPMAN Janice</cp:lastModifiedBy>
  <cp:revision>4</cp:revision>
  <cp:lastPrinted>2017-05-03T06:56:00Z</cp:lastPrinted>
  <dcterms:created xsi:type="dcterms:W3CDTF">2017-06-07T06:50:00Z</dcterms:created>
  <dcterms:modified xsi:type="dcterms:W3CDTF">2017-09-25T11:33:00Z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