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EA" w:rsidRPr="006278ED" w:rsidRDefault="00FA18EA">
      <w:pPr>
        <w:pStyle w:val="Productvariant"/>
        <w:rPr>
          <w:lang w:val="en-US"/>
        </w:rPr>
      </w:pPr>
    </w:p>
    <w:p w:rsidR="009544A7" w:rsidRDefault="009544A7">
      <w:pPr>
        <w:pStyle w:val="DocumentTitle"/>
      </w:pPr>
    </w:p>
    <w:p w:rsidR="009544A7" w:rsidRDefault="009544A7">
      <w:pPr>
        <w:pStyle w:val="DocumentTitle"/>
      </w:pPr>
    </w:p>
    <w:p w:rsidR="00737136" w:rsidRPr="00737136" w:rsidRDefault="009544A7" w:rsidP="009544A7">
      <w:pPr>
        <w:pBdr>
          <w:top w:val="single" w:sz="4" w:space="0" w:color="auto"/>
          <w:left w:val="single" w:sz="4" w:space="4" w:color="auto"/>
          <w:bottom w:val="single" w:sz="4" w:space="1" w:color="auto"/>
          <w:right w:val="single" w:sz="4" w:space="4" w:color="auto"/>
        </w:pBdr>
        <w:shd w:val="pct12" w:color="000000" w:fill="FFFFFF"/>
        <w:jc w:val="center"/>
        <w:rPr>
          <w:rFonts w:cs="Arial"/>
          <w:sz w:val="44"/>
          <w:szCs w:val="44"/>
        </w:rPr>
      </w:pPr>
      <w:bookmarkStart w:id="0" w:name="_Toc89772567"/>
      <w:bookmarkStart w:id="1" w:name="_Toc89773526"/>
      <w:r w:rsidRPr="00737136">
        <w:rPr>
          <w:rFonts w:cs="Arial"/>
          <w:sz w:val="44"/>
          <w:szCs w:val="44"/>
        </w:rPr>
        <w:t xml:space="preserve">SMPG </w:t>
      </w:r>
    </w:p>
    <w:p w:rsidR="009544A7" w:rsidRPr="00737136" w:rsidRDefault="009544A7" w:rsidP="009544A7">
      <w:pPr>
        <w:pBdr>
          <w:top w:val="single" w:sz="4" w:space="0" w:color="auto"/>
          <w:left w:val="single" w:sz="4" w:space="4" w:color="auto"/>
          <w:bottom w:val="single" w:sz="4" w:space="1" w:color="auto"/>
          <w:right w:val="single" w:sz="4" w:space="4" w:color="auto"/>
        </w:pBdr>
        <w:shd w:val="pct12" w:color="000000" w:fill="FFFFFF"/>
        <w:jc w:val="center"/>
        <w:rPr>
          <w:rFonts w:cs="Arial"/>
          <w:sz w:val="44"/>
          <w:szCs w:val="44"/>
        </w:rPr>
      </w:pPr>
      <w:r w:rsidRPr="00737136">
        <w:rPr>
          <w:rFonts w:cs="Arial"/>
          <w:sz w:val="44"/>
          <w:szCs w:val="44"/>
        </w:rPr>
        <w:t xml:space="preserve">Global Meeting </w:t>
      </w:r>
    </w:p>
    <w:p w:rsidR="009544A7" w:rsidRPr="00737136" w:rsidRDefault="009544A7" w:rsidP="009544A7">
      <w:pPr>
        <w:pBdr>
          <w:top w:val="single" w:sz="4" w:space="0" w:color="auto"/>
          <w:left w:val="single" w:sz="4" w:space="4" w:color="auto"/>
          <w:bottom w:val="single" w:sz="4" w:space="1" w:color="auto"/>
          <w:right w:val="single" w:sz="4" w:space="4" w:color="auto"/>
        </w:pBdr>
        <w:shd w:val="pct12" w:color="000000" w:fill="FFFFFF"/>
        <w:jc w:val="center"/>
        <w:rPr>
          <w:rFonts w:cs="Arial"/>
          <w:sz w:val="44"/>
          <w:szCs w:val="44"/>
        </w:rPr>
      </w:pPr>
      <w:r w:rsidRPr="00737136">
        <w:rPr>
          <w:rFonts w:cs="Arial"/>
          <w:sz w:val="44"/>
          <w:szCs w:val="44"/>
        </w:rPr>
        <w:t>Investment Funds Working Group</w:t>
      </w:r>
    </w:p>
    <w:p w:rsidR="009544A7" w:rsidRPr="00712617" w:rsidRDefault="009544A7" w:rsidP="009544A7">
      <w:pPr>
        <w:pBdr>
          <w:top w:val="single" w:sz="4" w:space="0" w:color="auto"/>
          <w:left w:val="single" w:sz="4" w:space="4" w:color="auto"/>
          <w:bottom w:val="single" w:sz="4" w:space="1" w:color="auto"/>
          <w:right w:val="single" w:sz="4" w:space="4" w:color="auto"/>
        </w:pBdr>
        <w:shd w:val="pct12" w:color="000000" w:fill="FFFFFF"/>
        <w:jc w:val="center"/>
        <w:rPr>
          <w:rFonts w:cs="Arial"/>
          <w:sz w:val="44"/>
          <w:szCs w:val="44"/>
        </w:rPr>
      </w:pPr>
      <w:r w:rsidRPr="00712617">
        <w:rPr>
          <w:rFonts w:cs="Arial"/>
          <w:sz w:val="44"/>
          <w:szCs w:val="44"/>
        </w:rPr>
        <w:t>Minutes</w:t>
      </w:r>
      <w:bookmarkEnd w:id="0"/>
      <w:bookmarkEnd w:id="1"/>
      <w:r w:rsidRPr="00712617">
        <w:rPr>
          <w:rFonts w:cs="Arial"/>
          <w:sz w:val="44"/>
          <w:szCs w:val="44"/>
        </w:rPr>
        <w:t xml:space="preserve"> (</w:t>
      </w:r>
      <w:r w:rsidR="00680EF2" w:rsidRPr="00712617">
        <w:rPr>
          <w:rFonts w:cs="Arial"/>
          <w:sz w:val="44"/>
          <w:szCs w:val="44"/>
        </w:rPr>
        <w:t>V</w:t>
      </w:r>
      <w:r w:rsidR="00712617" w:rsidRPr="00712617">
        <w:rPr>
          <w:rFonts w:cs="Arial"/>
          <w:sz w:val="44"/>
          <w:szCs w:val="44"/>
        </w:rPr>
        <w:t>1</w:t>
      </w:r>
      <w:r w:rsidRPr="00712617">
        <w:rPr>
          <w:rFonts w:cs="Arial"/>
          <w:sz w:val="44"/>
          <w:szCs w:val="44"/>
        </w:rPr>
        <w:t xml:space="preserve"> – </w:t>
      </w:r>
      <w:r w:rsidR="008A2A61">
        <w:rPr>
          <w:rFonts w:cs="Arial"/>
          <w:color w:val="FF0000"/>
          <w:sz w:val="44"/>
          <w:szCs w:val="44"/>
        </w:rPr>
        <w:t>28</w:t>
      </w:r>
      <w:r w:rsidR="00680EF2" w:rsidRPr="00712617">
        <w:rPr>
          <w:rFonts w:cs="Arial"/>
          <w:color w:val="FF0000"/>
          <w:sz w:val="44"/>
          <w:szCs w:val="44"/>
        </w:rPr>
        <w:t xml:space="preserve"> </w:t>
      </w:r>
      <w:r w:rsidR="00712617" w:rsidRPr="00712617">
        <w:rPr>
          <w:rFonts w:cs="Arial"/>
          <w:color w:val="FF0000"/>
          <w:sz w:val="44"/>
          <w:szCs w:val="44"/>
        </w:rPr>
        <w:t>October</w:t>
      </w:r>
      <w:r w:rsidR="008A2A61">
        <w:rPr>
          <w:rFonts w:cs="Arial"/>
          <w:color w:val="FF0000"/>
          <w:sz w:val="44"/>
          <w:szCs w:val="44"/>
        </w:rPr>
        <w:t xml:space="preserve"> 2013</w:t>
      </w:r>
      <w:r w:rsidRPr="00712617">
        <w:rPr>
          <w:rFonts w:cs="Arial"/>
          <w:sz w:val="44"/>
          <w:szCs w:val="44"/>
        </w:rPr>
        <w:t>)</w:t>
      </w:r>
    </w:p>
    <w:p w:rsidR="009544A7" w:rsidRPr="00B5377B" w:rsidRDefault="009456DC" w:rsidP="00A551E4">
      <w:pPr>
        <w:pBdr>
          <w:top w:val="single" w:sz="4" w:space="0" w:color="auto"/>
          <w:left w:val="single" w:sz="4" w:space="4" w:color="auto"/>
          <w:bottom w:val="single" w:sz="4" w:space="1" w:color="auto"/>
          <w:right w:val="single" w:sz="4" w:space="4" w:color="auto"/>
        </w:pBdr>
        <w:shd w:val="pct12" w:color="000000" w:fill="FFFFFF"/>
        <w:jc w:val="center"/>
        <w:rPr>
          <w:rFonts w:cs="Arial"/>
          <w:sz w:val="44"/>
          <w:szCs w:val="44"/>
          <w:lang w:val="en-US"/>
        </w:rPr>
        <w:sectPr w:rsidR="009544A7" w:rsidRPr="00B5377B" w:rsidSect="003100F4">
          <w:headerReference w:type="default" r:id="rId9"/>
          <w:footerReference w:type="default" r:id="rId10"/>
          <w:pgSz w:w="11909" w:h="16834" w:code="9"/>
          <w:pgMar w:top="1440" w:right="1152" w:bottom="1440" w:left="1152" w:header="720" w:footer="720" w:gutter="0"/>
          <w:cols w:space="720"/>
        </w:sectPr>
      </w:pPr>
      <w:r>
        <w:rPr>
          <w:rFonts w:cs="Arial"/>
          <w:sz w:val="44"/>
          <w:szCs w:val="44"/>
          <w:lang w:val="en-US"/>
        </w:rPr>
        <w:t xml:space="preserve">VP Securities, </w:t>
      </w:r>
      <w:r w:rsidR="007002FE">
        <w:rPr>
          <w:rFonts w:cs="Arial"/>
          <w:sz w:val="44"/>
          <w:szCs w:val="44"/>
          <w:lang w:val="en-US"/>
        </w:rPr>
        <w:t>Copenhagen</w:t>
      </w:r>
      <w:r w:rsidR="00A551E4" w:rsidRPr="00B5377B">
        <w:rPr>
          <w:rFonts w:cs="Arial"/>
          <w:sz w:val="44"/>
          <w:szCs w:val="44"/>
          <w:lang w:val="en-US"/>
        </w:rPr>
        <w:t xml:space="preserve"> 2</w:t>
      </w:r>
      <w:r w:rsidR="00712617">
        <w:rPr>
          <w:rFonts w:cs="Arial"/>
          <w:sz w:val="44"/>
          <w:szCs w:val="44"/>
          <w:lang w:val="en-US"/>
        </w:rPr>
        <w:t>2</w:t>
      </w:r>
      <w:r w:rsidR="009544A7" w:rsidRPr="00B5377B">
        <w:rPr>
          <w:rFonts w:cs="Arial"/>
          <w:sz w:val="44"/>
          <w:szCs w:val="44"/>
          <w:vertAlign w:val="superscript"/>
          <w:lang w:val="en-US"/>
        </w:rPr>
        <w:t xml:space="preserve"> </w:t>
      </w:r>
      <w:r w:rsidR="009544A7" w:rsidRPr="00B5377B">
        <w:rPr>
          <w:rFonts w:cs="Arial"/>
          <w:sz w:val="44"/>
          <w:szCs w:val="44"/>
          <w:lang w:val="en-US"/>
        </w:rPr>
        <w:t xml:space="preserve">- </w:t>
      </w:r>
      <w:r w:rsidR="00A551E4" w:rsidRPr="00B5377B">
        <w:rPr>
          <w:rFonts w:cs="Arial"/>
          <w:sz w:val="44"/>
          <w:szCs w:val="44"/>
          <w:lang w:val="en-US"/>
        </w:rPr>
        <w:t>2</w:t>
      </w:r>
      <w:r w:rsidR="00712617">
        <w:rPr>
          <w:rFonts w:cs="Arial"/>
          <w:sz w:val="44"/>
          <w:szCs w:val="44"/>
          <w:lang w:val="en-US"/>
        </w:rPr>
        <w:t>3</w:t>
      </w:r>
      <w:r w:rsidR="009544A7" w:rsidRPr="00B5377B">
        <w:rPr>
          <w:rFonts w:cs="Arial"/>
          <w:sz w:val="44"/>
          <w:szCs w:val="44"/>
          <w:lang w:val="en-US"/>
        </w:rPr>
        <w:t xml:space="preserve"> </w:t>
      </w:r>
      <w:r w:rsidR="00712617">
        <w:rPr>
          <w:rFonts w:cs="Arial"/>
          <w:sz w:val="44"/>
          <w:szCs w:val="44"/>
          <w:lang w:val="en-US"/>
        </w:rPr>
        <w:t>October</w:t>
      </w:r>
      <w:r w:rsidR="00A551E4" w:rsidRPr="00B5377B">
        <w:rPr>
          <w:rFonts w:cs="Arial"/>
          <w:sz w:val="44"/>
          <w:szCs w:val="44"/>
          <w:lang w:val="en-US"/>
        </w:rPr>
        <w:t xml:space="preserve"> 2013</w:t>
      </w:r>
      <w:r w:rsidR="005D090A">
        <w:rPr>
          <w:rFonts w:cs="Arial"/>
          <w:sz w:val="44"/>
          <w:szCs w:val="44"/>
          <w:lang w:val="en-US"/>
        </w:rPr>
        <w:tab/>
      </w:r>
      <w:r w:rsidR="005D090A">
        <w:rPr>
          <w:rFonts w:cs="Arial"/>
          <w:sz w:val="44"/>
          <w:szCs w:val="44"/>
          <w:lang w:val="en-US"/>
        </w:rPr>
        <w:tab/>
      </w:r>
    </w:p>
    <w:p w:rsidR="00FA18EA" w:rsidRDefault="00FA18EA">
      <w:pPr>
        <w:pStyle w:val="IntroHeading"/>
      </w:pPr>
      <w:bookmarkStart w:id="2" w:name="_Toc377395893"/>
      <w:r>
        <w:lastRenderedPageBreak/>
        <w:t>Table of Contents</w:t>
      </w:r>
      <w:bookmarkEnd w:id="2"/>
    </w:p>
    <w:p w:rsidR="009456DC" w:rsidRDefault="00FA1473">
      <w:pPr>
        <w:pStyle w:val="TOC1"/>
        <w:rPr>
          <w:rFonts w:asciiTheme="minorHAnsi" w:eastAsiaTheme="minorEastAsia" w:hAnsiTheme="minorHAnsi" w:cstheme="minorBidi"/>
          <w:b w:val="0"/>
          <w:sz w:val="22"/>
          <w:szCs w:val="22"/>
          <w:lang w:eastAsia="en-GB"/>
        </w:rPr>
      </w:pPr>
      <w:r>
        <w:rPr>
          <w:b w:val="0"/>
          <w:snapToGrid w:val="0"/>
          <w:sz w:val="20"/>
        </w:rPr>
        <w:fldChar w:fldCharType="begin"/>
      </w:r>
      <w:r>
        <w:rPr>
          <w:b w:val="0"/>
          <w:snapToGrid w:val="0"/>
          <w:sz w:val="20"/>
        </w:rPr>
        <w:instrText xml:space="preserve"> TOC \o "1-3" \h \z \u </w:instrText>
      </w:r>
      <w:r>
        <w:rPr>
          <w:b w:val="0"/>
          <w:snapToGrid w:val="0"/>
          <w:sz w:val="20"/>
        </w:rPr>
        <w:fldChar w:fldCharType="separate"/>
      </w:r>
      <w:hyperlink w:anchor="_Toc377395893" w:history="1">
        <w:r w:rsidR="009456DC" w:rsidRPr="00E453CA">
          <w:rPr>
            <w:rStyle w:val="Hyperlink"/>
          </w:rPr>
          <w:t>Table of Contents</w:t>
        </w:r>
        <w:r w:rsidR="009456DC">
          <w:rPr>
            <w:webHidden/>
          </w:rPr>
          <w:tab/>
        </w:r>
        <w:r w:rsidR="009456DC">
          <w:rPr>
            <w:webHidden/>
          </w:rPr>
          <w:fldChar w:fldCharType="begin"/>
        </w:r>
        <w:r w:rsidR="009456DC">
          <w:rPr>
            <w:webHidden/>
          </w:rPr>
          <w:instrText xml:space="preserve"> PAGEREF _Toc377395893 \h </w:instrText>
        </w:r>
        <w:r w:rsidR="009456DC">
          <w:rPr>
            <w:webHidden/>
          </w:rPr>
        </w:r>
        <w:r w:rsidR="009456DC">
          <w:rPr>
            <w:webHidden/>
          </w:rPr>
          <w:fldChar w:fldCharType="separate"/>
        </w:r>
        <w:r w:rsidR="009456DC">
          <w:rPr>
            <w:webHidden/>
          </w:rPr>
          <w:t>2</w:t>
        </w:r>
        <w:r w:rsidR="009456DC">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894" w:history="1">
        <w:r w:rsidRPr="00E453CA">
          <w:rPr>
            <w:rStyle w:val="Hyperlink"/>
          </w:rPr>
          <w:t>1</w:t>
        </w:r>
        <w:r>
          <w:rPr>
            <w:rFonts w:asciiTheme="minorHAnsi" w:eastAsiaTheme="minorEastAsia" w:hAnsiTheme="minorHAnsi" w:cstheme="minorBidi"/>
            <w:b w:val="0"/>
            <w:sz w:val="22"/>
            <w:szCs w:val="22"/>
            <w:lang w:eastAsia="en-GB"/>
          </w:rPr>
          <w:tab/>
        </w:r>
        <w:r w:rsidRPr="00E453CA">
          <w:rPr>
            <w:rStyle w:val="Hyperlink"/>
          </w:rPr>
          <w:t>Attendees</w:t>
        </w:r>
        <w:r>
          <w:rPr>
            <w:webHidden/>
          </w:rPr>
          <w:tab/>
        </w:r>
        <w:r>
          <w:rPr>
            <w:webHidden/>
          </w:rPr>
          <w:fldChar w:fldCharType="begin"/>
        </w:r>
        <w:r>
          <w:rPr>
            <w:webHidden/>
          </w:rPr>
          <w:instrText xml:space="preserve"> PAGEREF _Toc377395894 \h </w:instrText>
        </w:r>
        <w:r>
          <w:rPr>
            <w:webHidden/>
          </w:rPr>
        </w:r>
        <w:r>
          <w:rPr>
            <w:webHidden/>
          </w:rPr>
          <w:fldChar w:fldCharType="separate"/>
        </w:r>
        <w:r>
          <w:rPr>
            <w:webHidden/>
          </w:rPr>
          <w:t>4</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895" w:history="1">
        <w:r w:rsidRPr="00E453CA">
          <w:rPr>
            <w:rStyle w:val="Hyperlink"/>
          </w:rPr>
          <w:t>2</w:t>
        </w:r>
        <w:r>
          <w:rPr>
            <w:rFonts w:asciiTheme="minorHAnsi" w:eastAsiaTheme="minorEastAsia" w:hAnsiTheme="minorHAnsi" w:cstheme="minorBidi"/>
            <w:b w:val="0"/>
            <w:sz w:val="22"/>
            <w:szCs w:val="22"/>
            <w:lang w:eastAsia="en-GB"/>
          </w:rPr>
          <w:tab/>
        </w:r>
        <w:r w:rsidRPr="00E453CA">
          <w:rPr>
            <w:rStyle w:val="Hyperlink"/>
          </w:rPr>
          <w:t>Agenda</w:t>
        </w:r>
        <w:r>
          <w:rPr>
            <w:webHidden/>
          </w:rPr>
          <w:tab/>
        </w:r>
        <w:r>
          <w:rPr>
            <w:webHidden/>
          </w:rPr>
          <w:fldChar w:fldCharType="begin"/>
        </w:r>
        <w:r>
          <w:rPr>
            <w:webHidden/>
          </w:rPr>
          <w:instrText xml:space="preserve"> PAGEREF _Toc377395895 \h </w:instrText>
        </w:r>
        <w:r>
          <w:rPr>
            <w:webHidden/>
          </w:rPr>
        </w:r>
        <w:r>
          <w:rPr>
            <w:webHidden/>
          </w:rPr>
          <w:fldChar w:fldCharType="separate"/>
        </w:r>
        <w:r>
          <w:rPr>
            <w:webHidden/>
          </w:rPr>
          <w:t>4</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896" w:history="1">
        <w:r w:rsidRPr="00E453CA">
          <w:rPr>
            <w:rStyle w:val="Hyperlink"/>
          </w:rPr>
          <w:t>3</w:t>
        </w:r>
        <w:r>
          <w:rPr>
            <w:rFonts w:asciiTheme="minorHAnsi" w:eastAsiaTheme="minorEastAsia" w:hAnsiTheme="minorHAnsi" w:cstheme="minorBidi"/>
            <w:b w:val="0"/>
            <w:sz w:val="22"/>
            <w:szCs w:val="22"/>
            <w:lang w:eastAsia="en-GB"/>
          </w:rPr>
          <w:tab/>
        </w:r>
        <w:r w:rsidRPr="00E453CA">
          <w:rPr>
            <w:rStyle w:val="Hyperlink"/>
          </w:rPr>
          <w:t>SMPG investment Funds Organisation</w:t>
        </w:r>
        <w:r>
          <w:rPr>
            <w:webHidden/>
          </w:rPr>
          <w:tab/>
        </w:r>
        <w:r>
          <w:rPr>
            <w:webHidden/>
          </w:rPr>
          <w:fldChar w:fldCharType="begin"/>
        </w:r>
        <w:r>
          <w:rPr>
            <w:webHidden/>
          </w:rPr>
          <w:instrText xml:space="preserve"> PAGEREF _Toc377395896 \h </w:instrText>
        </w:r>
        <w:r>
          <w:rPr>
            <w:webHidden/>
          </w:rPr>
        </w:r>
        <w:r>
          <w:rPr>
            <w:webHidden/>
          </w:rPr>
          <w:fldChar w:fldCharType="separate"/>
        </w:r>
        <w:r>
          <w:rPr>
            <w:webHidden/>
          </w:rPr>
          <w:t>4</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897" w:history="1">
        <w:r w:rsidRPr="00E453CA">
          <w:rPr>
            <w:rStyle w:val="Hyperlink"/>
          </w:rPr>
          <w:t>4</w:t>
        </w:r>
        <w:r>
          <w:rPr>
            <w:rFonts w:asciiTheme="minorHAnsi" w:eastAsiaTheme="minorEastAsia" w:hAnsiTheme="minorHAnsi" w:cstheme="minorBidi"/>
            <w:b w:val="0"/>
            <w:sz w:val="22"/>
            <w:szCs w:val="22"/>
            <w:lang w:eastAsia="en-GB"/>
          </w:rPr>
          <w:tab/>
        </w:r>
        <w:r w:rsidRPr="00E453CA">
          <w:rPr>
            <w:rStyle w:val="Hyperlink"/>
          </w:rPr>
          <w:t>NMPG Country Updates</w:t>
        </w:r>
        <w:r>
          <w:rPr>
            <w:webHidden/>
          </w:rPr>
          <w:tab/>
        </w:r>
        <w:r>
          <w:rPr>
            <w:webHidden/>
          </w:rPr>
          <w:fldChar w:fldCharType="begin"/>
        </w:r>
        <w:r>
          <w:rPr>
            <w:webHidden/>
          </w:rPr>
          <w:instrText xml:space="preserve"> PAGEREF _Toc377395897 \h </w:instrText>
        </w:r>
        <w:r>
          <w:rPr>
            <w:webHidden/>
          </w:rPr>
        </w:r>
        <w:r>
          <w:rPr>
            <w:webHidden/>
          </w:rPr>
          <w:fldChar w:fldCharType="separate"/>
        </w:r>
        <w:r>
          <w:rPr>
            <w:webHidden/>
          </w:rPr>
          <w:t>5</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898" w:history="1">
        <w:r w:rsidRPr="00E453CA">
          <w:rPr>
            <w:rStyle w:val="Hyperlink"/>
          </w:rPr>
          <w:t>4.1</w:t>
        </w:r>
        <w:r>
          <w:rPr>
            <w:rFonts w:asciiTheme="minorHAnsi" w:eastAsiaTheme="minorEastAsia" w:hAnsiTheme="minorHAnsi" w:cstheme="minorBidi"/>
            <w:snapToGrid/>
            <w:sz w:val="22"/>
            <w:szCs w:val="22"/>
            <w:lang w:eastAsia="en-GB"/>
          </w:rPr>
          <w:tab/>
        </w:r>
        <w:r w:rsidRPr="00E453CA">
          <w:rPr>
            <w:rStyle w:val="Hyperlink"/>
          </w:rPr>
          <w:t>Clearstream</w:t>
        </w:r>
        <w:r>
          <w:rPr>
            <w:webHidden/>
          </w:rPr>
          <w:tab/>
        </w:r>
        <w:r>
          <w:rPr>
            <w:webHidden/>
          </w:rPr>
          <w:fldChar w:fldCharType="begin"/>
        </w:r>
        <w:r>
          <w:rPr>
            <w:webHidden/>
          </w:rPr>
          <w:instrText xml:space="preserve"> PAGEREF _Toc377395898 \h </w:instrText>
        </w:r>
        <w:r>
          <w:rPr>
            <w:webHidden/>
          </w:rPr>
        </w:r>
        <w:r>
          <w:rPr>
            <w:webHidden/>
          </w:rPr>
          <w:fldChar w:fldCharType="separate"/>
        </w:r>
        <w:r>
          <w:rPr>
            <w:webHidden/>
          </w:rPr>
          <w:t>5</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899" w:history="1">
        <w:r w:rsidRPr="00E453CA">
          <w:rPr>
            <w:rStyle w:val="Hyperlink"/>
          </w:rPr>
          <w:t>4.2</w:t>
        </w:r>
        <w:r>
          <w:rPr>
            <w:rFonts w:asciiTheme="minorHAnsi" w:eastAsiaTheme="minorEastAsia" w:hAnsiTheme="minorHAnsi" w:cstheme="minorBidi"/>
            <w:snapToGrid/>
            <w:sz w:val="22"/>
            <w:szCs w:val="22"/>
            <w:lang w:eastAsia="en-GB"/>
          </w:rPr>
          <w:tab/>
        </w:r>
        <w:r w:rsidRPr="00E453CA">
          <w:rPr>
            <w:rStyle w:val="Hyperlink"/>
          </w:rPr>
          <w:t>Denmark</w:t>
        </w:r>
        <w:r>
          <w:rPr>
            <w:webHidden/>
          </w:rPr>
          <w:tab/>
        </w:r>
        <w:r>
          <w:rPr>
            <w:webHidden/>
          </w:rPr>
          <w:fldChar w:fldCharType="begin"/>
        </w:r>
        <w:r>
          <w:rPr>
            <w:webHidden/>
          </w:rPr>
          <w:instrText xml:space="preserve"> PAGEREF _Toc377395899 \h </w:instrText>
        </w:r>
        <w:r>
          <w:rPr>
            <w:webHidden/>
          </w:rPr>
        </w:r>
        <w:r>
          <w:rPr>
            <w:webHidden/>
          </w:rPr>
          <w:fldChar w:fldCharType="separate"/>
        </w:r>
        <w:r>
          <w:rPr>
            <w:webHidden/>
          </w:rPr>
          <w:t>5</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00" w:history="1">
        <w:r w:rsidRPr="00E453CA">
          <w:rPr>
            <w:rStyle w:val="Hyperlink"/>
          </w:rPr>
          <w:t>4.3</w:t>
        </w:r>
        <w:r>
          <w:rPr>
            <w:rFonts w:asciiTheme="minorHAnsi" w:eastAsiaTheme="minorEastAsia" w:hAnsiTheme="minorHAnsi" w:cstheme="minorBidi"/>
            <w:snapToGrid/>
            <w:sz w:val="22"/>
            <w:szCs w:val="22"/>
            <w:lang w:eastAsia="en-GB"/>
          </w:rPr>
          <w:tab/>
        </w:r>
        <w:r w:rsidRPr="00E453CA">
          <w:rPr>
            <w:rStyle w:val="Hyperlink"/>
          </w:rPr>
          <w:t>Germany</w:t>
        </w:r>
        <w:r>
          <w:rPr>
            <w:webHidden/>
          </w:rPr>
          <w:tab/>
        </w:r>
        <w:r>
          <w:rPr>
            <w:webHidden/>
          </w:rPr>
          <w:fldChar w:fldCharType="begin"/>
        </w:r>
        <w:r>
          <w:rPr>
            <w:webHidden/>
          </w:rPr>
          <w:instrText xml:space="preserve"> PAGEREF _Toc377395900 \h </w:instrText>
        </w:r>
        <w:r>
          <w:rPr>
            <w:webHidden/>
          </w:rPr>
        </w:r>
        <w:r>
          <w:rPr>
            <w:webHidden/>
          </w:rPr>
          <w:fldChar w:fldCharType="separate"/>
        </w:r>
        <w:r>
          <w:rPr>
            <w:webHidden/>
          </w:rPr>
          <w:t>5</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01" w:history="1">
        <w:r w:rsidRPr="00E453CA">
          <w:rPr>
            <w:rStyle w:val="Hyperlink"/>
          </w:rPr>
          <w:t>4.4</w:t>
        </w:r>
        <w:r>
          <w:rPr>
            <w:rFonts w:asciiTheme="minorHAnsi" w:eastAsiaTheme="minorEastAsia" w:hAnsiTheme="minorHAnsi" w:cstheme="minorBidi"/>
            <w:snapToGrid/>
            <w:sz w:val="22"/>
            <w:szCs w:val="22"/>
            <w:lang w:eastAsia="en-GB"/>
          </w:rPr>
          <w:tab/>
        </w:r>
        <w:r w:rsidRPr="00E453CA">
          <w:rPr>
            <w:rStyle w:val="Hyperlink"/>
          </w:rPr>
          <w:t>Euroclear</w:t>
        </w:r>
        <w:r>
          <w:rPr>
            <w:webHidden/>
          </w:rPr>
          <w:tab/>
        </w:r>
        <w:r>
          <w:rPr>
            <w:webHidden/>
          </w:rPr>
          <w:fldChar w:fldCharType="begin"/>
        </w:r>
        <w:r>
          <w:rPr>
            <w:webHidden/>
          </w:rPr>
          <w:instrText xml:space="preserve"> PAGEREF _Toc377395901 \h </w:instrText>
        </w:r>
        <w:r>
          <w:rPr>
            <w:webHidden/>
          </w:rPr>
        </w:r>
        <w:r>
          <w:rPr>
            <w:webHidden/>
          </w:rPr>
          <w:fldChar w:fldCharType="separate"/>
        </w:r>
        <w:r>
          <w:rPr>
            <w:webHidden/>
          </w:rPr>
          <w:t>5</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02" w:history="1">
        <w:r w:rsidRPr="00E453CA">
          <w:rPr>
            <w:rStyle w:val="Hyperlink"/>
          </w:rPr>
          <w:t>4.5</w:t>
        </w:r>
        <w:r>
          <w:rPr>
            <w:rFonts w:asciiTheme="minorHAnsi" w:eastAsiaTheme="minorEastAsia" w:hAnsiTheme="minorHAnsi" w:cstheme="minorBidi"/>
            <w:snapToGrid/>
            <w:sz w:val="22"/>
            <w:szCs w:val="22"/>
            <w:lang w:eastAsia="en-GB"/>
          </w:rPr>
          <w:tab/>
        </w:r>
        <w:r w:rsidRPr="00E453CA">
          <w:rPr>
            <w:rStyle w:val="Hyperlink"/>
          </w:rPr>
          <w:t>Italy</w:t>
        </w:r>
        <w:r>
          <w:rPr>
            <w:webHidden/>
          </w:rPr>
          <w:tab/>
        </w:r>
        <w:r>
          <w:rPr>
            <w:webHidden/>
          </w:rPr>
          <w:fldChar w:fldCharType="begin"/>
        </w:r>
        <w:r>
          <w:rPr>
            <w:webHidden/>
          </w:rPr>
          <w:instrText xml:space="preserve"> PAGEREF _Toc377395902 \h </w:instrText>
        </w:r>
        <w:r>
          <w:rPr>
            <w:webHidden/>
          </w:rPr>
        </w:r>
        <w:r>
          <w:rPr>
            <w:webHidden/>
          </w:rPr>
          <w:fldChar w:fldCharType="separate"/>
        </w:r>
        <w:r>
          <w:rPr>
            <w:webHidden/>
          </w:rPr>
          <w:t>5</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03" w:history="1">
        <w:r w:rsidRPr="00E453CA">
          <w:rPr>
            <w:rStyle w:val="Hyperlink"/>
          </w:rPr>
          <w:t>4.6</w:t>
        </w:r>
        <w:r>
          <w:rPr>
            <w:rFonts w:asciiTheme="minorHAnsi" w:eastAsiaTheme="minorEastAsia" w:hAnsiTheme="minorHAnsi" w:cstheme="minorBidi"/>
            <w:snapToGrid/>
            <w:sz w:val="22"/>
            <w:szCs w:val="22"/>
            <w:lang w:eastAsia="en-GB"/>
          </w:rPr>
          <w:tab/>
        </w:r>
        <w:r w:rsidRPr="00E453CA">
          <w:rPr>
            <w:rStyle w:val="Hyperlink"/>
          </w:rPr>
          <w:t>Luxembourg</w:t>
        </w:r>
        <w:r>
          <w:rPr>
            <w:webHidden/>
          </w:rPr>
          <w:tab/>
        </w:r>
        <w:r>
          <w:rPr>
            <w:webHidden/>
          </w:rPr>
          <w:fldChar w:fldCharType="begin"/>
        </w:r>
        <w:r>
          <w:rPr>
            <w:webHidden/>
          </w:rPr>
          <w:instrText xml:space="preserve"> PAGEREF _Toc377395903 \h </w:instrText>
        </w:r>
        <w:r>
          <w:rPr>
            <w:webHidden/>
          </w:rPr>
        </w:r>
        <w:r>
          <w:rPr>
            <w:webHidden/>
          </w:rPr>
          <w:fldChar w:fldCharType="separate"/>
        </w:r>
        <w:r>
          <w:rPr>
            <w:webHidden/>
          </w:rPr>
          <w:t>5</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04" w:history="1">
        <w:r w:rsidRPr="00E453CA">
          <w:rPr>
            <w:rStyle w:val="Hyperlink"/>
          </w:rPr>
          <w:t>4.7</w:t>
        </w:r>
        <w:r>
          <w:rPr>
            <w:rFonts w:asciiTheme="minorHAnsi" w:eastAsiaTheme="minorEastAsia" w:hAnsiTheme="minorHAnsi" w:cstheme="minorBidi"/>
            <w:snapToGrid/>
            <w:sz w:val="22"/>
            <w:szCs w:val="22"/>
            <w:lang w:eastAsia="en-GB"/>
          </w:rPr>
          <w:tab/>
        </w:r>
        <w:r w:rsidRPr="00E453CA">
          <w:rPr>
            <w:rStyle w:val="Hyperlink"/>
          </w:rPr>
          <w:t>Norway</w:t>
        </w:r>
        <w:r>
          <w:rPr>
            <w:webHidden/>
          </w:rPr>
          <w:tab/>
        </w:r>
        <w:r>
          <w:rPr>
            <w:webHidden/>
          </w:rPr>
          <w:fldChar w:fldCharType="begin"/>
        </w:r>
        <w:r>
          <w:rPr>
            <w:webHidden/>
          </w:rPr>
          <w:instrText xml:space="preserve"> PAGEREF _Toc377395904 \h </w:instrText>
        </w:r>
        <w:r>
          <w:rPr>
            <w:webHidden/>
          </w:rPr>
        </w:r>
        <w:r>
          <w:rPr>
            <w:webHidden/>
          </w:rPr>
          <w:fldChar w:fldCharType="separate"/>
        </w:r>
        <w:r>
          <w:rPr>
            <w:webHidden/>
          </w:rPr>
          <w:t>6</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05" w:history="1">
        <w:r w:rsidRPr="00E453CA">
          <w:rPr>
            <w:rStyle w:val="Hyperlink"/>
          </w:rPr>
          <w:t>4.8</w:t>
        </w:r>
        <w:r>
          <w:rPr>
            <w:rFonts w:asciiTheme="minorHAnsi" w:eastAsiaTheme="minorEastAsia" w:hAnsiTheme="minorHAnsi" w:cstheme="minorBidi"/>
            <w:snapToGrid/>
            <w:sz w:val="22"/>
            <w:szCs w:val="22"/>
            <w:lang w:eastAsia="en-GB"/>
          </w:rPr>
          <w:tab/>
        </w:r>
        <w:r w:rsidRPr="00E453CA">
          <w:rPr>
            <w:rStyle w:val="Hyperlink"/>
          </w:rPr>
          <w:t>Sweden</w:t>
        </w:r>
        <w:r>
          <w:rPr>
            <w:webHidden/>
          </w:rPr>
          <w:tab/>
        </w:r>
        <w:r>
          <w:rPr>
            <w:webHidden/>
          </w:rPr>
          <w:fldChar w:fldCharType="begin"/>
        </w:r>
        <w:r>
          <w:rPr>
            <w:webHidden/>
          </w:rPr>
          <w:instrText xml:space="preserve"> PAGEREF _Toc377395905 \h </w:instrText>
        </w:r>
        <w:r>
          <w:rPr>
            <w:webHidden/>
          </w:rPr>
        </w:r>
        <w:r>
          <w:rPr>
            <w:webHidden/>
          </w:rPr>
          <w:fldChar w:fldCharType="separate"/>
        </w:r>
        <w:r>
          <w:rPr>
            <w:webHidden/>
          </w:rPr>
          <w:t>6</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06" w:history="1">
        <w:r w:rsidRPr="00E453CA">
          <w:rPr>
            <w:rStyle w:val="Hyperlink"/>
          </w:rPr>
          <w:t>4.9</w:t>
        </w:r>
        <w:r>
          <w:rPr>
            <w:rFonts w:asciiTheme="minorHAnsi" w:eastAsiaTheme="minorEastAsia" w:hAnsiTheme="minorHAnsi" w:cstheme="minorBidi"/>
            <w:snapToGrid/>
            <w:sz w:val="22"/>
            <w:szCs w:val="22"/>
            <w:lang w:eastAsia="en-GB"/>
          </w:rPr>
          <w:tab/>
        </w:r>
        <w:r w:rsidRPr="00E453CA">
          <w:rPr>
            <w:rStyle w:val="Hyperlink"/>
          </w:rPr>
          <w:t>United Kingdom</w:t>
        </w:r>
        <w:r>
          <w:rPr>
            <w:webHidden/>
          </w:rPr>
          <w:tab/>
        </w:r>
        <w:r>
          <w:rPr>
            <w:webHidden/>
          </w:rPr>
          <w:fldChar w:fldCharType="begin"/>
        </w:r>
        <w:r>
          <w:rPr>
            <w:webHidden/>
          </w:rPr>
          <w:instrText xml:space="preserve"> PAGEREF _Toc377395906 \h </w:instrText>
        </w:r>
        <w:r>
          <w:rPr>
            <w:webHidden/>
          </w:rPr>
        </w:r>
        <w:r>
          <w:rPr>
            <w:webHidden/>
          </w:rPr>
          <w:fldChar w:fldCharType="separate"/>
        </w:r>
        <w:r>
          <w:rPr>
            <w:webHidden/>
          </w:rPr>
          <w:t>6</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07" w:history="1">
        <w:r w:rsidRPr="00E453CA">
          <w:rPr>
            <w:rStyle w:val="Hyperlink"/>
          </w:rPr>
          <w:t>4.10</w:t>
        </w:r>
        <w:r>
          <w:rPr>
            <w:rFonts w:asciiTheme="minorHAnsi" w:eastAsiaTheme="minorEastAsia" w:hAnsiTheme="minorHAnsi" w:cstheme="minorBidi"/>
            <w:snapToGrid/>
            <w:sz w:val="22"/>
            <w:szCs w:val="22"/>
            <w:lang w:eastAsia="en-GB"/>
          </w:rPr>
          <w:tab/>
        </w:r>
        <w:r w:rsidRPr="00E453CA">
          <w:rPr>
            <w:rStyle w:val="Hyperlink"/>
          </w:rPr>
          <w:t>Switzerland</w:t>
        </w:r>
        <w:r>
          <w:rPr>
            <w:webHidden/>
          </w:rPr>
          <w:tab/>
        </w:r>
        <w:r>
          <w:rPr>
            <w:webHidden/>
          </w:rPr>
          <w:fldChar w:fldCharType="begin"/>
        </w:r>
        <w:r>
          <w:rPr>
            <w:webHidden/>
          </w:rPr>
          <w:instrText xml:space="preserve"> PAGEREF _Toc377395907 \h </w:instrText>
        </w:r>
        <w:r>
          <w:rPr>
            <w:webHidden/>
          </w:rPr>
        </w:r>
        <w:r>
          <w:rPr>
            <w:webHidden/>
          </w:rPr>
          <w:fldChar w:fldCharType="separate"/>
        </w:r>
        <w:r>
          <w:rPr>
            <w:webHidden/>
          </w:rPr>
          <w:t>6</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908" w:history="1">
        <w:r w:rsidRPr="00E453CA">
          <w:rPr>
            <w:rStyle w:val="Hyperlink"/>
          </w:rPr>
          <w:t>5</w:t>
        </w:r>
        <w:r>
          <w:rPr>
            <w:rFonts w:asciiTheme="minorHAnsi" w:eastAsiaTheme="minorEastAsia" w:hAnsiTheme="minorHAnsi" w:cstheme="minorBidi"/>
            <w:b w:val="0"/>
            <w:sz w:val="22"/>
            <w:szCs w:val="22"/>
            <w:lang w:eastAsia="en-GB"/>
          </w:rPr>
          <w:tab/>
        </w:r>
        <w:r w:rsidRPr="00E453CA">
          <w:rPr>
            <w:rStyle w:val="Hyperlink"/>
          </w:rPr>
          <w:t>Order – items discussed</w:t>
        </w:r>
        <w:r>
          <w:rPr>
            <w:webHidden/>
          </w:rPr>
          <w:tab/>
        </w:r>
        <w:r>
          <w:rPr>
            <w:webHidden/>
          </w:rPr>
          <w:fldChar w:fldCharType="begin"/>
        </w:r>
        <w:r>
          <w:rPr>
            <w:webHidden/>
          </w:rPr>
          <w:instrText xml:space="preserve"> PAGEREF _Toc377395908 \h </w:instrText>
        </w:r>
        <w:r>
          <w:rPr>
            <w:webHidden/>
          </w:rPr>
        </w:r>
        <w:r>
          <w:rPr>
            <w:webHidden/>
          </w:rPr>
          <w:fldChar w:fldCharType="separate"/>
        </w:r>
        <w:r>
          <w:rPr>
            <w:webHidden/>
          </w:rPr>
          <w:t>7</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09" w:history="1">
        <w:r w:rsidRPr="00E453CA">
          <w:rPr>
            <w:rStyle w:val="Hyperlink"/>
          </w:rPr>
          <w:t>5.1</w:t>
        </w:r>
        <w:r>
          <w:rPr>
            <w:rFonts w:asciiTheme="minorHAnsi" w:eastAsiaTheme="minorEastAsia" w:hAnsiTheme="minorHAnsi" w:cstheme="minorBidi"/>
            <w:snapToGrid/>
            <w:sz w:val="22"/>
            <w:szCs w:val="22"/>
            <w:lang w:eastAsia="en-GB"/>
          </w:rPr>
          <w:tab/>
        </w:r>
        <w:r w:rsidRPr="00E453CA">
          <w:rPr>
            <w:rStyle w:val="Hyperlink"/>
          </w:rPr>
          <w:t>Status / rejection</w:t>
        </w:r>
        <w:r>
          <w:rPr>
            <w:webHidden/>
          </w:rPr>
          <w:tab/>
        </w:r>
        <w:r>
          <w:rPr>
            <w:webHidden/>
          </w:rPr>
          <w:fldChar w:fldCharType="begin"/>
        </w:r>
        <w:r>
          <w:rPr>
            <w:webHidden/>
          </w:rPr>
          <w:instrText xml:space="preserve"> PAGEREF _Toc377395909 \h </w:instrText>
        </w:r>
        <w:r>
          <w:rPr>
            <w:webHidden/>
          </w:rPr>
        </w:r>
        <w:r>
          <w:rPr>
            <w:webHidden/>
          </w:rPr>
          <w:fldChar w:fldCharType="separate"/>
        </w:r>
        <w:r>
          <w:rPr>
            <w:webHidden/>
          </w:rPr>
          <w:t>7</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10" w:history="1">
        <w:r w:rsidRPr="00E453CA">
          <w:rPr>
            <w:rStyle w:val="Hyperlink"/>
          </w:rPr>
          <w:t>5.2</w:t>
        </w:r>
        <w:r>
          <w:rPr>
            <w:rFonts w:asciiTheme="minorHAnsi" w:eastAsiaTheme="minorEastAsia" w:hAnsiTheme="minorHAnsi" w:cstheme="minorBidi"/>
            <w:snapToGrid/>
            <w:sz w:val="22"/>
            <w:szCs w:val="22"/>
            <w:lang w:eastAsia="en-GB"/>
          </w:rPr>
          <w:tab/>
        </w:r>
        <w:r w:rsidRPr="00E453CA">
          <w:rPr>
            <w:rStyle w:val="Hyperlink"/>
          </w:rPr>
          <w:t>Change requests</w:t>
        </w:r>
        <w:r>
          <w:rPr>
            <w:webHidden/>
          </w:rPr>
          <w:tab/>
        </w:r>
        <w:r>
          <w:rPr>
            <w:webHidden/>
          </w:rPr>
          <w:fldChar w:fldCharType="begin"/>
        </w:r>
        <w:r>
          <w:rPr>
            <w:webHidden/>
          </w:rPr>
          <w:instrText xml:space="preserve"> PAGEREF _Toc377395910 \h </w:instrText>
        </w:r>
        <w:r>
          <w:rPr>
            <w:webHidden/>
          </w:rPr>
        </w:r>
        <w:r>
          <w:rPr>
            <w:webHidden/>
          </w:rPr>
          <w:fldChar w:fldCharType="separate"/>
        </w:r>
        <w:r>
          <w:rPr>
            <w:webHidden/>
          </w:rPr>
          <w:t>7</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11" w:history="1">
        <w:r w:rsidRPr="00E453CA">
          <w:rPr>
            <w:rStyle w:val="Hyperlink"/>
          </w:rPr>
          <w:t>5.3</w:t>
        </w:r>
        <w:r>
          <w:rPr>
            <w:rFonts w:asciiTheme="minorHAnsi" w:eastAsiaTheme="minorEastAsia" w:hAnsiTheme="minorHAnsi" w:cstheme="minorBidi"/>
            <w:snapToGrid/>
            <w:sz w:val="22"/>
            <w:szCs w:val="22"/>
            <w:lang w:eastAsia="en-GB"/>
          </w:rPr>
          <w:tab/>
        </w:r>
        <w:r w:rsidRPr="00E453CA">
          <w:rPr>
            <w:rStyle w:val="Hyperlink"/>
          </w:rPr>
          <w:t>Orders (setr.010, 004, 013)– Order Date Time</w:t>
        </w:r>
        <w:r>
          <w:rPr>
            <w:webHidden/>
          </w:rPr>
          <w:tab/>
        </w:r>
        <w:r>
          <w:rPr>
            <w:webHidden/>
          </w:rPr>
          <w:fldChar w:fldCharType="begin"/>
        </w:r>
        <w:r>
          <w:rPr>
            <w:webHidden/>
          </w:rPr>
          <w:instrText xml:space="preserve"> PAGEREF _Toc377395911 \h </w:instrText>
        </w:r>
        <w:r>
          <w:rPr>
            <w:webHidden/>
          </w:rPr>
        </w:r>
        <w:r>
          <w:rPr>
            <w:webHidden/>
          </w:rPr>
          <w:fldChar w:fldCharType="separate"/>
        </w:r>
        <w:r>
          <w:rPr>
            <w:webHidden/>
          </w:rPr>
          <w:t>7</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12" w:history="1">
        <w:r w:rsidRPr="00E453CA">
          <w:rPr>
            <w:rStyle w:val="Hyperlink"/>
          </w:rPr>
          <w:t>5.4</w:t>
        </w:r>
        <w:r>
          <w:rPr>
            <w:rFonts w:asciiTheme="minorHAnsi" w:eastAsiaTheme="minorEastAsia" w:hAnsiTheme="minorHAnsi" w:cstheme="minorBidi"/>
            <w:snapToGrid/>
            <w:sz w:val="22"/>
            <w:szCs w:val="22"/>
            <w:lang w:eastAsia="en-GB"/>
          </w:rPr>
          <w:tab/>
        </w:r>
        <w:r w:rsidRPr="00E453CA">
          <w:rPr>
            <w:rStyle w:val="Hyperlink"/>
          </w:rPr>
          <w:t>Orders – Net &amp; Gross Amount</w:t>
        </w:r>
        <w:r>
          <w:rPr>
            <w:webHidden/>
          </w:rPr>
          <w:tab/>
        </w:r>
        <w:r>
          <w:rPr>
            <w:webHidden/>
          </w:rPr>
          <w:fldChar w:fldCharType="begin"/>
        </w:r>
        <w:r>
          <w:rPr>
            <w:webHidden/>
          </w:rPr>
          <w:instrText xml:space="preserve"> PAGEREF _Toc377395912 \h </w:instrText>
        </w:r>
        <w:r>
          <w:rPr>
            <w:webHidden/>
          </w:rPr>
        </w:r>
        <w:r>
          <w:rPr>
            <w:webHidden/>
          </w:rPr>
          <w:fldChar w:fldCharType="separate"/>
        </w:r>
        <w:r>
          <w:rPr>
            <w:webHidden/>
          </w:rPr>
          <w:t>7</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13" w:history="1">
        <w:r w:rsidRPr="00E453CA">
          <w:rPr>
            <w:rStyle w:val="Hyperlink"/>
          </w:rPr>
          <w:t>5.5</w:t>
        </w:r>
        <w:r>
          <w:rPr>
            <w:rFonts w:asciiTheme="minorHAnsi" w:eastAsiaTheme="minorEastAsia" w:hAnsiTheme="minorHAnsi" w:cstheme="minorBidi"/>
            <w:snapToGrid/>
            <w:sz w:val="22"/>
            <w:szCs w:val="22"/>
            <w:lang w:eastAsia="en-GB"/>
          </w:rPr>
          <w:tab/>
        </w:r>
        <w:r w:rsidRPr="00E453CA">
          <w:rPr>
            <w:rStyle w:val="Hyperlink"/>
          </w:rPr>
          <w:t>Charge and Commission</w:t>
        </w:r>
        <w:r>
          <w:rPr>
            <w:webHidden/>
          </w:rPr>
          <w:tab/>
        </w:r>
        <w:r>
          <w:rPr>
            <w:webHidden/>
          </w:rPr>
          <w:fldChar w:fldCharType="begin"/>
        </w:r>
        <w:r>
          <w:rPr>
            <w:webHidden/>
          </w:rPr>
          <w:instrText xml:space="preserve"> PAGEREF _Toc377395913 \h </w:instrText>
        </w:r>
        <w:r>
          <w:rPr>
            <w:webHidden/>
          </w:rPr>
        </w:r>
        <w:r>
          <w:rPr>
            <w:webHidden/>
          </w:rPr>
          <w:fldChar w:fldCharType="separate"/>
        </w:r>
        <w:r>
          <w:rPr>
            <w:webHidden/>
          </w:rPr>
          <w:t>8</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14" w:history="1">
        <w:r w:rsidRPr="00E453CA">
          <w:rPr>
            <w:rStyle w:val="Hyperlink"/>
          </w:rPr>
          <w:t>5.6</w:t>
        </w:r>
        <w:r>
          <w:rPr>
            <w:rFonts w:asciiTheme="minorHAnsi" w:eastAsiaTheme="minorEastAsia" w:hAnsiTheme="minorHAnsi" w:cstheme="minorBidi"/>
            <w:snapToGrid/>
            <w:sz w:val="22"/>
            <w:szCs w:val="22"/>
            <w:lang w:eastAsia="en-GB"/>
          </w:rPr>
          <w:tab/>
        </w:r>
        <w:r w:rsidRPr="00E453CA">
          <w:rPr>
            <w:rStyle w:val="Hyperlink"/>
          </w:rPr>
          <w:t>Charge and Commission Change Request to merge into a single sequence</w:t>
        </w:r>
        <w:r>
          <w:rPr>
            <w:webHidden/>
          </w:rPr>
          <w:tab/>
        </w:r>
        <w:r>
          <w:rPr>
            <w:webHidden/>
          </w:rPr>
          <w:fldChar w:fldCharType="begin"/>
        </w:r>
        <w:r>
          <w:rPr>
            <w:webHidden/>
          </w:rPr>
          <w:instrText xml:space="preserve"> PAGEREF _Toc377395914 \h </w:instrText>
        </w:r>
        <w:r>
          <w:rPr>
            <w:webHidden/>
          </w:rPr>
        </w:r>
        <w:r>
          <w:rPr>
            <w:webHidden/>
          </w:rPr>
          <w:fldChar w:fldCharType="separate"/>
        </w:r>
        <w:r>
          <w:rPr>
            <w:webHidden/>
          </w:rPr>
          <w:t>8</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15" w:history="1">
        <w:r w:rsidRPr="00E453CA">
          <w:rPr>
            <w:rStyle w:val="Hyperlink"/>
          </w:rPr>
          <w:t>5.7</w:t>
        </w:r>
        <w:r>
          <w:rPr>
            <w:rFonts w:asciiTheme="minorHAnsi" w:eastAsiaTheme="minorEastAsia" w:hAnsiTheme="minorHAnsi" w:cstheme="minorBidi"/>
            <w:snapToGrid/>
            <w:sz w:val="22"/>
            <w:szCs w:val="22"/>
            <w:lang w:eastAsia="en-GB"/>
          </w:rPr>
          <w:tab/>
        </w:r>
        <w:r w:rsidRPr="00E453CA">
          <w:rPr>
            <w:rStyle w:val="Hyperlink"/>
          </w:rPr>
          <w:t>Charge Type Codes – revised definitions</w:t>
        </w:r>
        <w:r>
          <w:rPr>
            <w:webHidden/>
          </w:rPr>
          <w:tab/>
        </w:r>
        <w:r>
          <w:rPr>
            <w:webHidden/>
          </w:rPr>
          <w:fldChar w:fldCharType="begin"/>
        </w:r>
        <w:r>
          <w:rPr>
            <w:webHidden/>
          </w:rPr>
          <w:instrText xml:space="preserve"> PAGEREF _Toc377395915 \h </w:instrText>
        </w:r>
        <w:r>
          <w:rPr>
            <w:webHidden/>
          </w:rPr>
        </w:r>
        <w:r>
          <w:rPr>
            <w:webHidden/>
          </w:rPr>
          <w:fldChar w:fldCharType="separate"/>
        </w:r>
        <w:r>
          <w:rPr>
            <w:webHidden/>
          </w:rPr>
          <w:t>8</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16" w:history="1">
        <w:r w:rsidRPr="00E453CA">
          <w:rPr>
            <w:rStyle w:val="Hyperlink"/>
          </w:rPr>
          <w:t>5.8</w:t>
        </w:r>
        <w:r>
          <w:rPr>
            <w:rFonts w:asciiTheme="minorHAnsi" w:eastAsiaTheme="minorEastAsia" w:hAnsiTheme="minorHAnsi" w:cstheme="minorBidi"/>
            <w:snapToGrid/>
            <w:sz w:val="22"/>
            <w:szCs w:val="22"/>
            <w:lang w:eastAsia="en-GB"/>
          </w:rPr>
          <w:tab/>
        </w:r>
        <w:r w:rsidRPr="00E453CA">
          <w:rPr>
            <w:rStyle w:val="Hyperlink"/>
          </w:rPr>
          <w:t>Commission Type Codes – revised definitions</w:t>
        </w:r>
        <w:r>
          <w:rPr>
            <w:webHidden/>
          </w:rPr>
          <w:tab/>
        </w:r>
        <w:r>
          <w:rPr>
            <w:webHidden/>
          </w:rPr>
          <w:fldChar w:fldCharType="begin"/>
        </w:r>
        <w:r>
          <w:rPr>
            <w:webHidden/>
          </w:rPr>
          <w:instrText xml:space="preserve"> PAGEREF _Toc377395916 \h </w:instrText>
        </w:r>
        <w:r>
          <w:rPr>
            <w:webHidden/>
          </w:rPr>
        </w:r>
        <w:r>
          <w:rPr>
            <w:webHidden/>
          </w:rPr>
          <w:fldChar w:fldCharType="separate"/>
        </w:r>
        <w:r>
          <w:rPr>
            <w:webHidden/>
          </w:rPr>
          <w:t>10</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17" w:history="1">
        <w:r w:rsidRPr="00E453CA">
          <w:rPr>
            <w:rStyle w:val="Hyperlink"/>
          </w:rPr>
          <w:t>5.9</w:t>
        </w:r>
        <w:r>
          <w:rPr>
            <w:rFonts w:asciiTheme="minorHAnsi" w:eastAsiaTheme="minorEastAsia" w:hAnsiTheme="minorHAnsi" w:cstheme="minorBidi"/>
            <w:snapToGrid/>
            <w:sz w:val="22"/>
            <w:szCs w:val="22"/>
            <w:lang w:eastAsia="en-GB"/>
          </w:rPr>
          <w:tab/>
        </w:r>
        <w:r w:rsidRPr="00E453CA">
          <w:rPr>
            <w:rStyle w:val="Hyperlink"/>
          </w:rPr>
          <w:t>SLA Charge/Commission Reference</w:t>
        </w:r>
        <w:r>
          <w:rPr>
            <w:webHidden/>
          </w:rPr>
          <w:tab/>
        </w:r>
        <w:r>
          <w:rPr>
            <w:webHidden/>
          </w:rPr>
          <w:fldChar w:fldCharType="begin"/>
        </w:r>
        <w:r>
          <w:rPr>
            <w:webHidden/>
          </w:rPr>
          <w:instrText xml:space="preserve"> PAGEREF _Toc377395917 \h </w:instrText>
        </w:r>
        <w:r>
          <w:rPr>
            <w:webHidden/>
          </w:rPr>
        </w:r>
        <w:r>
          <w:rPr>
            <w:webHidden/>
          </w:rPr>
          <w:fldChar w:fldCharType="separate"/>
        </w:r>
        <w:r>
          <w:rPr>
            <w:webHidden/>
          </w:rPr>
          <w:t>11</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18" w:history="1">
        <w:r w:rsidRPr="00E453CA">
          <w:rPr>
            <w:rStyle w:val="Hyperlink"/>
          </w:rPr>
          <w:t>5.10</w:t>
        </w:r>
        <w:r>
          <w:rPr>
            <w:rFonts w:asciiTheme="minorHAnsi" w:eastAsiaTheme="minorEastAsia" w:hAnsiTheme="minorHAnsi" w:cstheme="minorBidi"/>
            <w:snapToGrid/>
            <w:sz w:val="22"/>
            <w:szCs w:val="22"/>
            <w:lang w:eastAsia="en-GB"/>
          </w:rPr>
          <w:tab/>
        </w:r>
        <w:r w:rsidRPr="00E453CA">
          <w:rPr>
            <w:rStyle w:val="Hyperlink"/>
          </w:rPr>
          <w:t>Tax</w:t>
        </w:r>
        <w:r>
          <w:rPr>
            <w:webHidden/>
          </w:rPr>
          <w:tab/>
        </w:r>
        <w:r>
          <w:rPr>
            <w:webHidden/>
          </w:rPr>
          <w:fldChar w:fldCharType="begin"/>
        </w:r>
        <w:r>
          <w:rPr>
            <w:webHidden/>
          </w:rPr>
          <w:instrText xml:space="preserve"> PAGEREF _Toc377395918 \h </w:instrText>
        </w:r>
        <w:r>
          <w:rPr>
            <w:webHidden/>
          </w:rPr>
        </w:r>
        <w:r>
          <w:rPr>
            <w:webHidden/>
          </w:rPr>
          <w:fldChar w:fldCharType="separate"/>
        </w:r>
        <w:r>
          <w:rPr>
            <w:webHidden/>
          </w:rPr>
          <w:t>12</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19" w:history="1">
        <w:r w:rsidRPr="00E453CA">
          <w:rPr>
            <w:rStyle w:val="Hyperlink"/>
          </w:rPr>
          <w:t>5.11</w:t>
        </w:r>
        <w:r>
          <w:rPr>
            <w:rFonts w:asciiTheme="minorHAnsi" w:eastAsiaTheme="minorEastAsia" w:hAnsiTheme="minorHAnsi" w:cstheme="minorBidi"/>
            <w:snapToGrid/>
            <w:sz w:val="22"/>
            <w:szCs w:val="22"/>
            <w:lang w:eastAsia="en-GB"/>
          </w:rPr>
          <w:tab/>
        </w:r>
        <w:r w:rsidRPr="00E453CA">
          <w:rPr>
            <w:rStyle w:val="Hyperlink"/>
          </w:rPr>
          <w:t>Switches</w:t>
        </w:r>
        <w:r>
          <w:rPr>
            <w:webHidden/>
          </w:rPr>
          <w:tab/>
        </w:r>
        <w:r>
          <w:rPr>
            <w:webHidden/>
          </w:rPr>
          <w:fldChar w:fldCharType="begin"/>
        </w:r>
        <w:r>
          <w:rPr>
            <w:webHidden/>
          </w:rPr>
          <w:instrText xml:space="preserve"> PAGEREF _Toc377395919 \h </w:instrText>
        </w:r>
        <w:r>
          <w:rPr>
            <w:webHidden/>
          </w:rPr>
        </w:r>
        <w:r>
          <w:rPr>
            <w:webHidden/>
          </w:rPr>
          <w:fldChar w:fldCharType="separate"/>
        </w:r>
        <w:r>
          <w:rPr>
            <w:webHidden/>
          </w:rPr>
          <w:t>12</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20" w:history="1">
        <w:r w:rsidRPr="00E453CA">
          <w:rPr>
            <w:rStyle w:val="Hyperlink"/>
          </w:rPr>
          <w:t>5.12</w:t>
        </w:r>
        <w:r>
          <w:rPr>
            <w:rFonts w:asciiTheme="minorHAnsi" w:eastAsiaTheme="minorEastAsia" w:hAnsiTheme="minorHAnsi" w:cstheme="minorBidi"/>
            <w:snapToGrid/>
            <w:sz w:val="22"/>
            <w:szCs w:val="22"/>
            <w:lang w:eastAsia="en-GB"/>
          </w:rPr>
          <w:tab/>
        </w:r>
        <w:r w:rsidRPr="00E453CA">
          <w:rPr>
            <w:rStyle w:val="Hyperlink"/>
          </w:rPr>
          <w:t>Order Collection</w:t>
        </w:r>
        <w:r>
          <w:rPr>
            <w:webHidden/>
          </w:rPr>
          <w:tab/>
        </w:r>
        <w:r>
          <w:rPr>
            <w:webHidden/>
          </w:rPr>
          <w:fldChar w:fldCharType="begin"/>
        </w:r>
        <w:r>
          <w:rPr>
            <w:webHidden/>
          </w:rPr>
          <w:instrText xml:space="preserve"> PAGEREF _Toc377395920 \h </w:instrText>
        </w:r>
        <w:r>
          <w:rPr>
            <w:webHidden/>
          </w:rPr>
        </w:r>
        <w:r>
          <w:rPr>
            <w:webHidden/>
          </w:rPr>
          <w:fldChar w:fldCharType="separate"/>
        </w:r>
        <w:r>
          <w:rPr>
            <w:webHidden/>
          </w:rPr>
          <w:t>12</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921" w:history="1">
        <w:r w:rsidRPr="00E453CA">
          <w:rPr>
            <w:rStyle w:val="Hyperlink"/>
          </w:rPr>
          <w:t>6</w:t>
        </w:r>
        <w:r>
          <w:rPr>
            <w:rFonts w:asciiTheme="minorHAnsi" w:eastAsiaTheme="minorEastAsia" w:hAnsiTheme="minorHAnsi" w:cstheme="minorBidi"/>
            <w:b w:val="0"/>
            <w:sz w:val="22"/>
            <w:szCs w:val="22"/>
            <w:lang w:eastAsia="en-GB"/>
          </w:rPr>
          <w:tab/>
        </w:r>
        <w:r w:rsidRPr="00E453CA">
          <w:rPr>
            <w:rStyle w:val="Hyperlink"/>
          </w:rPr>
          <w:t>Addition of contextual information in a SMPG UG</w:t>
        </w:r>
        <w:r>
          <w:rPr>
            <w:webHidden/>
          </w:rPr>
          <w:tab/>
        </w:r>
        <w:r>
          <w:rPr>
            <w:webHidden/>
          </w:rPr>
          <w:fldChar w:fldCharType="begin"/>
        </w:r>
        <w:r>
          <w:rPr>
            <w:webHidden/>
          </w:rPr>
          <w:instrText xml:space="preserve"> PAGEREF _Toc377395921 \h </w:instrText>
        </w:r>
        <w:r>
          <w:rPr>
            <w:webHidden/>
          </w:rPr>
        </w:r>
        <w:r>
          <w:rPr>
            <w:webHidden/>
          </w:rPr>
          <w:fldChar w:fldCharType="separate"/>
        </w:r>
        <w:r>
          <w:rPr>
            <w:webHidden/>
          </w:rPr>
          <w:t>13</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922" w:history="1">
        <w:r w:rsidRPr="00E453CA">
          <w:rPr>
            <w:rStyle w:val="Hyperlink"/>
          </w:rPr>
          <w:t>7</w:t>
        </w:r>
        <w:r>
          <w:rPr>
            <w:rFonts w:asciiTheme="minorHAnsi" w:eastAsiaTheme="minorEastAsia" w:hAnsiTheme="minorHAnsi" w:cstheme="minorBidi"/>
            <w:b w:val="0"/>
            <w:sz w:val="22"/>
            <w:szCs w:val="22"/>
            <w:lang w:eastAsia="en-GB"/>
          </w:rPr>
          <w:tab/>
        </w:r>
        <w:r w:rsidRPr="00E453CA">
          <w:rPr>
            <w:rStyle w:val="Hyperlink"/>
          </w:rPr>
          <w:t>Cross Element Rules in MyStandards</w:t>
        </w:r>
        <w:r>
          <w:rPr>
            <w:webHidden/>
          </w:rPr>
          <w:tab/>
        </w:r>
        <w:r>
          <w:rPr>
            <w:webHidden/>
          </w:rPr>
          <w:fldChar w:fldCharType="begin"/>
        </w:r>
        <w:r>
          <w:rPr>
            <w:webHidden/>
          </w:rPr>
          <w:instrText xml:space="preserve"> PAGEREF _Toc377395922 \h </w:instrText>
        </w:r>
        <w:r>
          <w:rPr>
            <w:webHidden/>
          </w:rPr>
        </w:r>
        <w:r>
          <w:rPr>
            <w:webHidden/>
          </w:rPr>
          <w:fldChar w:fldCharType="separate"/>
        </w:r>
        <w:r>
          <w:rPr>
            <w:webHidden/>
          </w:rPr>
          <w:t>13</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923" w:history="1">
        <w:r w:rsidRPr="00E453CA">
          <w:rPr>
            <w:rStyle w:val="Hyperlink"/>
          </w:rPr>
          <w:t>8</w:t>
        </w:r>
        <w:r>
          <w:rPr>
            <w:rFonts w:asciiTheme="minorHAnsi" w:eastAsiaTheme="minorEastAsia" w:hAnsiTheme="minorHAnsi" w:cstheme="minorBidi"/>
            <w:b w:val="0"/>
            <w:sz w:val="22"/>
            <w:szCs w:val="22"/>
            <w:lang w:eastAsia="en-GB"/>
          </w:rPr>
          <w:tab/>
        </w:r>
        <w:r w:rsidRPr="00E453CA">
          <w:rPr>
            <w:rStyle w:val="Hyperlink"/>
          </w:rPr>
          <w:t>Business Justification Transparency of Holdings</w:t>
        </w:r>
        <w:r>
          <w:rPr>
            <w:webHidden/>
          </w:rPr>
          <w:tab/>
        </w:r>
        <w:r>
          <w:rPr>
            <w:webHidden/>
          </w:rPr>
          <w:fldChar w:fldCharType="begin"/>
        </w:r>
        <w:r>
          <w:rPr>
            <w:webHidden/>
          </w:rPr>
          <w:instrText xml:space="preserve"> PAGEREF _Toc377395923 \h </w:instrText>
        </w:r>
        <w:r>
          <w:rPr>
            <w:webHidden/>
          </w:rPr>
        </w:r>
        <w:r>
          <w:rPr>
            <w:webHidden/>
          </w:rPr>
          <w:fldChar w:fldCharType="separate"/>
        </w:r>
        <w:r>
          <w:rPr>
            <w:webHidden/>
          </w:rPr>
          <w:t>13</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924" w:history="1">
        <w:r w:rsidRPr="00E453CA">
          <w:rPr>
            <w:rStyle w:val="Hyperlink"/>
          </w:rPr>
          <w:t>9</w:t>
        </w:r>
        <w:r>
          <w:rPr>
            <w:rFonts w:asciiTheme="minorHAnsi" w:eastAsiaTheme="minorEastAsia" w:hAnsiTheme="minorHAnsi" w:cstheme="minorBidi"/>
            <w:b w:val="0"/>
            <w:sz w:val="22"/>
            <w:szCs w:val="22"/>
            <w:lang w:eastAsia="en-GB"/>
          </w:rPr>
          <w:tab/>
        </w:r>
        <w:r w:rsidRPr="00E453CA">
          <w:rPr>
            <w:rStyle w:val="Hyperlink"/>
          </w:rPr>
          <w:t>Corporate Actions</w:t>
        </w:r>
        <w:r>
          <w:rPr>
            <w:webHidden/>
          </w:rPr>
          <w:tab/>
        </w:r>
        <w:r>
          <w:rPr>
            <w:webHidden/>
          </w:rPr>
          <w:fldChar w:fldCharType="begin"/>
        </w:r>
        <w:r>
          <w:rPr>
            <w:webHidden/>
          </w:rPr>
          <w:instrText xml:space="preserve"> PAGEREF _Toc377395924 \h </w:instrText>
        </w:r>
        <w:r>
          <w:rPr>
            <w:webHidden/>
          </w:rPr>
        </w:r>
        <w:r>
          <w:rPr>
            <w:webHidden/>
          </w:rPr>
          <w:fldChar w:fldCharType="separate"/>
        </w:r>
        <w:r>
          <w:rPr>
            <w:webHidden/>
          </w:rPr>
          <w:t>13</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925" w:history="1">
        <w:r w:rsidRPr="00E453CA">
          <w:rPr>
            <w:rStyle w:val="Hyperlink"/>
          </w:rPr>
          <w:t>10</w:t>
        </w:r>
        <w:r>
          <w:rPr>
            <w:rFonts w:asciiTheme="minorHAnsi" w:eastAsiaTheme="minorEastAsia" w:hAnsiTheme="minorHAnsi" w:cstheme="minorBidi"/>
            <w:b w:val="0"/>
            <w:sz w:val="22"/>
            <w:szCs w:val="22"/>
            <w:lang w:eastAsia="en-GB"/>
          </w:rPr>
          <w:tab/>
        </w:r>
        <w:r w:rsidRPr="00E453CA">
          <w:rPr>
            <w:rStyle w:val="Hyperlink"/>
          </w:rPr>
          <w:t>Price Report</w:t>
        </w:r>
        <w:r>
          <w:rPr>
            <w:webHidden/>
          </w:rPr>
          <w:tab/>
        </w:r>
        <w:r>
          <w:rPr>
            <w:webHidden/>
          </w:rPr>
          <w:fldChar w:fldCharType="begin"/>
        </w:r>
        <w:r>
          <w:rPr>
            <w:webHidden/>
          </w:rPr>
          <w:instrText xml:space="preserve"> PAGEREF _Toc377395925 \h </w:instrText>
        </w:r>
        <w:r>
          <w:rPr>
            <w:webHidden/>
          </w:rPr>
        </w:r>
        <w:r>
          <w:rPr>
            <w:webHidden/>
          </w:rPr>
          <w:fldChar w:fldCharType="separate"/>
        </w:r>
        <w:r>
          <w:rPr>
            <w:webHidden/>
          </w:rPr>
          <w:t>14</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926" w:history="1">
        <w:r w:rsidRPr="00E453CA">
          <w:rPr>
            <w:rStyle w:val="Hyperlink"/>
          </w:rPr>
          <w:t>11</w:t>
        </w:r>
        <w:r>
          <w:rPr>
            <w:rFonts w:asciiTheme="minorHAnsi" w:eastAsiaTheme="minorEastAsia" w:hAnsiTheme="minorHAnsi" w:cstheme="minorBidi"/>
            <w:b w:val="0"/>
            <w:sz w:val="22"/>
            <w:szCs w:val="22"/>
            <w:lang w:eastAsia="en-GB"/>
          </w:rPr>
          <w:tab/>
        </w:r>
        <w:r w:rsidRPr="00E453CA">
          <w:rPr>
            <w:rStyle w:val="Hyperlink"/>
          </w:rPr>
          <w:t>Dashboard</w:t>
        </w:r>
        <w:r>
          <w:rPr>
            <w:webHidden/>
          </w:rPr>
          <w:tab/>
        </w:r>
        <w:r>
          <w:rPr>
            <w:webHidden/>
          </w:rPr>
          <w:fldChar w:fldCharType="begin"/>
        </w:r>
        <w:r>
          <w:rPr>
            <w:webHidden/>
          </w:rPr>
          <w:instrText xml:space="preserve"> PAGEREF _Toc377395926 \h </w:instrText>
        </w:r>
        <w:r>
          <w:rPr>
            <w:webHidden/>
          </w:rPr>
        </w:r>
        <w:r>
          <w:rPr>
            <w:webHidden/>
          </w:rPr>
          <w:fldChar w:fldCharType="separate"/>
        </w:r>
        <w:r>
          <w:rPr>
            <w:webHidden/>
          </w:rPr>
          <w:t>14</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927" w:history="1">
        <w:r w:rsidRPr="00E453CA">
          <w:rPr>
            <w:rStyle w:val="Hyperlink"/>
          </w:rPr>
          <w:t>12</w:t>
        </w:r>
        <w:r>
          <w:rPr>
            <w:rFonts w:asciiTheme="minorHAnsi" w:eastAsiaTheme="minorEastAsia" w:hAnsiTheme="minorHAnsi" w:cstheme="minorBidi"/>
            <w:b w:val="0"/>
            <w:sz w:val="22"/>
            <w:szCs w:val="22"/>
            <w:lang w:eastAsia="en-GB"/>
          </w:rPr>
          <w:tab/>
        </w:r>
        <w:r w:rsidRPr="00E453CA">
          <w:rPr>
            <w:rStyle w:val="Hyperlink"/>
          </w:rPr>
          <w:t>FX sequence</w:t>
        </w:r>
        <w:r>
          <w:rPr>
            <w:webHidden/>
          </w:rPr>
          <w:tab/>
        </w:r>
        <w:r>
          <w:rPr>
            <w:webHidden/>
          </w:rPr>
          <w:fldChar w:fldCharType="begin"/>
        </w:r>
        <w:r>
          <w:rPr>
            <w:webHidden/>
          </w:rPr>
          <w:instrText xml:space="preserve"> PAGEREF _Toc377395927 \h </w:instrText>
        </w:r>
        <w:r>
          <w:rPr>
            <w:webHidden/>
          </w:rPr>
        </w:r>
        <w:r>
          <w:rPr>
            <w:webHidden/>
          </w:rPr>
          <w:fldChar w:fldCharType="separate"/>
        </w:r>
        <w:r>
          <w:rPr>
            <w:webHidden/>
          </w:rPr>
          <w:t>14</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928" w:history="1">
        <w:r w:rsidRPr="00E453CA">
          <w:rPr>
            <w:rStyle w:val="Hyperlink"/>
          </w:rPr>
          <w:t>13</w:t>
        </w:r>
        <w:r>
          <w:rPr>
            <w:rFonts w:asciiTheme="minorHAnsi" w:eastAsiaTheme="minorEastAsia" w:hAnsiTheme="minorHAnsi" w:cstheme="minorBidi"/>
            <w:b w:val="0"/>
            <w:sz w:val="22"/>
            <w:szCs w:val="22"/>
            <w:lang w:eastAsia="en-GB"/>
          </w:rPr>
          <w:tab/>
        </w:r>
        <w:r w:rsidRPr="00E453CA">
          <w:rPr>
            <w:rStyle w:val="Hyperlink"/>
          </w:rPr>
          <w:t>Orders MP Actions</w:t>
        </w:r>
        <w:r>
          <w:rPr>
            <w:webHidden/>
          </w:rPr>
          <w:tab/>
        </w:r>
        <w:r>
          <w:rPr>
            <w:webHidden/>
          </w:rPr>
          <w:fldChar w:fldCharType="begin"/>
        </w:r>
        <w:r>
          <w:rPr>
            <w:webHidden/>
          </w:rPr>
          <w:instrText xml:space="preserve"> PAGEREF _Toc377395928 \h </w:instrText>
        </w:r>
        <w:r>
          <w:rPr>
            <w:webHidden/>
          </w:rPr>
        </w:r>
        <w:r>
          <w:rPr>
            <w:webHidden/>
          </w:rPr>
          <w:fldChar w:fldCharType="separate"/>
        </w:r>
        <w:r>
          <w:rPr>
            <w:webHidden/>
          </w:rPr>
          <w:t>14</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929" w:history="1">
        <w:r w:rsidRPr="00E453CA">
          <w:rPr>
            <w:rStyle w:val="Hyperlink"/>
          </w:rPr>
          <w:t>14</w:t>
        </w:r>
        <w:r>
          <w:rPr>
            <w:rFonts w:asciiTheme="minorHAnsi" w:eastAsiaTheme="minorEastAsia" w:hAnsiTheme="minorHAnsi" w:cstheme="minorBidi"/>
            <w:b w:val="0"/>
            <w:sz w:val="22"/>
            <w:szCs w:val="22"/>
            <w:lang w:eastAsia="en-GB"/>
          </w:rPr>
          <w:tab/>
        </w:r>
        <w:r w:rsidRPr="00E453CA">
          <w:rPr>
            <w:rStyle w:val="Hyperlink"/>
          </w:rPr>
          <w:t>Change requests –</w:t>
        </w:r>
        <w:r>
          <w:rPr>
            <w:webHidden/>
          </w:rPr>
          <w:tab/>
        </w:r>
        <w:r>
          <w:rPr>
            <w:webHidden/>
          </w:rPr>
          <w:fldChar w:fldCharType="begin"/>
        </w:r>
        <w:r>
          <w:rPr>
            <w:webHidden/>
          </w:rPr>
          <w:instrText xml:space="preserve"> PAGEREF _Toc377395929 \h </w:instrText>
        </w:r>
        <w:r>
          <w:rPr>
            <w:webHidden/>
          </w:rPr>
        </w:r>
        <w:r>
          <w:rPr>
            <w:webHidden/>
          </w:rPr>
          <w:fldChar w:fldCharType="separate"/>
        </w:r>
        <w:r>
          <w:rPr>
            <w:webHidden/>
          </w:rPr>
          <w:t>14</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930" w:history="1">
        <w:r w:rsidRPr="00E453CA">
          <w:rPr>
            <w:rStyle w:val="Hyperlink"/>
          </w:rPr>
          <w:t>15</w:t>
        </w:r>
        <w:r>
          <w:rPr>
            <w:rFonts w:asciiTheme="minorHAnsi" w:eastAsiaTheme="minorEastAsia" w:hAnsiTheme="minorHAnsi" w:cstheme="minorBidi"/>
            <w:b w:val="0"/>
            <w:sz w:val="22"/>
            <w:szCs w:val="22"/>
            <w:lang w:eastAsia="en-GB"/>
          </w:rPr>
          <w:tab/>
        </w:r>
        <w:r w:rsidRPr="00E453CA">
          <w:rPr>
            <w:rStyle w:val="Hyperlink"/>
          </w:rPr>
          <w:t>November call.</w:t>
        </w:r>
        <w:r>
          <w:rPr>
            <w:webHidden/>
          </w:rPr>
          <w:tab/>
        </w:r>
        <w:r>
          <w:rPr>
            <w:webHidden/>
          </w:rPr>
          <w:fldChar w:fldCharType="begin"/>
        </w:r>
        <w:r>
          <w:rPr>
            <w:webHidden/>
          </w:rPr>
          <w:instrText xml:space="preserve"> PAGEREF _Toc377395930 \h </w:instrText>
        </w:r>
        <w:r>
          <w:rPr>
            <w:webHidden/>
          </w:rPr>
        </w:r>
        <w:r>
          <w:rPr>
            <w:webHidden/>
          </w:rPr>
          <w:fldChar w:fldCharType="separate"/>
        </w:r>
        <w:r>
          <w:rPr>
            <w:webHidden/>
          </w:rPr>
          <w:t>14</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931" w:history="1">
        <w:r w:rsidRPr="00E453CA">
          <w:rPr>
            <w:rStyle w:val="Hyperlink"/>
          </w:rPr>
          <w:t>16</w:t>
        </w:r>
        <w:r>
          <w:rPr>
            <w:rFonts w:asciiTheme="minorHAnsi" w:eastAsiaTheme="minorEastAsia" w:hAnsiTheme="minorHAnsi" w:cstheme="minorBidi"/>
            <w:b w:val="0"/>
            <w:sz w:val="22"/>
            <w:szCs w:val="22"/>
            <w:lang w:eastAsia="en-GB"/>
          </w:rPr>
          <w:tab/>
        </w:r>
        <w:r w:rsidRPr="00E453CA">
          <w:rPr>
            <w:rStyle w:val="Hyperlink"/>
          </w:rPr>
          <w:t>December call.</w:t>
        </w:r>
        <w:r>
          <w:rPr>
            <w:webHidden/>
          </w:rPr>
          <w:tab/>
        </w:r>
        <w:r>
          <w:rPr>
            <w:webHidden/>
          </w:rPr>
          <w:fldChar w:fldCharType="begin"/>
        </w:r>
        <w:r>
          <w:rPr>
            <w:webHidden/>
          </w:rPr>
          <w:instrText xml:space="preserve"> PAGEREF _Toc377395931 \h </w:instrText>
        </w:r>
        <w:r>
          <w:rPr>
            <w:webHidden/>
          </w:rPr>
        </w:r>
        <w:r>
          <w:rPr>
            <w:webHidden/>
          </w:rPr>
          <w:fldChar w:fldCharType="separate"/>
        </w:r>
        <w:r>
          <w:rPr>
            <w:webHidden/>
          </w:rPr>
          <w:t>14</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932" w:history="1">
        <w:r w:rsidRPr="00E453CA">
          <w:rPr>
            <w:rStyle w:val="Hyperlink"/>
          </w:rPr>
          <w:t>17</w:t>
        </w:r>
        <w:r>
          <w:rPr>
            <w:rFonts w:asciiTheme="minorHAnsi" w:eastAsiaTheme="minorEastAsia" w:hAnsiTheme="minorHAnsi" w:cstheme="minorBidi"/>
            <w:b w:val="0"/>
            <w:sz w:val="22"/>
            <w:szCs w:val="22"/>
            <w:lang w:eastAsia="en-GB"/>
          </w:rPr>
          <w:tab/>
        </w:r>
        <w:r w:rsidRPr="00E453CA">
          <w:rPr>
            <w:rStyle w:val="Hyperlink"/>
          </w:rPr>
          <w:t>Agenda SMPG Spring meeting</w:t>
        </w:r>
        <w:r>
          <w:rPr>
            <w:webHidden/>
          </w:rPr>
          <w:tab/>
        </w:r>
        <w:r>
          <w:rPr>
            <w:webHidden/>
          </w:rPr>
          <w:fldChar w:fldCharType="begin"/>
        </w:r>
        <w:r>
          <w:rPr>
            <w:webHidden/>
          </w:rPr>
          <w:instrText xml:space="preserve"> PAGEREF _Toc377395932 \h </w:instrText>
        </w:r>
        <w:r>
          <w:rPr>
            <w:webHidden/>
          </w:rPr>
        </w:r>
        <w:r>
          <w:rPr>
            <w:webHidden/>
          </w:rPr>
          <w:fldChar w:fldCharType="separate"/>
        </w:r>
        <w:r>
          <w:rPr>
            <w:webHidden/>
          </w:rPr>
          <w:t>14</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33" w:history="1">
        <w:r w:rsidRPr="00E453CA">
          <w:rPr>
            <w:rStyle w:val="Hyperlink"/>
          </w:rPr>
          <w:t>17.1</w:t>
        </w:r>
        <w:r>
          <w:rPr>
            <w:rFonts w:asciiTheme="minorHAnsi" w:eastAsiaTheme="minorEastAsia" w:hAnsiTheme="minorHAnsi" w:cstheme="minorBidi"/>
            <w:snapToGrid/>
            <w:sz w:val="22"/>
            <w:szCs w:val="22"/>
            <w:lang w:eastAsia="en-GB"/>
          </w:rPr>
          <w:tab/>
        </w:r>
        <w:r w:rsidRPr="00E453CA">
          <w:rPr>
            <w:rStyle w:val="Hyperlink"/>
          </w:rPr>
          <w:t>Maintenance  2014-2015 cycle  (SR 2015)</w:t>
        </w:r>
        <w:r>
          <w:rPr>
            <w:webHidden/>
          </w:rPr>
          <w:tab/>
        </w:r>
        <w:r>
          <w:rPr>
            <w:webHidden/>
          </w:rPr>
          <w:fldChar w:fldCharType="begin"/>
        </w:r>
        <w:r>
          <w:rPr>
            <w:webHidden/>
          </w:rPr>
          <w:instrText xml:space="preserve"> PAGEREF _Toc377395933 \h </w:instrText>
        </w:r>
        <w:r>
          <w:rPr>
            <w:webHidden/>
          </w:rPr>
        </w:r>
        <w:r>
          <w:rPr>
            <w:webHidden/>
          </w:rPr>
          <w:fldChar w:fldCharType="separate"/>
        </w:r>
        <w:r>
          <w:rPr>
            <w:webHidden/>
          </w:rPr>
          <w:t>14</w:t>
        </w:r>
        <w:r>
          <w:rPr>
            <w:webHidden/>
          </w:rPr>
          <w:fldChar w:fldCharType="end"/>
        </w:r>
      </w:hyperlink>
    </w:p>
    <w:p w:rsidR="009456DC" w:rsidRDefault="009456DC">
      <w:pPr>
        <w:pStyle w:val="TOC2"/>
        <w:rPr>
          <w:rFonts w:asciiTheme="minorHAnsi" w:eastAsiaTheme="minorEastAsia" w:hAnsiTheme="minorHAnsi" w:cstheme="minorBidi"/>
          <w:snapToGrid/>
          <w:sz w:val="22"/>
          <w:szCs w:val="22"/>
          <w:lang w:eastAsia="en-GB"/>
        </w:rPr>
      </w:pPr>
      <w:hyperlink w:anchor="_Toc377395934" w:history="1">
        <w:r w:rsidRPr="00E453CA">
          <w:rPr>
            <w:rStyle w:val="Hyperlink"/>
          </w:rPr>
          <w:t>17.2</w:t>
        </w:r>
        <w:r>
          <w:rPr>
            <w:rFonts w:asciiTheme="minorHAnsi" w:eastAsiaTheme="minorEastAsia" w:hAnsiTheme="minorHAnsi" w:cstheme="minorBidi"/>
            <w:snapToGrid/>
            <w:sz w:val="22"/>
            <w:szCs w:val="22"/>
            <w:lang w:eastAsia="en-GB"/>
          </w:rPr>
          <w:tab/>
        </w:r>
        <w:r w:rsidRPr="00E453CA">
          <w:rPr>
            <w:rStyle w:val="Hyperlink"/>
          </w:rPr>
          <w:t>Maintenance of Change requests order messages</w:t>
        </w:r>
        <w:r>
          <w:rPr>
            <w:webHidden/>
          </w:rPr>
          <w:tab/>
        </w:r>
        <w:r>
          <w:rPr>
            <w:webHidden/>
          </w:rPr>
          <w:fldChar w:fldCharType="begin"/>
        </w:r>
        <w:r>
          <w:rPr>
            <w:webHidden/>
          </w:rPr>
          <w:instrText xml:space="preserve"> PAGEREF _Toc377395934 \h </w:instrText>
        </w:r>
        <w:r>
          <w:rPr>
            <w:webHidden/>
          </w:rPr>
        </w:r>
        <w:r>
          <w:rPr>
            <w:webHidden/>
          </w:rPr>
          <w:fldChar w:fldCharType="separate"/>
        </w:r>
        <w:r>
          <w:rPr>
            <w:webHidden/>
          </w:rPr>
          <w:t>14</w:t>
        </w:r>
        <w:r>
          <w:rPr>
            <w:webHidden/>
          </w:rPr>
          <w:fldChar w:fldCharType="end"/>
        </w:r>
      </w:hyperlink>
    </w:p>
    <w:p w:rsidR="009456DC" w:rsidRDefault="009456DC">
      <w:pPr>
        <w:pStyle w:val="TOC1"/>
        <w:rPr>
          <w:rFonts w:asciiTheme="minorHAnsi" w:eastAsiaTheme="minorEastAsia" w:hAnsiTheme="minorHAnsi" w:cstheme="minorBidi"/>
          <w:b w:val="0"/>
          <w:sz w:val="22"/>
          <w:szCs w:val="22"/>
          <w:lang w:eastAsia="en-GB"/>
        </w:rPr>
      </w:pPr>
      <w:hyperlink w:anchor="_Toc377395935" w:history="1">
        <w:r w:rsidRPr="00E453CA">
          <w:rPr>
            <w:rStyle w:val="Hyperlink"/>
          </w:rPr>
          <w:t>18</w:t>
        </w:r>
        <w:r>
          <w:rPr>
            <w:rFonts w:asciiTheme="minorHAnsi" w:eastAsiaTheme="minorEastAsia" w:hAnsiTheme="minorHAnsi" w:cstheme="minorBidi"/>
            <w:b w:val="0"/>
            <w:sz w:val="22"/>
            <w:szCs w:val="22"/>
            <w:lang w:eastAsia="en-GB"/>
          </w:rPr>
          <w:tab/>
        </w:r>
        <w:r w:rsidRPr="00E453CA">
          <w:rPr>
            <w:rStyle w:val="Hyperlink"/>
          </w:rPr>
          <w:t>SMPG Autumn 2014 meeting.</w:t>
        </w:r>
        <w:r>
          <w:rPr>
            <w:webHidden/>
          </w:rPr>
          <w:tab/>
        </w:r>
        <w:r>
          <w:rPr>
            <w:webHidden/>
          </w:rPr>
          <w:fldChar w:fldCharType="begin"/>
        </w:r>
        <w:r>
          <w:rPr>
            <w:webHidden/>
          </w:rPr>
          <w:instrText xml:space="preserve"> PAGEREF _Toc377395935 \h </w:instrText>
        </w:r>
        <w:r>
          <w:rPr>
            <w:webHidden/>
          </w:rPr>
        </w:r>
        <w:r>
          <w:rPr>
            <w:webHidden/>
          </w:rPr>
          <w:fldChar w:fldCharType="separate"/>
        </w:r>
        <w:r>
          <w:rPr>
            <w:webHidden/>
          </w:rPr>
          <w:t>15</w:t>
        </w:r>
        <w:r>
          <w:rPr>
            <w:webHidden/>
          </w:rPr>
          <w:fldChar w:fldCharType="end"/>
        </w:r>
      </w:hyperlink>
    </w:p>
    <w:p w:rsidR="00FA18EA" w:rsidRDefault="00FA1473">
      <w:r>
        <w:rPr>
          <w:b/>
          <w:noProof/>
          <w:snapToGrid w:val="0"/>
        </w:rPr>
        <w:fldChar w:fldCharType="end"/>
      </w:r>
    </w:p>
    <w:p w:rsidR="00FA18EA" w:rsidRDefault="00FA18EA">
      <w:pPr>
        <w:sectPr w:rsidR="00FA18EA">
          <w:headerReference w:type="even" r:id="rId11"/>
          <w:headerReference w:type="default" r:id="rId12"/>
          <w:footerReference w:type="even" r:id="rId13"/>
          <w:pgSz w:w="11909" w:h="15840" w:code="9"/>
          <w:pgMar w:top="1021" w:right="1304" w:bottom="1701" w:left="1304" w:header="567" w:footer="567" w:gutter="0"/>
          <w:cols w:space="720"/>
        </w:sectPr>
      </w:pPr>
    </w:p>
    <w:p w:rsidR="009544A7" w:rsidRDefault="009544A7">
      <w:pPr>
        <w:rPr>
          <w:snapToGrid w:val="0"/>
        </w:rPr>
      </w:pPr>
      <w:bookmarkStart w:id="3" w:name="_Toc533501210"/>
    </w:p>
    <w:p w:rsidR="009544A7" w:rsidRDefault="009544A7" w:rsidP="009544A7">
      <w:pPr>
        <w:pStyle w:val="Heading1"/>
      </w:pPr>
      <w:bookmarkStart w:id="4" w:name="_Toc377395894"/>
      <w:r>
        <w:t>Attendees</w:t>
      </w:r>
      <w:bookmarkEnd w:id="4"/>
    </w:p>
    <w:p w:rsidR="009544A7" w:rsidRPr="009544A7" w:rsidRDefault="009544A7" w:rsidP="009544A7"/>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566"/>
        <w:gridCol w:w="3827"/>
        <w:gridCol w:w="1333"/>
      </w:tblGrid>
      <w:tr w:rsidR="009544A7" w:rsidRPr="00D30D22" w:rsidTr="00B96664">
        <w:trPr>
          <w:trHeight w:val="70"/>
          <w:jc w:val="center"/>
        </w:trPr>
        <w:tc>
          <w:tcPr>
            <w:tcW w:w="1018" w:type="dxa"/>
            <w:vAlign w:val="center"/>
          </w:tcPr>
          <w:p w:rsidR="009544A7" w:rsidRPr="00B96664" w:rsidRDefault="009544A7" w:rsidP="00B96664">
            <w:pPr>
              <w:pStyle w:val="ListParagraph"/>
              <w:numPr>
                <w:ilvl w:val="0"/>
                <w:numId w:val="25"/>
              </w:numPr>
              <w:suppressAutoHyphens w:val="0"/>
              <w:spacing w:before="40" w:after="40"/>
              <w:ind w:left="25" w:firstLine="0"/>
              <w:contextualSpacing w:val="0"/>
              <w:jc w:val="center"/>
              <w:rPr>
                <w:rFonts w:asciiTheme="minorHAnsi" w:eastAsia="Times New Roman" w:hAnsiTheme="minorHAnsi" w:cstheme="minorHAnsi"/>
                <w:lang w:val="it-IT"/>
              </w:rPr>
            </w:pPr>
          </w:p>
        </w:tc>
        <w:tc>
          <w:tcPr>
            <w:tcW w:w="1566" w:type="dxa"/>
          </w:tcPr>
          <w:p w:rsidR="009544A7" w:rsidRPr="00B96664" w:rsidRDefault="009544A7" w:rsidP="00B96664">
            <w:pPr>
              <w:spacing w:before="40" w:after="40"/>
              <w:ind w:left="49" w:firstLine="5"/>
              <w:jc w:val="center"/>
              <w:rPr>
                <w:rFonts w:asciiTheme="minorHAnsi" w:hAnsiTheme="minorHAnsi" w:cstheme="minorHAnsi"/>
              </w:rPr>
            </w:pPr>
            <w:r w:rsidRPr="00B96664">
              <w:rPr>
                <w:rFonts w:asciiTheme="minorHAnsi" w:hAnsiTheme="minorHAnsi" w:cstheme="minorHAnsi"/>
              </w:rPr>
              <w:t>NO</w:t>
            </w:r>
          </w:p>
        </w:tc>
        <w:tc>
          <w:tcPr>
            <w:tcW w:w="3827" w:type="dxa"/>
            <w:vAlign w:val="center"/>
          </w:tcPr>
          <w:p w:rsidR="009544A7" w:rsidRPr="00B96664" w:rsidRDefault="009544A7" w:rsidP="00B96664">
            <w:pPr>
              <w:spacing w:before="40" w:after="40"/>
              <w:ind w:left="78"/>
              <w:rPr>
                <w:rFonts w:asciiTheme="minorHAnsi" w:hAnsiTheme="minorHAnsi" w:cstheme="minorHAnsi"/>
                <w:color w:val="FF0000"/>
              </w:rPr>
            </w:pPr>
            <w:r w:rsidRPr="00B96664">
              <w:rPr>
                <w:rFonts w:asciiTheme="minorHAnsi" w:hAnsiTheme="minorHAnsi" w:cstheme="minorHAnsi"/>
              </w:rPr>
              <w:t>Svein R. Borgersen</w:t>
            </w:r>
          </w:p>
        </w:tc>
        <w:tc>
          <w:tcPr>
            <w:tcW w:w="1333" w:type="dxa"/>
            <w:vAlign w:val="center"/>
          </w:tcPr>
          <w:p w:rsidR="009544A7" w:rsidRPr="00B96664" w:rsidRDefault="009544A7" w:rsidP="00B96664">
            <w:pPr>
              <w:spacing w:before="40" w:after="40"/>
              <w:ind w:left="121"/>
              <w:jc w:val="center"/>
              <w:rPr>
                <w:rFonts w:asciiTheme="minorHAnsi" w:hAnsiTheme="minorHAnsi" w:cstheme="minorHAnsi"/>
              </w:rPr>
            </w:pPr>
            <w:r w:rsidRPr="00B96664">
              <w:rPr>
                <w:rFonts w:asciiTheme="minorHAnsi" w:hAnsiTheme="minorHAnsi" w:cstheme="minorHAnsi"/>
              </w:rPr>
              <w:t>SB</w:t>
            </w:r>
          </w:p>
        </w:tc>
      </w:tr>
      <w:tr w:rsidR="009544A7" w:rsidRPr="00D30D22" w:rsidTr="00B96664">
        <w:trPr>
          <w:jc w:val="center"/>
        </w:trPr>
        <w:tc>
          <w:tcPr>
            <w:tcW w:w="1018" w:type="dxa"/>
            <w:vAlign w:val="center"/>
          </w:tcPr>
          <w:p w:rsidR="009544A7" w:rsidRPr="00B96664" w:rsidRDefault="009544A7" w:rsidP="00B96664">
            <w:pPr>
              <w:pStyle w:val="ListParagraph"/>
              <w:numPr>
                <w:ilvl w:val="0"/>
                <w:numId w:val="25"/>
              </w:numPr>
              <w:suppressAutoHyphens w:val="0"/>
              <w:spacing w:before="40" w:after="40"/>
              <w:ind w:left="25" w:firstLine="0"/>
              <w:contextualSpacing w:val="0"/>
              <w:jc w:val="center"/>
              <w:rPr>
                <w:rFonts w:asciiTheme="minorHAnsi" w:eastAsia="Times New Roman" w:hAnsiTheme="minorHAnsi" w:cstheme="minorHAnsi"/>
              </w:rPr>
            </w:pPr>
          </w:p>
        </w:tc>
        <w:tc>
          <w:tcPr>
            <w:tcW w:w="1566" w:type="dxa"/>
          </w:tcPr>
          <w:p w:rsidR="009544A7" w:rsidRPr="00B96664" w:rsidRDefault="009544A7" w:rsidP="00B96664">
            <w:pPr>
              <w:spacing w:before="40" w:after="40"/>
              <w:ind w:left="49" w:firstLine="5"/>
              <w:jc w:val="center"/>
              <w:rPr>
                <w:rFonts w:asciiTheme="minorHAnsi" w:hAnsiTheme="minorHAnsi" w:cstheme="minorHAnsi"/>
              </w:rPr>
            </w:pPr>
            <w:r w:rsidRPr="00B96664">
              <w:rPr>
                <w:rFonts w:asciiTheme="minorHAnsi" w:hAnsiTheme="minorHAnsi" w:cstheme="minorHAnsi"/>
              </w:rPr>
              <w:t>DK</w:t>
            </w:r>
          </w:p>
        </w:tc>
        <w:tc>
          <w:tcPr>
            <w:tcW w:w="3827" w:type="dxa"/>
            <w:vAlign w:val="center"/>
          </w:tcPr>
          <w:p w:rsidR="009544A7" w:rsidRPr="00B96664" w:rsidRDefault="009544A7" w:rsidP="00B96664">
            <w:pPr>
              <w:spacing w:before="40" w:after="40"/>
              <w:ind w:left="78"/>
              <w:rPr>
                <w:rFonts w:asciiTheme="minorHAnsi" w:hAnsiTheme="minorHAnsi" w:cstheme="minorHAnsi"/>
                <w:color w:val="FF0000"/>
              </w:rPr>
            </w:pPr>
            <w:r w:rsidRPr="00B96664">
              <w:rPr>
                <w:rFonts w:asciiTheme="minorHAnsi" w:hAnsiTheme="minorHAnsi" w:cstheme="minorHAnsi"/>
              </w:rPr>
              <w:t>Niels W. Hougaard</w:t>
            </w:r>
          </w:p>
        </w:tc>
        <w:tc>
          <w:tcPr>
            <w:tcW w:w="1333" w:type="dxa"/>
            <w:vAlign w:val="center"/>
          </w:tcPr>
          <w:p w:rsidR="009544A7" w:rsidRPr="00B96664" w:rsidRDefault="009544A7" w:rsidP="00B96664">
            <w:pPr>
              <w:spacing w:before="40" w:after="40"/>
              <w:ind w:left="121"/>
              <w:jc w:val="center"/>
              <w:rPr>
                <w:rFonts w:asciiTheme="minorHAnsi" w:hAnsiTheme="minorHAnsi" w:cstheme="minorHAnsi"/>
              </w:rPr>
            </w:pPr>
            <w:r w:rsidRPr="00B96664">
              <w:rPr>
                <w:rFonts w:asciiTheme="minorHAnsi" w:hAnsiTheme="minorHAnsi" w:cstheme="minorHAnsi"/>
              </w:rPr>
              <w:t>NH</w:t>
            </w:r>
          </w:p>
        </w:tc>
      </w:tr>
      <w:tr w:rsidR="009544A7" w:rsidRPr="00D30D22" w:rsidTr="00B96664">
        <w:trPr>
          <w:jc w:val="center"/>
        </w:trPr>
        <w:tc>
          <w:tcPr>
            <w:tcW w:w="1018" w:type="dxa"/>
            <w:vAlign w:val="center"/>
          </w:tcPr>
          <w:p w:rsidR="009544A7" w:rsidRPr="00B96664" w:rsidRDefault="009544A7" w:rsidP="00B96664">
            <w:pPr>
              <w:pStyle w:val="ListParagraph"/>
              <w:numPr>
                <w:ilvl w:val="0"/>
                <w:numId w:val="25"/>
              </w:numPr>
              <w:suppressAutoHyphens w:val="0"/>
              <w:spacing w:before="40" w:after="40"/>
              <w:ind w:left="25" w:firstLine="0"/>
              <w:contextualSpacing w:val="0"/>
              <w:jc w:val="center"/>
              <w:rPr>
                <w:rFonts w:asciiTheme="minorHAnsi" w:eastAsia="Times New Roman" w:hAnsiTheme="minorHAnsi" w:cstheme="minorHAnsi"/>
              </w:rPr>
            </w:pPr>
          </w:p>
        </w:tc>
        <w:tc>
          <w:tcPr>
            <w:tcW w:w="1566" w:type="dxa"/>
          </w:tcPr>
          <w:p w:rsidR="009544A7" w:rsidRPr="00B96664" w:rsidRDefault="009544A7" w:rsidP="00B96664">
            <w:pPr>
              <w:spacing w:before="40" w:after="40"/>
              <w:ind w:left="49" w:firstLine="5"/>
              <w:jc w:val="center"/>
              <w:rPr>
                <w:rFonts w:asciiTheme="minorHAnsi" w:hAnsiTheme="minorHAnsi" w:cstheme="minorHAnsi"/>
              </w:rPr>
            </w:pPr>
            <w:r w:rsidRPr="00B96664">
              <w:rPr>
                <w:rFonts w:asciiTheme="minorHAnsi" w:hAnsiTheme="minorHAnsi" w:cstheme="minorHAnsi"/>
              </w:rPr>
              <w:t>DK</w:t>
            </w:r>
          </w:p>
        </w:tc>
        <w:tc>
          <w:tcPr>
            <w:tcW w:w="3827" w:type="dxa"/>
            <w:vAlign w:val="center"/>
          </w:tcPr>
          <w:p w:rsidR="009544A7" w:rsidRPr="00B96664" w:rsidRDefault="009544A7" w:rsidP="00B96664">
            <w:pPr>
              <w:spacing w:before="40" w:after="40"/>
              <w:ind w:left="78"/>
              <w:rPr>
                <w:rFonts w:asciiTheme="minorHAnsi" w:hAnsiTheme="minorHAnsi" w:cstheme="minorHAnsi"/>
              </w:rPr>
            </w:pPr>
            <w:r w:rsidRPr="00B96664">
              <w:rPr>
                <w:rFonts w:asciiTheme="minorHAnsi" w:hAnsiTheme="minorHAnsi" w:cstheme="minorHAnsi"/>
              </w:rPr>
              <w:t>Henrik Kjærbye</w:t>
            </w:r>
          </w:p>
        </w:tc>
        <w:tc>
          <w:tcPr>
            <w:tcW w:w="1333" w:type="dxa"/>
            <w:vAlign w:val="center"/>
          </w:tcPr>
          <w:p w:rsidR="009544A7" w:rsidRPr="00B96664" w:rsidRDefault="009544A7" w:rsidP="00B96664">
            <w:pPr>
              <w:spacing w:before="40" w:after="40"/>
              <w:ind w:left="121"/>
              <w:jc w:val="center"/>
              <w:rPr>
                <w:rFonts w:asciiTheme="minorHAnsi" w:hAnsiTheme="minorHAnsi" w:cstheme="minorHAnsi"/>
              </w:rPr>
            </w:pPr>
            <w:r w:rsidRPr="00B96664">
              <w:rPr>
                <w:rFonts w:asciiTheme="minorHAnsi" w:hAnsiTheme="minorHAnsi" w:cstheme="minorHAnsi"/>
              </w:rPr>
              <w:t>HK</w:t>
            </w:r>
          </w:p>
        </w:tc>
      </w:tr>
      <w:tr w:rsidR="009544A7" w:rsidRPr="00D30D22" w:rsidTr="00B96664">
        <w:trPr>
          <w:jc w:val="center"/>
        </w:trPr>
        <w:tc>
          <w:tcPr>
            <w:tcW w:w="1018" w:type="dxa"/>
            <w:vAlign w:val="center"/>
          </w:tcPr>
          <w:p w:rsidR="009544A7" w:rsidRPr="00B96664" w:rsidRDefault="009544A7" w:rsidP="00B96664">
            <w:pPr>
              <w:pStyle w:val="ListParagraph"/>
              <w:numPr>
                <w:ilvl w:val="0"/>
                <w:numId w:val="25"/>
              </w:numPr>
              <w:suppressAutoHyphens w:val="0"/>
              <w:spacing w:before="40" w:after="40"/>
              <w:ind w:left="25" w:firstLine="0"/>
              <w:contextualSpacing w:val="0"/>
              <w:jc w:val="center"/>
              <w:rPr>
                <w:rFonts w:asciiTheme="minorHAnsi" w:eastAsia="Times New Roman" w:hAnsiTheme="minorHAnsi" w:cstheme="minorHAnsi"/>
              </w:rPr>
            </w:pPr>
          </w:p>
        </w:tc>
        <w:tc>
          <w:tcPr>
            <w:tcW w:w="1566" w:type="dxa"/>
          </w:tcPr>
          <w:p w:rsidR="009544A7" w:rsidRPr="00B96664" w:rsidRDefault="009544A7" w:rsidP="00B96664">
            <w:pPr>
              <w:spacing w:before="40" w:after="40"/>
              <w:ind w:left="49" w:firstLine="5"/>
              <w:jc w:val="center"/>
              <w:rPr>
                <w:rFonts w:asciiTheme="minorHAnsi" w:hAnsiTheme="minorHAnsi" w:cstheme="minorHAnsi"/>
              </w:rPr>
            </w:pPr>
            <w:r w:rsidRPr="00B96664">
              <w:rPr>
                <w:rFonts w:asciiTheme="minorHAnsi" w:hAnsiTheme="minorHAnsi" w:cstheme="minorHAnsi"/>
              </w:rPr>
              <w:t>SE</w:t>
            </w:r>
          </w:p>
        </w:tc>
        <w:tc>
          <w:tcPr>
            <w:tcW w:w="3827" w:type="dxa"/>
            <w:vAlign w:val="center"/>
          </w:tcPr>
          <w:p w:rsidR="009544A7" w:rsidRPr="00B96664" w:rsidRDefault="009544A7" w:rsidP="00B96664">
            <w:pPr>
              <w:spacing w:before="40" w:after="40"/>
              <w:ind w:left="78"/>
              <w:rPr>
                <w:rFonts w:asciiTheme="minorHAnsi" w:hAnsiTheme="minorHAnsi" w:cstheme="minorHAnsi"/>
              </w:rPr>
            </w:pPr>
            <w:r w:rsidRPr="00B96664">
              <w:rPr>
                <w:rFonts w:asciiTheme="minorHAnsi" w:hAnsiTheme="minorHAnsi" w:cstheme="minorHAnsi"/>
              </w:rPr>
              <w:t>Henrik Staffas</w:t>
            </w:r>
          </w:p>
        </w:tc>
        <w:tc>
          <w:tcPr>
            <w:tcW w:w="1333" w:type="dxa"/>
            <w:vAlign w:val="center"/>
          </w:tcPr>
          <w:p w:rsidR="009544A7" w:rsidRPr="00B96664" w:rsidRDefault="009544A7" w:rsidP="00B96664">
            <w:pPr>
              <w:spacing w:before="40" w:after="40"/>
              <w:ind w:left="121"/>
              <w:jc w:val="center"/>
              <w:rPr>
                <w:rFonts w:asciiTheme="minorHAnsi" w:hAnsiTheme="minorHAnsi" w:cstheme="minorHAnsi"/>
              </w:rPr>
            </w:pPr>
            <w:r w:rsidRPr="00B96664">
              <w:rPr>
                <w:rFonts w:asciiTheme="minorHAnsi" w:hAnsiTheme="minorHAnsi" w:cstheme="minorHAnsi"/>
              </w:rPr>
              <w:t>HS</w:t>
            </w:r>
          </w:p>
        </w:tc>
      </w:tr>
      <w:tr w:rsidR="009544A7" w:rsidRPr="00D30D22" w:rsidTr="00B96664">
        <w:trPr>
          <w:trHeight w:val="70"/>
          <w:jc w:val="center"/>
        </w:trPr>
        <w:tc>
          <w:tcPr>
            <w:tcW w:w="1018" w:type="dxa"/>
            <w:vAlign w:val="center"/>
          </w:tcPr>
          <w:p w:rsidR="009544A7" w:rsidRPr="00B96664" w:rsidRDefault="009544A7" w:rsidP="00B96664">
            <w:pPr>
              <w:pStyle w:val="ListParagraph"/>
              <w:numPr>
                <w:ilvl w:val="0"/>
                <w:numId w:val="25"/>
              </w:numPr>
              <w:suppressAutoHyphens w:val="0"/>
              <w:spacing w:before="40" w:after="40"/>
              <w:ind w:left="25" w:firstLine="0"/>
              <w:contextualSpacing w:val="0"/>
              <w:jc w:val="center"/>
              <w:rPr>
                <w:rFonts w:asciiTheme="minorHAnsi" w:eastAsia="Times New Roman" w:hAnsiTheme="minorHAnsi" w:cstheme="minorHAnsi"/>
                <w:lang w:val="it-IT"/>
              </w:rPr>
            </w:pPr>
          </w:p>
        </w:tc>
        <w:tc>
          <w:tcPr>
            <w:tcW w:w="1566" w:type="dxa"/>
          </w:tcPr>
          <w:p w:rsidR="009544A7" w:rsidRPr="00B96664" w:rsidRDefault="009544A7" w:rsidP="00B96664">
            <w:pPr>
              <w:spacing w:before="40" w:after="40"/>
              <w:ind w:left="49" w:firstLine="5"/>
              <w:jc w:val="center"/>
              <w:rPr>
                <w:rFonts w:asciiTheme="minorHAnsi" w:hAnsiTheme="minorHAnsi" w:cstheme="minorHAnsi"/>
              </w:rPr>
            </w:pPr>
            <w:r w:rsidRPr="00B96664">
              <w:rPr>
                <w:rFonts w:asciiTheme="minorHAnsi" w:hAnsiTheme="minorHAnsi" w:cstheme="minorHAnsi"/>
              </w:rPr>
              <w:t>GB/Co-chair</w:t>
            </w:r>
          </w:p>
        </w:tc>
        <w:tc>
          <w:tcPr>
            <w:tcW w:w="3827" w:type="dxa"/>
            <w:vAlign w:val="center"/>
          </w:tcPr>
          <w:p w:rsidR="009544A7" w:rsidRPr="00B96664" w:rsidRDefault="009544A7" w:rsidP="00B96664">
            <w:pPr>
              <w:spacing w:before="40" w:after="40"/>
              <w:ind w:left="78"/>
              <w:rPr>
                <w:rFonts w:asciiTheme="minorHAnsi" w:hAnsiTheme="minorHAnsi" w:cstheme="minorHAnsi"/>
              </w:rPr>
            </w:pPr>
            <w:r w:rsidRPr="00B96664">
              <w:rPr>
                <w:rFonts w:asciiTheme="minorHAnsi" w:hAnsiTheme="minorHAnsi" w:cstheme="minorHAnsi"/>
              </w:rPr>
              <w:t>David Broadway</w:t>
            </w:r>
          </w:p>
        </w:tc>
        <w:tc>
          <w:tcPr>
            <w:tcW w:w="1333" w:type="dxa"/>
            <w:vAlign w:val="center"/>
          </w:tcPr>
          <w:p w:rsidR="009544A7" w:rsidRPr="00B96664" w:rsidRDefault="009544A7" w:rsidP="00B96664">
            <w:pPr>
              <w:spacing w:before="40" w:after="40"/>
              <w:ind w:left="121"/>
              <w:jc w:val="center"/>
              <w:rPr>
                <w:rFonts w:asciiTheme="minorHAnsi" w:hAnsiTheme="minorHAnsi" w:cstheme="minorHAnsi"/>
              </w:rPr>
            </w:pPr>
            <w:r w:rsidRPr="00B96664">
              <w:rPr>
                <w:rFonts w:asciiTheme="minorHAnsi" w:hAnsiTheme="minorHAnsi" w:cstheme="minorHAnsi"/>
              </w:rPr>
              <w:t>DB</w:t>
            </w:r>
          </w:p>
        </w:tc>
      </w:tr>
      <w:tr w:rsidR="009544A7" w:rsidRPr="00D30D22" w:rsidTr="00B96664">
        <w:trPr>
          <w:trHeight w:val="70"/>
          <w:jc w:val="center"/>
        </w:trPr>
        <w:tc>
          <w:tcPr>
            <w:tcW w:w="1018" w:type="dxa"/>
            <w:vAlign w:val="center"/>
          </w:tcPr>
          <w:p w:rsidR="009544A7" w:rsidRPr="00B96664" w:rsidRDefault="009544A7" w:rsidP="00B96664">
            <w:pPr>
              <w:pStyle w:val="ListParagraph"/>
              <w:numPr>
                <w:ilvl w:val="0"/>
                <w:numId w:val="25"/>
              </w:numPr>
              <w:suppressAutoHyphens w:val="0"/>
              <w:spacing w:before="40" w:after="40"/>
              <w:ind w:left="25" w:firstLine="0"/>
              <w:contextualSpacing w:val="0"/>
              <w:jc w:val="center"/>
              <w:rPr>
                <w:rFonts w:asciiTheme="minorHAnsi" w:eastAsia="Times New Roman" w:hAnsiTheme="minorHAnsi" w:cstheme="minorHAnsi"/>
                <w:lang w:val="it-IT"/>
              </w:rPr>
            </w:pPr>
          </w:p>
        </w:tc>
        <w:tc>
          <w:tcPr>
            <w:tcW w:w="1566" w:type="dxa"/>
          </w:tcPr>
          <w:p w:rsidR="009544A7" w:rsidRPr="00B96664" w:rsidRDefault="009544A7" w:rsidP="00B96664">
            <w:pPr>
              <w:spacing w:before="40" w:after="40"/>
              <w:ind w:left="49" w:firstLine="5"/>
              <w:jc w:val="center"/>
              <w:rPr>
                <w:rFonts w:asciiTheme="minorHAnsi" w:hAnsiTheme="minorHAnsi" w:cstheme="minorHAnsi"/>
              </w:rPr>
            </w:pPr>
            <w:r w:rsidRPr="00B96664">
              <w:rPr>
                <w:rFonts w:asciiTheme="minorHAnsi" w:hAnsiTheme="minorHAnsi" w:cstheme="minorHAnsi"/>
              </w:rPr>
              <w:t>XS(E)/Co-chair</w:t>
            </w:r>
          </w:p>
        </w:tc>
        <w:tc>
          <w:tcPr>
            <w:tcW w:w="3827" w:type="dxa"/>
            <w:vAlign w:val="center"/>
          </w:tcPr>
          <w:p w:rsidR="009544A7" w:rsidRPr="00B96664" w:rsidRDefault="00587518" w:rsidP="00B96664">
            <w:pPr>
              <w:spacing w:before="40" w:after="40"/>
              <w:ind w:left="78"/>
              <w:rPr>
                <w:rFonts w:asciiTheme="minorHAnsi" w:hAnsiTheme="minorHAnsi" w:cstheme="minorHAnsi"/>
              </w:rPr>
            </w:pPr>
            <w:r w:rsidRPr="00B96664">
              <w:rPr>
                <w:rFonts w:asciiTheme="minorHAnsi" w:hAnsiTheme="minorHAnsi" w:cstheme="minorHAnsi"/>
              </w:rPr>
              <w:t>Nadine Muhigiri</w:t>
            </w:r>
          </w:p>
        </w:tc>
        <w:tc>
          <w:tcPr>
            <w:tcW w:w="1333" w:type="dxa"/>
            <w:vAlign w:val="center"/>
          </w:tcPr>
          <w:p w:rsidR="009544A7" w:rsidRPr="00B96664" w:rsidRDefault="009544A7" w:rsidP="00B96664">
            <w:pPr>
              <w:spacing w:before="40" w:after="40"/>
              <w:ind w:left="121"/>
              <w:jc w:val="center"/>
              <w:rPr>
                <w:rFonts w:asciiTheme="minorHAnsi" w:hAnsiTheme="minorHAnsi" w:cstheme="minorHAnsi"/>
              </w:rPr>
            </w:pPr>
            <w:r w:rsidRPr="00B96664">
              <w:rPr>
                <w:rFonts w:asciiTheme="minorHAnsi" w:hAnsiTheme="minorHAnsi" w:cstheme="minorHAnsi"/>
              </w:rPr>
              <w:t>NM</w:t>
            </w:r>
          </w:p>
        </w:tc>
      </w:tr>
      <w:tr w:rsidR="009544A7" w:rsidRPr="00D30D22" w:rsidTr="00B96664">
        <w:trPr>
          <w:jc w:val="center"/>
        </w:trPr>
        <w:tc>
          <w:tcPr>
            <w:tcW w:w="1018" w:type="dxa"/>
            <w:vAlign w:val="center"/>
          </w:tcPr>
          <w:p w:rsidR="009544A7" w:rsidRPr="00B96664" w:rsidRDefault="009544A7" w:rsidP="00B96664">
            <w:pPr>
              <w:pStyle w:val="ListParagraph"/>
              <w:numPr>
                <w:ilvl w:val="0"/>
                <w:numId w:val="25"/>
              </w:numPr>
              <w:suppressAutoHyphens w:val="0"/>
              <w:spacing w:before="40" w:after="40"/>
              <w:ind w:left="25" w:firstLine="0"/>
              <w:contextualSpacing w:val="0"/>
              <w:jc w:val="center"/>
              <w:rPr>
                <w:rFonts w:asciiTheme="minorHAnsi" w:eastAsia="Times New Roman" w:hAnsiTheme="minorHAnsi" w:cstheme="minorHAnsi"/>
              </w:rPr>
            </w:pPr>
          </w:p>
        </w:tc>
        <w:tc>
          <w:tcPr>
            <w:tcW w:w="1566" w:type="dxa"/>
          </w:tcPr>
          <w:p w:rsidR="009544A7" w:rsidRPr="00B96664" w:rsidRDefault="009544A7" w:rsidP="00B96664">
            <w:pPr>
              <w:spacing w:before="40" w:after="40"/>
              <w:ind w:left="49" w:firstLine="5"/>
              <w:jc w:val="center"/>
              <w:rPr>
                <w:rFonts w:asciiTheme="minorHAnsi" w:hAnsiTheme="minorHAnsi" w:cstheme="minorHAnsi"/>
              </w:rPr>
            </w:pPr>
            <w:r w:rsidRPr="00B96664">
              <w:rPr>
                <w:rFonts w:asciiTheme="minorHAnsi" w:hAnsiTheme="minorHAnsi" w:cstheme="minorHAnsi"/>
              </w:rPr>
              <w:t>IT</w:t>
            </w:r>
          </w:p>
        </w:tc>
        <w:tc>
          <w:tcPr>
            <w:tcW w:w="3827" w:type="dxa"/>
            <w:vAlign w:val="center"/>
          </w:tcPr>
          <w:p w:rsidR="009544A7" w:rsidRPr="00B96664" w:rsidRDefault="009544A7" w:rsidP="00B96664">
            <w:pPr>
              <w:spacing w:before="40" w:after="40"/>
              <w:ind w:left="78"/>
              <w:rPr>
                <w:rFonts w:asciiTheme="minorHAnsi" w:hAnsiTheme="minorHAnsi" w:cstheme="minorHAnsi"/>
              </w:rPr>
            </w:pPr>
            <w:r w:rsidRPr="00B96664">
              <w:rPr>
                <w:rFonts w:asciiTheme="minorHAnsi" w:hAnsiTheme="minorHAnsi" w:cstheme="minorHAnsi"/>
              </w:rPr>
              <w:t>Andrea Milanesio</w:t>
            </w:r>
          </w:p>
        </w:tc>
        <w:tc>
          <w:tcPr>
            <w:tcW w:w="1333" w:type="dxa"/>
            <w:vAlign w:val="center"/>
          </w:tcPr>
          <w:p w:rsidR="009544A7" w:rsidRPr="00B96664" w:rsidRDefault="009544A7" w:rsidP="00B96664">
            <w:pPr>
              <w:spacing w:before="40" w:after="40"/>
              <w:ind w:left="121"/>
              <w:jc w:val="center"/>
              <w:rPr>
                <w:rFonts w:asciiTheme="minorHAnsi" w:hAnsiTheme="minorHAnsi" w:cstheme="minorHAnsi"/>
              </w:rPr>
            </w:pPr>
            <w:r w:rsidRPr="00B96664">
              <w:rPr>
                <w:rFonts w:asciiTheme="minorHAnsi" w:hAnsiTheme="minorHAnsi" w:cstheme="minorHAnsi"/>
              </w:rPr>
              <w:t>AM</w:t>
            </w:r>
          </w:p>
        </w:tc>
      </w:tr>
      <w:tr w:rsidR="009544A7" w:rsidRPr="00D30D22" w:rsidTr="00B96664">
        <w:trPr>
          <w:jc w:val="center"/>
        </w:trPr>
        <w:tc>
          <w:tcPr>
            <w:tcW w:w="1018" w:type="dxa"/>
            <w:vAlign w:val="center"/>
          </w:tcPr>
          <w:p w:rsidR="009544A7" w:rsidRPr="00B96664" w:rsidRDefault="009544A7" w:rsidP="00B96664">
            <w:pPr>
              <w:pStyle w:val="ListParagraph"/>
              <w:numPr>
                <w:ilvl w:val="0"/>
                <w:numId w:val="25"/>
              </w:numPr>
              <w:suppressAutoHyphens w:val="0"/>
              <w:spacing w:before="40" w:after="40"/>
              <w:ind w:left="25" w:firstLine="0"/>
              <w:contextualSpacing w:val="0"/>
              <w:jc w:val="center"/>
              <w:rPr>
                <w:rFonts w:asciiTheme="minorHAnsi" w:eastAsia="Times New Roman" w:hAnsiTheme="minorHAnsi" w:cstheme="minorHAnsi"/>
              </w:rPr>
            </w:pPr>
          </w:p>
        </w:tc>
        <w:tc>
          <w:tcPr>
            <w:tcW w:w="1566" w:type="dxa"/>
          </w:tcPr>
          <w:p w:rsidR="009544A7" w:rsidRPr="00B96664" w:rsidRDefault="009544A7" w:rsidP="00B96664">
            <w:pPr>
              <w:spacing w:before="40" w:after="40"/>
              <w:ind w:left="49" w:firstLine="5"/>
              <w:jc w:val="center"/>
              <w:rPr>
                <w:rFonts w:asciiTheme="minorHAnsi" w:hAnsiTheme="minorHAnsi" w:cstheme="minorHAnsi"/>
              </w:rPr>
            </w:pPr>
            <w:r w:rsidRPr="00B96664">
              <w:rPr>
                <w:rFonts w:asciiTheme="minorHAnsi" w:hAnsiTheme="minorHAnsi" w:cstheme="minorHAnsi"/>
              </w:rPr>
              <w:t>LU</w:t>
            </w:r>
          </w:p>
        </w:tc>
        <w:tc>
          <w:tcPr>
            <w:tcW w:w="3827" w:type="dxa"/>
            <w:vAlign w:val="center"/>
          </w:tcPr>
          <w:p w:rsidR="009544A7" w:rsidRPr="00B96664" w:rsidRDefault="00737136" w:rsidP="00B96664">
            <w:pPr>
              <w:spacing w:before="40" w:after="40"/>
              <w:ind w:left="78"/>
              <w:rPr>
                <w:rFonts w:asciiTheme="minorHAnsi" w:hAnsiTheme="minorHAnsi" w:cstheme="minorHAnsi"/>
              </w:rPr>
            </w:pPr>
            <w:r w:rsidRPr="00B96664">
              <w:rPr>
                <w:rFonts w:asciiTheme="minorHAnsi" w:hAnsiTheme="minorHAnsi" w:cstheme="minorHAnsi"/>
              </w:rPr>
              <w:t>Charles Bon</w:t>
            </w:r>
            <w:r w:rsidR="009544A7" w:rsidRPr="00B96664">
              <w:rPr>
                <w:rFonts w:asciiTheme="minorHAnsi" w:hAnsiTheme="minorHAnsi" w:cstheme="minorHAnsi"/>
              </w:rPr>
              <w:t>iver</w:t>
            </w:r>
          </w:p>
        </w:tc>
        <w:tc>
          <w:tcPr>
            <w:tcW w:w="1333" w:type="dxa"/>
            <w:vAlign w:val="center"/>
          </w:tcPr>
          <w:p w:rsidR="009544A7" w:rsidRPr="00B96664" w:rsidRDefault="009544A7" w:rsidP="00B96664">
            <w:pPr>
              <w:spacing w:before="40" w:after="40"/>
              <w:ind w:left="121"/>
              <w:jc w:val="center"/>
              <w:rPr>
                <w:rFonts w:asciiTheme="minorHAnsi" w:hAnsiTheme="minorHAnsi" w:cstheme="minorHAnsi"/>
              </w:rPr>
            </w:pPr>
            <w:r w:rsidRPr="00B96664">
              <w:rPr>
                <w:rFonts w:asciiTheme="minorHAnsi" w:hAnsiTheme="minorHAnsi" w:cstheme="minorHAnsi"/>
              </w:rPr>
              <w:t>CB</w:t>
            </w:r>
          </w:p>
        </w:tc>
      </w:tr>
      <w:tr w:rsidR="009544A7" w:rsidRPr="00D30D22" w:rsidTr="00B96664">
        <w:trPr>
          <w:trHeight w:val="70"/>
          <w:jc w:val="center"/>
        </w:trPr>
        <w:tc>
          <w:tcPr>
            <w:tcW w:w="1018" w:type="dxa"/>
            <w:vAlign w:val="center"/>
          </w:tcPr>
          <w:p w:rsidR="009544A7" w:rsidRPr="00B96664" w:rsidRDefault="009544A7" w:rsidP="00B96664">
            <w:pPr>
              <w:pStyle w:val="ListParagraph"/>
              <w:numPr>
                <w:ilvl w:val="0"/>
                <w:numId w:val="25"/>
              </w:numPr>
              <w:suppressAutoHyphens w:val="0"/>
              <w:spacing w:before="40" w:after="40"/>
              <w:ind w:left="25" w:firstLine="0"/>
              <w:contextualSpacing w:val="0"/>
              <w:jc w:val="center"/>
              <w:rPr>
                <w:rFonts w:asciiTheme="minorHAnsi" w:eastAsia="Times New Roman" w:hAnsiTheme="minorHAnsi" w:cstheme="minorHAnsi"/>
                <w:lang w:val="it-IT"/>
              </w:rPr>
            </w:pPr>
          </w:p>
        </w:tc>
        <w:tc>
          <w:tcPr>
            <w:tcW w:w="1566" w:type="dxa"/>
          </w:tcPr>
          <w:p w:rsidR="009544A7" w:rsidRPr="00B96664" w:rsidRDefault="009544A7" w:rsidP="00B96664">
            <w:pPr>
              <w:spacing w:before="40" w:after="40"/>
              <w:ind w:left="49" w:firstLine="5"/>
              <w:jc w:val="center"/>
              <w:rPr>
                <w:rFonts w:asciiTheme="minorHAnsi" w:hAnsiTheme="minorHAnsi" w:cstheme="minorHAnsi"/>
              </w:rPr>
            </w:pPr>
            <w:r w:rsidRPr="00B96664">
              <w:rPr>
                <w:rFonts w:asciiTheme="minorHAnsi" w:hAnsiTheme="minorHAnsi" w:cstheme="minorHAnsi"/>
              </w:rPr>
              <w:t>XS(C)</w:t>
            </w:r>
          </w:p>
        </w:tc>
        <w:tc>
          <w:tcPr>
            <w:tcW w:w="3827" w:type="dxa"/>
            <w:vAlign w:val="center"/>
          </w:tcPr>
          <w:p w:rsidR="009544A7" w:rsidRPr="00B96664" w:rsidRDefault="009544A7" w:rsidP="00B96664">
            <w:pPr>
              <w:spacing w:before="40" w:after="40"/>
              <w:ind w:left="78"/>
              <w:rPr>
                <w:rFonts w:asciiTheme="minorHAnsi" w:hAnsiTheme="minorHAnsi" w:cstheme="minorHAnsi"/>
              </w:rPr>
            </w:pPr>
            <w:r w:rsidRPr="00B96664">
              <w:rPr>
                <w:rFonts w:asciiTheme="minorHAnsi" w:hAnsiTheme="minorHAnsi" w:cstheme="minorHAnsi"/>
              </w:rPr>
              <w:t>Tomas Bremin</w:t>
            </w:r>
          </w:p>
        </w:tc>
        <w:tc>
          <w:tcPr>
            <w:tcW w:w="1333" w:type="dxa"/>
            <w:vAlign w:val="center"/>
          </w:tcPr>
          <w:p w:rsidR="009544A7" w:rsidRPr="00B96664" w:rsidRDefault="009544A7" w:rsidP="00B96664">
            <w:pPr>
              <w:spacing w:before="40" w:after="40"/>
              <w:ind w:left="121"/>
              <w:jc w:val="center"/>
              <w:rPr>
                <w:rFonts w:asciiTheme="minorHAnsi" w:hAnsiTheme="minorHAnsi" w:cstheme="minorHAnsi"/>
              </w:rPr>
            </w:pPr>
            <w:r w:rsidRPr="00B96664">
              <w:rPr>
                <w:rFonts w:asciiTheme="minorHAnsi" w:hAnsiTheme="minorHAnsi" w:cstheme="minorHAnsi"/>
              </w:rPr>
              <w:t>TB</w:t>
            </w:r>
          </w:p>
        </w:tc>
      </w:tr>
      <w:tr w:rsidR="00AF750D" w:rsidRPr="00D30D22" w:rsidTr="00B96664">
        <w:trPr>
          <w:trHeight w:val="70"/>
          <w:jc w:val="center"/>
        </w:trPr>
        <w:tc>
          <w:tcPr>
            <w:tcW w:w="1018" w:type="dxa"/>
            <w:vAlign w:val="center"/>
          </w:tcPr>
          <w:p w:rsidR="00AF750D" w:rsidRPr="00B96664" w:rsidRDefault="00AF750D" w:rsidP="00B96664">
            <w:pPr>
              <w:pStyle w:val="ListParagraph"/>
              <w:numPr>
                <w:ilvl w:val="0"/>
                <w:numId w:val="25"/>
              </w:numPr>
              <w:suppressAutoHyphens w:val="0"/>
              <w:spacing w:before="40" w:after="40"/>
              <w:ind w:left="25" w:firstLine="0"/>
              <w:contextualSpacing w:val="0"/>
              <w:jc w:val="center"/>
              <w:rPr>
                <w:rFonts w:asciiTheme="minorHAnsi" w:eastAsia="Times New Roman" w:hAnsiTheme="minorHAnsi" w:cstheme="minorHAnsi"/>
                <w:lang w:val="it-IT"/>
              </w:rPr>
            </w:pPr>
          </w:p>
        </w:tc>
        <w:tc>
          <w:tcPr>
            <w:tcW w:w="1566" w:type="dxa"/>
          </w:tcPr>
          <w:p w:rsidR="00AF750D" w:rsidRPr="00B96664" w:rsidRDefault="00AF750D" w:rsidP="00B96664">
            <w:pPr>
              <w:spacing w:before="40" w:after="40"/>
              <w:ind w:left="49" w:firstLine="5"/>
              <w:jc w:val="center"/>
              <w:rPr>
                <w:rFonts w:asciiTheme="minorHAnsi" w:hAnsiTheme="minorHAnsi" w:cstheme="minorHAnsi"/>
              </w:rPr>
            </w:pPr>
            <w:r w:rsidRPr="00B96664">
              <w:rPr>
                <w:rFonts w:asciiTheme="minorHAnsi" w:hAnsiTheme="minorHAnsi" w:cstheme="minorHAnsi"/>
              </w:rPr>
              <w:t>CH</w:t>
            </w:r>
          </w:p>
        </w:tc>
        <w:tc>
          <w:tcPr>
            <w:tcW w:w="3827" w:type="dxa"/>
            <w:vAlign w:val="center"/>
          </w:tcPr>
          <w:p w:rsidR="00AF750D" w:rsidRPr="00B96664" w:rsidRDefault="00712617" w:rsidP="00B96664">
            <w:pPr>
              <w:spacing w:before="40" w:after="40"/>
              <w:ind w:left="78"/>
              <w:rPr>
                <w:rFonts w:asciiTheme="minorHAnsi" w:hAnsiTheme="minorHAnsi" w:cstheme="minorHAnsi"/>
              </w:rPr>
            </w:pPr>
            <w:r w:rsidRPr="00B96664">
              <w:rPr>
                <w:rFonts w:asciiTheme="minorHAnsi" w:hAnsiTheme="minorHAnsi" w:cstheme="minorHAnsi"/>
              </w:rPr>
              <w:t>Rainer Vogelgesang</w:t>
            </w:r>
          </w:p>
        </w:tc>
        <w:tc>
          <w:tcPr>
            <w:tcW w:w="1333" w:type="dxa"/>
            <w:vAlign w:val="center"/>
          </w:tcPr>
          <w:p w:rsidR="00AF750D" w:rsidRPr="00B96664" w:rsidRDefault="00712617" w:rsidP="00B96664">
            <w:pPr>
              <w:spacing w:before="40" w:after="40"/>
              <w:ind w:left="121"/>
              <w:jc w:val="center"/>
              <w:rPr>
                <w:rFonts w:asciiTheme="minorHAnsi" w:hAnsiTheme="minorHAnsi" w:cstheme="minorHAnsi"/>
              </w:rPr>
            </w:pPr>
            <w:r w:rsidRPr="00B96664">
              <w:rPr>
                <w:rFonts w:asciiTheme="minorHAnsi" w:hAnsiTheme="minorHAnsi" w:cstheme="minorHAnsi"/>
              </w:rPr>
              <w:t>RV</w:t>
            </w:r>
          </w:p>
        </w:tc>
      </w:tr>
      <w:tr w:rsidR="00AF750D" w:rsidRPr="00D30D22" w:rsidTr="00B96664">
        <w:trPr>
          <w:trHeight w:val="70"/>
          <w:jc w:val="center"/>
        </w:trPr>
        <w:tc>
          <w:tcPr>
            <w:tcW w:w="1018" w:type="dxa"/>
            <w:vAlign w:val="center"/>
          </w:tcPr>
          <w:p w:rsidR="00AF750D" w:rsidRPr="00B96664" w:rsidRDefault="00AF750D" w:rsidP="00B96664">
            <w:pPr>
              <w:pStyle w:val="ListParagraph"/>
              <w:numPr>
                <w:ilvl w:val="0"/>
                <w:numId w:val="25"/>
              </w:numPr>
              <w:suppressAutoHyphens w:val="0"/>
              <w:spacing w:before="40" w:after="40"/>
              <w:ind w:left="25" w:firstLine="0"/>
              <w:contextualSpacing w:val="0"/>
              <w:jc w:val="center"/>
              <w:rPr>
                <w:rFonts w:asciiTheme="minorHAnsi" w:eastAsia="Times New Roman" w:hAnsiTheme="minorHAnsi" w:cstheme="minorHAnsi"/>
                <w:lang w:val="it-IT"/>
              </w:rPr>
            </w:pPr>
          </w:p>
        </w:tc>
        <w:tc>
          <w:tcPr>
            <w:tcW w:w="1566" w:type="dxa"/>
          </w:tcPr>
          <w:p w:rsidR="00AF750D" w:rsidRPr="00B96664" w:rsidRDefault="00AF750D" w:rsidP="00B96664">
            <w:pPr>
              <w:spacing w:before="40" w:after="40"/>
              <w:ind w:left="49" w:firstLine="5"/>
              <w:jc w:val="center"/>
              <w:rPr>
                <w:rFonts w:asciiTheme="minorHAnsi" w:hAnsiTheme="minorHAnsi" w:cstheme="minorHAnsi"/>
              </w:rPr>
            </w:pPr>
            <w:r w:rsidRPr="00B96664">
              <w:rPr>
                <w:rFonts w:asciiTheme="minorHAnsi" w:hAnsiTheme="minorHAnsi" w:cstheme="minorHAnsi"/>
              </w:rPr>
              <w:t>Steering Committee/DE</w:t>
            </w:r>
          </w:p>
        </w:tc>
        <w:tc>
          <w:tcPr>
            <w:tcW w:w="3827" w:type="dxa"/>
            <w:vAlign w:val="center"/>
          </w:tcPr>
          <w:p w:rsidR="00AF750D" w:rsidRPr="00B96664" w:rsidRDefault="00AF750D" w:rsidP="00B96664">
            <w:pPr>
              <w:spacing w:before="40" w:after="40"/>
              <w:ind w:left="78"/>
              <w:rPr>
                <w:rFonts w:asciiTheme="minorHAnsi" w:hAnsiTheme="minorHAnsi" w:cstheme="minorHAnsi"/>
              </w:rPr>
            </w:pPr>
            <w:r w:rsidRPr="00B96664">
              <w:rPr>
                <w:rFonts w:asciiTheme="minorHAnsi" w:hAnsiTheme="minorHAnsi" w:cstheme="minorHAnsi"/>
              </w:rPr>
              <w:t>Rudolf Siebel</w:t>
            </w:r>
          </w:p>
        </w:tc>
        <w:tc>
          <w:tcPr>
            <w:tcW w:w="1333" w:type="dxa"/>
            <w:vAlign w:val="center"/>
          </w:tcPr>
          <w:p w:rsidR="00AF750D" w:rsidRPr="00B96664" w:rsidRDefault="005E29C6" w:rsidP="00B96664">
            <w:pPr>
              <w:spacing w:before="40" w:after="40"/>
              <w:ind w:left="121"/>
              <w:jc w:val="center"/>
              <w:rPr>
                <w:rFonts w:asciiTheme="minorHAnsi" w:hAnsiTheme="minorHAnsi" w:cstheme="minorHAnsi"/>
              </w:rPr>
            </w:pPr>
            <w:r w:rsidRPr="00B96664">
              <w:rPr>
                <w:rFonts w:asciiTheme="minorHAnsi" w:hAnsiTheme="minorHAnsi" w:cstheme="minorHAnsi"/>
              </w:rPr>
              <w:t>RS</w:t>
            </w:r>
          </w:p>
        </w:tc>
      </w:tr>
      <w:tr w:rsidR="009544A7" w:rsidRPr="00D30D22" w:rsidTr="00B96664">
        <w:trPr>
          <w:trHeight w:val="70"/>
          <w:jc w:val="center"/>
        </w:trPr>
        <w:tc>
          <w:tcPr>
            <w:tcW w:w="1018" w:type="dxa"/>
            <w:vAlign w:val="center"/>
          </w:tcPr>
          <w:p w:rsidR="009544A7" w:rsidRPr="00B96664" w:rsidRDefault="009544A7" w:rsidP="00B96664">
            <w:pPr>
              <w:pStyle w:val="ListParagraph"/>
              <w:numPr>
                <w:ilvl w:val="0"/>
                <w:numId w:val="25"/>
              </w:numPr>
              <w:suppressAutoHyphens w:val="0"/>
              <w:spacing w:before="40" w:after="40"/>
              <w:ind w:left="25" w:firstLine="0"/>
              <w:contextualSpacing w:val="0"/>
              <w:jc w:val="center"/>
              <w:rPr>
                <w:rFonts w:asciiTheme="minorHAnsi" w:eastAsia="Times New Roman" w:hAnsiTheme="minorHAnsi" w:cstheme="minorHAnsi"/>
                <w:lang w:val="it-IT"/>
              </w:rPr>
            </w:pPr>
          </w:p>
        </w:tc>
        <w:tc>
          <w:tcPr>
            <w:tcW w:w="1566" w:type="dxa"/>
          </w:tcPr>
          <w:p w:rsidR="009544A7" w:rsidRPr="00B96664" w:rsidRDefault="009544A7" w:rsidP="00B96664">
            <w:pPr>
              <w:spacing w:before="40" w:after="40"/>
              <w:ind w:left="49" w:firstLine="5"/>
              <w:jc w:val="center"/>
              <w:rPr>
                <w:rFonts w:asciiTheme="minorHAnsi" w:hAnsiTheme="minorHAnsi" w:cstheme="minorHAnsi"/>
              </w:rPr>
            </w:pPr>
            <w:r w:rsidRPr="00B96664">
              <w:rPr>
                <w:rFonts w:asciiTheme="minorHAnsi" w:hAnsiTheme="minorHAnsi" w:cstheme="minorHAnsi"/>
              </w:rPr>
              <w:t>Facilitator</w:t>
            </w:r>
          </w:p>
        </w:tc>
        <w:tc>
          <w:tcPr>
            <w:tcW w:w="3827" w:type="dxa"/>
            <w:vAlign w:val="center"/>
          </w:tcPr>
          <w:p w:rsidR="009544A7" w:rsidRPr="00B96664" w:rsidRDefault="009544A7" w:rsidP="00B96664">
            <w:pPr>
              <w:spacing w:before="40" w:after="40"/>
              <w:ind w:left="78"/>
              <w:rPr>
                <w:rFonts w:asciiTheme="minorHAnsi" w:hAnsiTheme="minorHAnsi" w:cstheme="minorHAnsi"/>
              </w:rPr>
            </w:pPr>
            <w:r w:rsidRPr="00B96664">
              <w:rPr>
                <w:rFonts w:asciiTheme="minorHAnsi" w:hAnsiTheme="minorHAnsi" w:cstheme="minorHAnsi"/>
              </w:rPr>
              <w:t>Janice Chapman</w:t>
            </w:r>
          </w:p>
        </w:tc>
        <w:tc>
          <w:tcPr>
            <w:tcW w:w="1333" w:type="dxa"/>
            <w:vAlign w:val="center"/>
          </w:tcPr>
          <w:p w:rsidR="009544A7" w:rsidRPr="00B96664" w:rsidRDefault="009544A7" w:rsidP="00B96664">
            <w:pPr>
              <w:spacing w:before="40" w:after="40"/>
              <w:ind w:left="121"/>
              <w:jc w:val="center"/>
              <w:rPr>
                <w:rFonts w:asciiTheme="minorHAnsi" w:hAnsiTheme="minorHAnsi" w:cstheme="minorHAnsi"/>
              </w:rPr>
            </w:pPr>
            <w:r w:rsidRPr="00B96664">
              <w:rPr>
                <w:rFonts w:asciiTheme="minorHAnsi" w:hAnsiTheme="minorHAnsi" w:cstheme="minorHAnsi"/>
              </w:rPr>
              <w:t>JEC</w:t>
            </w:r>
          </w:p>
        </w:tc>
      </w:tr>
    </w:tbl>
    <w:p w:rsidR="009544A7" w:rsidRDefault="009544A7" w:rsidP="009544A7">
      <w:pPr>
        <w:rPr>
          <w:rFonts w:cs="Arial"/>
          <w:b/>
        </w:rPr>
      </w:pPr>
    </w:p>
    <w:p w:rsidR="009544A7" w:rsidRPr="00706818" w:rsidRDefault="009544A7" w:rsidP="009544A7">
      <w:pPr>
        <w:rPr>
          <w:rFonts w:cs="Arial"/>
          <w:b/>
        </w:rPr>
      </w:pPr>
      <w:r w:rsidRPr="00ED5479">
        <w:rPr>
          <w:rFonts w:cs="Arial"/>
          <w:b/>
        </w:rPr>
        <w:t>Apologies</w:t>
      </w:r>
    </w:p>
    <w:p w:rsidR="009544A7" w:rsidRDefault="005E29C6" w:rsidP="009544A7">
      <w:pPr>
        <w:rPr>
          <w:rFonts w:cs="Arial"/>
        </w:rPr>
      </w:pPr>
      <w:r>
        <w:rPr>
          <w:rFonts w:cs="Arial"/>
        </w:rPr>
        <w:t>Ana Abidor, Brazil.</w:t>
      </w:r>
    </w:p>
    <w:p w:rsidR="009544A7" w:rsidRPr="009544A7" w:rsidRDefault="009544A7" w:rsidP="00F0247D">
      <w:pPr>
        <w:pStyle w:val="Heading1"/>
      </w:pPr>
      <w:bookmarkStart w:id="5" w:name="_Toc377395895"/>
      <w:r>
        <w:t>Agenda</w:t>
      </w:r>
      <w:bookmarkEnd w:id="5"/>
    </w:p>
    <w:p w:rsidR="009544A7" w:rsidRDefault="009544A7" w:rsidP="00B96664">
      <w:pPr>
        <w:pStyle w:val="ListParagraph"/>
        <w:numPr>
          <w:ilvl w:val="0"/>
          <w:numId w:val="26"/>
        </w:numPr>
        <w:suppressAutoHyphens w:val="0"/>
        <w:spacing w:before="0" w:after="0"/>
        <w:ind w:left="1440" w:hanging="720"/>
        <w:contextualSpacing w:val="0"/>
        <w:rPr>
          <w:rFonts w:cs="Arial"/>
        </w:rPr>
      </w:pPr>
      <w:r w:rsidRPr="00D30D22">
        <w:rPr>
          <w:rFonts w:cs="Arial"/>
        </w:rPr>
        <w:t>NMPG updates</w:t>
      </w:r>
    </w:p>
    <w:p w:rsidR="00712617" w:rsidRDefault="00712617" w:rsidP="00B96664">
      <w:pPr>
        <w:pStyle w:val="ListParagraph"/>
        <w:numPr>
          <w:ilvl w:val="0"/>
          <w:numId w:val="26"/>
        </w:numPr>
        <w:suppressAutoHyphens w:val="0"/>
        <w:spacing w:before="0" w:after="0"/>
        <w:ind w:left="1440" w:hanging="720"/>
        <w:contextualSpacing w:val="0"/>
        <w:rPr>
          <w:rFonts w:cs="Arial"/>
        </w:rPr>
      </w:pPr>
      <w:r>
        <w:rPr>
          <w:rFonts w:cs="Arial"/>
        </w:rPr>
        <w:t>Orders</w:t>
      </w:r>
    </w:p>
    <w:p w:rsidR="00712617" w:rsidRDefault="00712617" w:rsidP="00B96664">
      <w:pPr>
        <w:pStyle w:val="ListParagraph"/>
        <w:numPr>
          <w:ilvl w:val="0"/>
          <w:numId w:val="26"/>
        </w:numPr>
        <w:suppressAutoHyphens w:val="0"/>
        <w:spacing w:before="0" w:after="0"/>
        <w:ind w:left="1440" w:hanging="720"/>
        <w:contextualSpacing w:val="0"/>
        <w:rPr>
          <w:rFonts w:cs="Arial"/>
        </w:rPr>
      </w:pPr>
      <w:r>
        <w:rPr>
          <w:rFonts w:cs="Arial"/>
        </w:rPr>
        <w:t>Corporate Actions</w:t>
      </w:r>
    </w:p>
    <w:p w:rsidR="00712617" w:rsidRDefault="00712617" w:rsidP="00B96664">
      <w:pPr>
        <w:pStyle w:val="ListParagraph"/>
        <w:numPr>
          <w:ilvl w:val="0"/>
          <w:numId w:val="26"/>
        </w:numPr>
        <w:suppressAutoHyphens w:val="0"/>
        <w:spacing w:before="0" w:after="0"/>
        <w:ind w:left="1440" w:hanging="720"/>
        <w:contextualSpacing w:val="0"/>
        <w:rPr>
          <w:rFonts w:cs="Arial"/>
        </w:rPr>
      </w:pPr>
      <w:r>
        <w:rPr>
          <w:rFonts w:cs="Arial"/>
        </w:rPr>
        <w:t>Price Report</w:t>
      </w:r>
    </w:p>
    <w:p w:rsidR="00712617" w:rsidRDefault="00712617" w:rsidP="00B96664">
      <w:pPr>
        <w:pStyle w:val="ListParagraph"/>
        <w:numPr>
          <w:ilvl w:val="0"/>
          <w:numId w:val="26"/>
        </w:numPr>
        <w:suppressAutoHyphens w:val="0"/>
        <w:spacing w:before="0" w:after="0"/>
        <w:ind w:left="1440" w:hanging="720"/>
        <w:contextualSpacing w:val="0"/>
        <w:rPr>
          <w:rFonts w:cs="Arial"/>
        </w:rPr>
      </w:pPr>
      <w:r>
        <w:rPr>
          <w:rFonts w:cs="Arial"/>
        </w:rPr>
        <w:t xml:space="preserve">Business </w:t>
      </w:r>
      <w:r w:rsidR="007002FE">
        <w:rPr>
          <w:rFonts w:cs="Arial"/>
        </w:rPr>
        <w:t>Justification</w:t>
      </w:r>
      <w:r>
        <w:rPr>
          <w:rFonts w:cs="Arial"/>
        </w:rPr>
        <w:t xml:space="preserve"> ‘Transparency of Holdings’</w:t>
      </w:r>
    </w:p>
    <w:p w:rsidR="005E29C6" w:rsidRDefault="005E29C6" w:rsidP="00B96664">
      <w:pPr>
        <w:pStyle w:val="ListParagraph"/>
        <w:numPr>
          <w:ilvl w:val="0"/>
          <w:numId w:val="26"/>
        </w:numPr>
        <w:suppressAutoHyphens w:val="0"/>
        <w:spacing w:before="0" w:after="0"/>
        <w:ind w:left="1440" w:hanging="720"/>
        <w:contextualSpacing w:val="0"/>
        <w:rPr>
          <w:rFonts w:cs="Arial"/>
        </w:rPr>
      </w:pPr>
      <w:r>
        <w:rPr>
          <w:rFonts w:cs="Arial"/>
        </w:rPr>
        <w:t>MyStandards</w:t>
      </w:r>
      <w:r w:rsidR="00712617">
        <w:rPr>
          <w:rFonts w:cs="Arial"/>
        </w:rPr>
        <w:t xml:space="preserve"> update</w:t>
      </w:r>
    </w:p>
    <w:p w:rsidR="009544A7" w:rsidRPr="00F0247D" w:rsidRDefault="00712617" w:rsidP="00F0247D">
      <w:pPr>
        <w:pStyle w:val="ListParagraph"/>
        <w:numPr>
          <w:ilvl w:val="0"/>
          <w:numId w:val="26"/>
        </w:numPr>
        <w:suppressAutoHyphens w:val="0"/>
        <w:spacing w:before="0" w:after="0"/>
        <w:ind w:left="1440" w:hanging="720"/>
        <w:contextualSpacing w:val="0"/>
        <w:rPr>
          <w:rFonts w:cs="Arial"/>
        </w:rPr>
      </w:pPr>
      <w:r>
        <w:rPr>
          <w:rFonts w:cs="Arial"/>
        </w:rPr>
        <w:t>Dashboard</w:t>
      </w:r>
    </w:p>
    <w:p w:rsidR="009544A7" w:rsidRDefault="009544A7" w:rsidP="009544A7">
      <w:pPr>
        <w:pStyle w:val="Heading1"/>
      </w:pPr>
      <w:bookmarkStart w:id="6" w:name="_Toc377395896"/>
      <w:r>
        <w:t>SMPG investment Funds Organisation</w:t>
      </w:r>
      <w:bookmarkEnd w:id="6"/>
    </w:p>
    <w:p w:rsidR="009544A7" w:rsidRPr="00D30D22" w:rsidRDefault="009544A7" w:rsidP="00BF7801">
      <w:pPr>
        <w:numPr>
          <w:ilvl w:val="4"/>
          <w:numId w:val="27"/>
        </w:numPr>
        <w:suppressAutoHyphens w:val="0"/>
        <w:spacing w:before="140" w:after="0"/>
        <w:rPr>
          <w:rFonts w:cs="Arial"/>
          <w:b/>
          <w:sz w:val="23"/>
          <w:szCs w:val="23"/>
        </w:rPr>
      </w:pPr>
      <w:r w:rsidRPr="00D30D22">
        <w:rPr>
          <w:rFonts w:cs="Arial"/>
          <w:b/>
          <w:sz w:val="23"/>
          <w:szCs w:val="23"/>
        </w:rPr>
        <w:t>Co-Chairs</w:t>
      </w:r>
    </w:p>
    <w:p w:rsidR="009544A7" w:rsidRPr="00D30D22" w:rsidRDefault="009544A7" w:rsidP="00BF7801">
      <w:pPr>
        <w:numPr>
          <w:ilvl w:val="5"/>
          <w:numId w:val="28"/>
        </w:numPr>
        <w:suppressAutoHyphens w:val="0"/>
        <w:spacing w:before="140" w:after="0"/>
        <w:rPr>
          <w:rFonts w:cs="Arial"/>
          <w:szCs w:val="19"/>
        </w:rPr>
      </w:pPr>
      <w:r w:rsidRPr="00D30D22">
        <w:rPr>
          <w:rFonts w:cs="Arial"/>
          <w:szCs w:val="19"/>
        </w:rPr>
        <w:t>David Broadway / Investment Management Association (GB)</w:t>
      </w:r>
    </w:p>
    <w:p w:rsidR="009544A7" w:rsidRPr="00D30D22" w:rsidRDefault="009544A7" w:rsidP="00BF7801">
      <w:pPr>
        <w:numPr>
          <w:ilvl w:val="5"/>
          <w:numId w:val="28"/>
        </w:numPr>
        <w:suppressAutoHyphens w:val="0"/>
        <w:spacing w:before="140" w:after="0"/>
        <w:rPr>
          <w:rFonts w:cs="Arial"/>
          <w:szCs w:val="19"/>
        </w:rPr>
      </w:pPr>
      <w:r w:rsidRPr="00D30D22">
        <w:rPr>
          <w:rFonts w:cs="Arial"/>
          <w:szCs w:val="19"/>
        </w:rPr>
        <w:t>Nadine Muhigiri / Euroclear (XS)</w:t>
      </w:r>
    </w:p>
    <w:p w:rsidR="009544A7" w:rsidRPr="00D30D22" w:rsidRDefault="009544A7" w:rsidP="00BF7801">
      <w:pPr>
        <w:numPr>
          <w:ilvl w:val="4"/>
          <w:numId w:val="28"/>
        </w:numPr>
        <w:suppressAutoHyphens w:val="0"/>
        <w:spacing w:before="140" w:after="0"/>
        <w:rPr>
          <w:rFonts w:cs="Arial"/>
          <w:b/>
          <w:sz w:val="23"/>
          <w:szCs w:val="23"/>
        </w:rPr>
      </w:pPr>
      <w:r w:rsidRPr="00D30D22">
        <w:rPr>
          <w:rFonts w:cs="Arial"/>
          <w:b/>
          <w:sz w:val="23"/>
          <w:szCs w:val="23"/>
        </w:rPr>
        <w:t>Facilitator</w:t>
      </w:r>
    </w:p>
    <w:p w:rsidR="009544A7" w:rsidRPr="00D30D22" w:rsidRDefault="009544A7" w:rsidP="00BF7801">
      <w:pPr>
        <w:numPr>
          <w:ilvl w:val="5"/>
          <w:numId w:val="28"/>
        </w:numPr>
        <w:suppressAutoHyphens w:val="0"/>
        <w:spacing w:before="140" w:after="0"/>
        <w:rPr>
          <w:rFonts w:cs="Arial"/>
          <w:szCs w:val="19"/>
        </w:rPr>
      </w:pPr>
      <w:r w:rsidRPr="00D30D22">
        <w:rPr>
          <w:rFonts w:cs="Arial"/>
          <w:szCs w:val="19"/>
        </w:rPr>
        <w:t>Janice E. Chapman / S.W.I.F.T. Scrl</w:t>
      </w:r>
    </w:p>
    <w:p w:rsidR="009544A7" w:rsidRPr="00D30D22" w:rsidRDefault="009544A7" w:rsidP="00BF7801">
      <w:pPr>
        <w:numPr>
          <w:ilvl w:val="4"/>
          <w:numId w:val="28"/>
        </w:numPr>
        <w:suppressAutoHyphens w:val="0"/>
        <w:spacing w:before="140" w:after="0"/>
        <w:rPr>
          <w:rFonts w:cs="Arial"/>
          <w:b/>
          <w:sz w:val="23"/>
          <w:szCs w:val="23"/>
        </w:rPr>
      </w:pPr>
      <w:r w:rsidRPr="00D30D22">
        <w:rPr>
          <w:rFonts w:cs="Arial"/>
          <w:b/>
          <w:sz w:val="23"/>
          <w:szCs w:val="23"/>
        </w:rPr>
        <w:t>Steering Committee Sponsor</w:t>
      </w:r>
    </w:p>
    <w:p w:rsidR="009544A7" w:rsidRPr="00D30D22" w:rsidRDefault="009544A7" w:rsidP="00BF7801">
      <w:pPr>
        <w:numPr>
          <w:ilvl w:val="5"/>
          <w:numId w:val="28"/>
        </w:numPr>
        <w:suppressAutoHyphens w:val="0"/>
        <w:spacing w:before="140" w:after="0"/>
        <w:rPr>
          <w:rFonts w:cs="Arial"/>
          <w:szCs w:val="19"/>
          <w:lang w:val="de-DE"/>
        </w:rPr>
      </w:pPr>
      <w:r w:rsidRPr="00D30D22">
        <w:rPr>
          <w:rFonts w:cs="Arial"/>
          <w:szCs w:val="19"/>
          <w:lang w:val="de-DE"/>
        </w:rPr>
        <w:t>Rudolf Siebel / Bundesverband Investment und Asset Management e.V. (DE)</w:t>
      </w:r>
    </w:p>
    <w:p w:rsidR="009544A7" w:rsidRDefault="009544A7">
      <w:pPr>
        <w:rPr>
          <w:snapToGrid w:val="0"/>
          <w:lang w:val="de-DE"/>
        </w:rPr>
      </w:pPr>
    </w:p>
    <w:p w:rsidR="009544A7" w:rsidRDefault="009544A7" w:rsidP="009544A7">
      <w:pPr>
        <w:pStyle w:val="Heading1"/>
      </w:pPr>
      <w:bookmarkStart w:id="7" w:name="_Toc377395897"/>
      <w:r>
        <w:lastRenderedPageBreak/>
        <w:t>NMPG Country Updates</w:t>
      </w:r>
      <w:bookmarkEnd w:id="7"/>
    </w:p>
    <w:p w:rsidR="009544A7" w:rsidRPr="00A67FDB" w:rsidRDefault="009544A7" w:rsidP="00712617">
      <w:pPr>
        <w:pStyle w:val="Heading2"/>
      </w:pPr>
      <w:bookmarkStart w:id="8" w:name="_Toc377395898"/>
      <w:r w:rsidRPr="00712617">
        <w:t>Clearstream</w:t>
      </w:r>
      <w:bookmarkEnd w:id="8"/>
    </w:p>
    <w:p w:rsidR="005E29C6" w:rsidRDefault="00784D42" w:rsidP="00784D42">
      <w:pPr>
        <w:ind w:left="720"/>
        <w:rPr>
          <w:rFonts w:cstheme="minorHAnsi"/>
        </w:rPr>
      </w:pPr>
      <w:r>
        <w:rPr>
          <w:rFonts w:cstheme="minorHAnsi"/>
        </w:rPr>
        <w:t xml:space="preserve">Have </w:t>
      </w:r>
      <w:r w:rsidR="007002FE">
        <w:rPr>
          <w:rFonts w:cstheme="minorHAnsi"/>
        </w:rPr>
        <w:t>worked</w:t>
      </w:r>
      <w:r>
        <w:rPr>
          <w:rFonts w:cstheme="minorHAnsi"/>
        </w:rPr>
        <w:t xml:space="preserve"> on the BJ, 1</w:t>
      </w:r>
      <w:r w:rsidRPr="00784D42">
        <w:rPr>
          <w:rFonts w:cstheme="minorHAnsi"/>
          <w:vertAlign w:val="superscript"/>
        </w:rPr>
        <w:t>st</w:t>
      </w:r>
      <w:r>
        <w:rPr>
          <w:rFonts w:cstheme="minorHAnsi"/>
        </w:rPr>
        <w:t xml:space="preserve"> time </w:t>
      </w:r>
      <w:r w:rsidR="007002FE">
        <w:rPr>
          <w:rFonts w:cstheme="minorHAnsi"/>
        </w:rPr>
        <w:t>sponsoring</w:t>
      </w:r>
      <w:r>
        <w:rPr>
          <w:rFonts w:cstheme="minorHAnsi"/>
        </w:rPr>
        <w:t xml:space="preserve"> a message. </w:t>
      </w:r>
    </w:p>
    <w:p w:rsidR="00784D42" w:rsidRDefault="00784D42" w:rsidP="00784D42">
      <w:pPr>
        <w:ind w:left="720"/>
        <w:rPr>
          <w:rFonts w:cstheme="minorHAnsi"/>
        </w:rPr>
      </w:pPr>
      <w:r>
        <w:rPr>
          <w:rFonts w:cstheme="minorHAnsi"/>
        </w:rPr>
        <w:t>Preparing support for cash due date for pre-paid funds, trying to convince TAs this need to be provided in setr.016 ‘expected cash settlement date’. (</w:t>
      </w:r>
      <w:r w:rsidR="004937A1">
        <w:rPr>
          <w:rFonts w:cstheme="minorHAnsi"/>
        </w:rPr>
        <w:t xml:space="preserve">a change request needs </w:t>
      </w:r>
      <w:r>
        <w:rPr>
          <w:rFonts w:cstheme="minorHAnsi"/>
        </w:rPr>
        <w:t xml:space="preserve">to </w:t>
      </w:r>
      <w:r w:rsidR="004937A1">
        <w:rPr>
          <w:rFonts w:cstheme="minorHAnsi"/>
        </w:rPr>
        <w:t xml:space="preserve">be raised to </w:t>
      </w:r>
      <w:r>
        <w:rPr>
          <w:rFonts w:cstheme="minorHAnsi"/>
        </w:rPr>
        <w:t xml:space="preserve">correct </w:t>
      </w:r>
      <w:r w:rsidR="004937A1">
        <w:rPr>
          <w:rFonts w:cstheme="minorHAnsi"/>
        </w:rPr>
        <w:t xml:space="preserve">the </w:t>
      </w:r>
      <w:r>
        <w:rPr>
          <w:rFonts w:cstheme="minorHAnsi"/>
        </w:rPr>
        <w:t xml:space="preserve">definition of the element, we have correct definition for MP document on </w:t>
      </w:r>
      <w:r w:rsidR="007002FE">
        <w:rPr>
          <w:rFonts w:cstheme="minorHAnsi"/>
        </w:rPr>
        <w:t>MyStandards</w:t>
      </w:r>
      <w:r>
        <w:rPr>
          <w:rFonts w:cstheme="minorHAnsi"/>
        </w:rPr>
        <w:t>).</w:t>
      </w:r>
    </w:p>
    <w:p w:rsidR="00784D42" w:rsidRDefault="00784D42" w:rsidP="00784D42">
      <w:pPr>
        <w:ind w:left="720"/>
        <w:rPr>
          <w:rFonts w:cstheme="minorHAnsi"/>
        </w:rPr>
      </w:pPr>
      <w:r>
        <w:rPr>
          <w:rFonts w:cstheme="minorHAnsi"/>
        </w:rPr>
        <w:t xml:space="preserve">‘One-off deals’ – have a special one-off reference, and a lower initial fee. Big demand to support this kind of thing. </w:t>
      </w:r>
      <w:r w:rsidR="00475D1D">
        <w:rPr>
          <w:rFonts w:cstheme="minorHAnsi"/>
        </w:rPr>
        <w:t xml:space="preserve">But </w:t>
      </w:r>
      <w:r w:rsidR="007002FE">
        <w:rPr>
          <w:rFonts w:cstheme="minorHAnsi"/>
        </w:rPr>
        <w:t>breaks</w:t>
      </w:r>
      <w:r w:rsidR="00475D1D">
        <w:rPr>
          <w:rFonts w:cstheme="minorHAnsi"/>
        </w:rPr>
        <w:t xml:space="preserve"> STP at the TA. </w:t>
      </w:r>
      <w:r>
        <w:rPr>
          <w:rFonts w:cstheme="minorHAnsi"/>
        </w:rPr>
        <w:t>Needs a MP for this. In 15022 using narrative.</w:t>
      </w:r>
    </w:p>
    <w:p w:rsidR="009544A7" w:rsidRDefault="009544A7" w:rsidP="00712617">
      <w:pPr>
        <w:pStyle w:val="Heading2"/>
      </w:pPr>
      <w:bookmarkStart w:id="9" w:name="_Toc377395899"/>
      <w:r w:rsidRPr="00712617">
        <w:t>Denmark</w:t>
      </w:r>
      <w:bookmarkEnd w:id="9"/>
    </w:p>
    <w:p w:rsidR="00D37953" w:rsidRDefault="00353850" w:rsidP="00F44567">
      <w:pPr>
        <w:ind w:left="720"/>
      </w:pPr>
      <w:r>
        <w:t>VP (funds + swift) since platform launched, everything in 20022 except payment</w:t>
      </w:r>
      <w:r w:rsidR="003330E1">
        <w:t>s</w:t>
      </w:r>
      <w:r>
        <w:t xml:space="preserve">. Adding CA to </w:t>
      </w:r>
      <w:r w:rsidR="003330E1">
        <w:t xml:space="preserve">their </w:t>
      </w:r>
      <w:r>
        <w:t>funds hubs. Have asked SWIFT for a CUG for this for issuance, S &amp; R and CA MXs. November 19 is the date given by SWIFT.</w:t>
      </w:r>
      <w:r w:rsidR="00757122">
        <w:t xml:space="preserve"> Henrik in process of updating MP for MyStandards.</w:t>
      </w:r>
    </w:p>
    <w:p w:rsidR="007766C6" w:rsidRDefault="007766C6" w:rsidP="00F44567">
      <w:pPr>
        <w:ind w:left="720"/>
      </w:pPr>
      <w:r>
        <w:t>Monitoring when ECB will propose funds that are to be settled in T2S.</w:t>
      </w:r>
    </w:p>
    <w:p w:rsidR="00B20C12" w:rsidRDefault="00766BFA" w:rsidP="00202204">
      <w:pPr>
        <w:pStyle w:val="Heading2"/>
      </w:pPr>
      <w:bookmarkStart w:id="10" w:name="_Toc377395900"/>
      <w:r>
        <w:t>German</w:t>
      </w:r>
      <w:r w:rsidR="00235F45">
        <w:t>y</w:t>
      </w:r>
      <w:bookmarkEnd w:id="10"/>
    </w:p>
    <w:p w:rsidR="00472E54" w:rsidRDefault="00472E54" w:rsidP="004937A1">
      <w:pPr>
        <w:ind w:left="720"/>
      </w:pPr>
      <w:r>
        <w:t>Monitoring T2S. MP orders dated 2005 – to be updated – then reference data, CA. How characteristic of orders are be changed Looking for an agreement in DE on when move to ISO 20022. Many MPs in DE - no willingness to harmonise MP!</w:t>
      </w:r>
    </w:p>
    <w:p w:rsidR="00472E54" w:rsidRDefault="00472E54" w:rsidP="004937A1">
      <w:pPr>
        <w:ind w:left="720"/>
      </w:pPr>
      <w:r>
        <w:t>Creating marketing brochures about benefits MP and ISO 20022. Trying to get more involvement in MP.</w:t>
      </w:r>
    </w:p>
    <w:p w:rsidR="009544A7" w:rsidRDefault="009544A7" w:rsidP="00712617">
      <w:pPr>
        <w:pStyle w:val="Heading2"/>
      </w:pPr>
      <w:bookmarkStart w:id="11" w:name="_Toc377395901"/>
      <w:r w:rsidRPr="00712617">
        <w:t>Euroclear</w:t>
      </w:r>
      <w:bookmarkEnd w:id="11"/>
    </w:p>
    <w:p w:rsidR="00FA2B3C" w:rsidRDefault="00FA2B3C" w:rsidP="004937A1">
      <w:pPr>
        <w:ind w:left="720"/>
      </w:pPr>
      <w:r>
        <w:t xml:space="preserve">Started to use </w:t>
      </w:r>
      <w:r w:rsidR="007002FE">
        <w:t>MyStandards</w:t>
      </w:r>
      <w:r>
        <w:t xml:space="preserve"> for documentation publication – should </w:t>
      </w:r>
      <w:r w:rsidR="00D6612D">
        <w:t>have ISO 2022 MXs in MySta</w:t>
      </w:r>
      <w:r>
        <w:t>n</w:t>
      </w:r>
      <w:r w:rsidR="00D6612D">
        <w:t>d</w:t>
      </w:r>
      <w:r>
        <w:t>ards</w:t>
      </w:r>
    </w:p>
    <w:p w:rsidR="00FA2B3C" w:rsidRPr="00FA2B3C" w:rsidRDefault="00FA2B3C" w:rsidP="004937A1">
      <w:pPr>
        <w:ind w:left="720"/>
      </w:pPr>
      <w:r>
        <w:t xml:space="preserve">Fatca. No impact related for T2S. Impact </w:t>
      </w:r>
      <w:r w:rsidR="00D6612D">
        <w:t xml:space="preserve">on </w:t>
      </w:r>
      <w:r>
        <w:t>account open</w:t>
      </w:r>
      <w:r w:rsidR="00D6612D">
        <w:t>ing.</w:t>
      </w:r>
    </w:p>
    <w:p w:rsidR="009544A7" w:rsidRDefault="009544A7" w:rsidP="00712617">
      <w:pPr>
        <w:pStyle w:val="Heading2"/>
      </w:pPr>
      <w:bookmarkStart w:id="12" w:name="_Toc377395902"/>
      <w:r w:rsidRPr="00712617">
        <w:t>Italy</w:t>
      </w:r>
      <w:bookmarkEnd w:id="12"/>
    </w:p>
    <w:p w:rsidR="00475D1D" w:rsidRDefault="00475D1D" w:rsidP="00475D1D">
      <w:pPr>
        <w:ind w:left="720"/>
      </w:pPr>
      <w:r>
        <w:t xml:space="preserve">Project </w:t>
      </w:r>
      <w:r w:rsidR="007002FE">
        <w:t>on-going</w:t>
      </w:r>
      <w:r>
        <w:t xml:space="preserve"> (see minutes </w:t>
      </w:r>
      <w:r w:rsidR="008A2ACA">
        <w:t xml:space="preserve">of </w:t>
      </w:r>
      <w:r>
        <w:t xml:space="preserve">previous </w:t>
      </w:r>
      <w:r w:rsidR="008A2ACA">
        <w:t xml:space="preserve">global </w:t>
      </w:r>
      <w:r>
        <w:t xml:space="preserve">meetings). </w:t>
      </w:r>
      <w:r w:rsidR="008A2ACA">
        <w:t>Coming to the e</w:t>
      </w:r>
      <w:r>
        <w:t xml:space="preserve">nd of </w:t>
      </w:r>
      <w:r w:rsidR="008A2ACA">
        <w:t xml:space="preserve">the </w:t>
      </w:r>
      <w:r>
        <w:t xml:space="preserve">pilot phase (20 </w:t>
      </w:r>
      <w:r w:rsidR="008A2ACA">
        <w:t xml:space="preserve">institutions are </w:t>
      </w:r>
      <w:r>
        <w:t xml:space="preserve">involved) </w:t>
      </w:r>
      <w:r w:rsidR="008A2ACA">
        <w:t xml:space="preserve">and </w:t>
      </w:r>
      <w:r>
        <w:t xml:space="preserve">8 </w:t>
      </w:r>
      <w:r w:rsidR="001114C4">
        <w:t xml:space="preserve">are now live, the rest will follow at the end of the year. </w:t>
      </w:r>
      <w:r>
        <w:t>This is end of phase 1</w:t>
      </w:r>
      <w:r w:rsidR="001114C4">
        <w:t>, which covers</w:t>
      </w:r>
      <w:r>
        <w:t xml:space="preserve"> orders, account </w:t>
      </w:r>
      <w:r w:rsidR="001114C4">
        <w:t xml:space="preserve">opening </w:t>
      </w:r>
      <w:r w:rsidR="008A2ACA">
        <w:t xml:space="preserve">+ statement of </w:t>
      </w:r>
      <w:r w:rsidR="007002FE">
        <w:t>holdings</w:t>
      </w:r>
    </w:p>
    <w:p w:rsidR="00475D1D" w:rsidRDefault="001114C4" w:rsidP="00475D1D">
      <w:pPr>
        <w:ind w:left="720"/>
      </w:pPr>
      <w:r>
        <w:t xml:space="preserve">Phase 2 </w:t>
      </w:r>
      <w:r w:rsidR="00475D1D">
        <w:t xml:space="preserve">Q1 </w:t>
      </w:r>
      <w:r>
        <w:t>2014</w:t>
      </w:r>
      <w:r w:rsidR="008A2ACA">
        <w:t xml:space="preserve"> – transfers.</w:t>
      </w:r>
    </w:p>
    <w:p w:rsidR="00475D1D" w:rsidRPr="00475D1D" w:rsidRDefault="00475D1D" w:rsidP="00475D1D">
      <w:pPr>
        <w:ind w:left="720"/>
      </w:pPr>
      <w:r>
        <w:t>Phase 1 MP now on MyStandards</w:t>
      </w:r>
      <w:r w:rsidR="001114C4">
        <w:t>.</w:t>
      </w:r>
    </w:p>
    <w:p w:rsidR="009544A7" w:rsidRDefault="009544A7" w:rsidP="00712617">
      <w:pPr>
        <w:pStyle w:val="Heading2"/>
      </w:pPr>
      <w:bookmarkStart w:id="13" w:name="_Toc377395903"/>
      <w:r w:rsidRPr="00712617">
        <w:t>Luxembourg</w:t>
      </w:r>
      <w:bookmarkEnd w:id="13"/>
    </w:p>
    <w:p w:rsidR="000F7583" w:rsidRDefault="00FA2B3C" w:rsidP="00235F45">
      <w:pPr>
        <w:ind w:left="720"/>
      </w:pPr>
      <w:r>
        <w:t>Main focus Review of MP on order flows, almost ready to publish in Mystandards as a draft. Switch and cancellation to follow.</w:t>
      </w:r>
    </w:p>
    <w:p w:rsidR="00FA2B3C" w:rsidRDefault="00FA2B3C" w:rsidP="00235F45">
      <w:pPr>
        <w:ind w:left="720"/>
      </w:pPr>
      <w:r>
        <w:t>Discussions on FATCA – getting input. US – LU agreement – has been signed. This will imply some changes in the way some things are reported in LU. EU Savings direction enforced in LU in 2015. The MX has elements to support this. Needs to see if this will work in FATCA context.</w:t>
      </w:r>
      <w:r w:rsidR="00B84A23">
        <w:t xml:space="preserve"> FATCA really about US citizen. </w:t>
      </w:r>
      <w:r w:rsidR="007002FE">
        <w:t>Impact</w:t>
      </w:r>
      <w:r w:rsidR="00B84A23">
        <w:t xml:space="preserve"> of account management for the </w:t>
      </w:r>
      <w:r w:rsidR="007002FE">
        <w:t>static</w:t>
      </w:r>
      <w:r w:rsidR="00B84A23">
        <w:t xml:space="preserve"> date.</w:t>
      </w:r>
    </w:p>
    <w:p w:rsidR="00B84A23" w:rsidRDefault="00B84A23" w:rsidP="00235F45">
      <w:pPr>
        <w:ind w:left="720"/>
      </w:pPr>
      <w:r>
        <w:t xml:space="preserve">T2S – monitoring what it will mean for funds in general. But on hold. Waiting for ECB </w:t>
      </w:r>
      <w:r w:rsidR="007002FE">
        <w:t>strategy</w:t>
      </w:r>
      <w:r>
        <w:t>.</w:t>
      </w:r>
    </w:p>
    <w:p w:rsidR="00807BE8" w:rsidRDefault="00807BE8" w:rsidP="00235F45">
      <w:pPr>
        <w:ind w:left="720"/>
      </w:pPr>
      <w:r>
        <w:t>CA – sent updated document in preparation for the meeting.</w:t>
      </w:r>
    </w:p>
    <w:p w:rsidR="009544A7" w:rsidRDefault="009544A7" w:rsidP="00712617">
      <w:pPr>
        <w:pStyle w:val="Heading2"/>
      </w:pPr>
      <w:bookmarkStart w:id="14" w:name="_Toc377395904"/>
      <w:r w:rsidRPr="00712617">
        <w:lastRenderedPageBreak/>
        <w:t>Norway</w:t>
      </w:r>
      <w:bookmarkEnd w:id="14"/>
    </w:p>
    <w:p w:rsidR="00F44567" w:rsidRDefault="00757122" w:rsidP="004937A1">
      <w:pPr>
        <w:ind w:left="720"/>
      </w:pPr>
      <w:r>
        <w:t xml:space="preserve">Transforming old </w:t>
      </w:r>
      <w:r w:rsidR="007002FE">
        <w:t>proprietary</w:t>
      </w:r>
      <w:r>
        <w:t xml:space="preserve"> to 20022 continue, migration </w:t>
      </w:r>
      <w:r w:rsidR="007002FE">
        <w:t>delayed</w:t>
      </w:r>
      <w:r>
        <w:t xml:space="preserve"> a little. Aiming for end of this year but may have to postpone. VPS – looking at transfer out. May have new requirements for SR 2015. </w:t>
      </w:r>
      <w:r w:rsidR="007002FE">
        <w:t>Still</w:t>
      </w:r>
      <w:r>
        <w:t xml:space="preserve"> need to </w:t>
      </w:r>
      <w:r w:rsidR="007002FE">
        <w:t>publish</w:t>
      </w:r>
      <w:r>
        <w:t xml:space="preserve"> on MyStandards.</w:t>
      </w:r>
    </w:p>
    <w:p w:rsidR="009544A7" w:rsidRDefault="009544A7" w:rsidP="00712617">
      <w:pPr>
        <w:pStyle w:val="Heading2"/>
      </w:pPr>
      <w:bookmarkStart w:id="15" w:name="_Toc377395905"/>
      <w:r w:rsidRPr="00712617">
        <w:t>Sweden</w:t>
      </w:r>
      <w:bookmarkEnd w:id="15"/>
    </w:p>
    <w:p w:rsidR="00D61A12" w:rsidRPr="00D61A12" w:rsidRDefault="00757122" w:rsidP="00026E88">
      <w:pPr>
        <w:ind w:left="720"/>
      </w:pPr>
      <w:r>
        <w:t xml:space="preserve">Working lot on orders, </w:t>
      </w:r>
      <w:r w:rsidR="007002FE">
        <w:t>released</w:t>
      </w:r>
      <w:r>
        <w:t xml:space="preserve"> SE MP officially in Sept on MyStandards. Nordea has implemented. Others are following. Next working on statements and transfers.</w:t>
      </w:r>
    </w:p>
    <w:p w:rsidR="00B26B6C" w:rsidRPr="009822C9" w:rsidRDefault="009544A7" w:rsidP="00712617">
      <w:pPr>
        <w:pStyle w:val="Heading2"/>
      </w:pPr>
      <w:bookmarkStart w:id="16" w:name="_Toc377395906"/>
      <w:r w:rsidRPr="00A67FDB">
        <w:t xml:space="preserve">United </w:t>
      </w:r>
      <w:r w:rsidRPr="00712617">
        <w:t>Kingdom</w:t>
      </w:r>
      <w:bookmarkEnd w:id="16"/>
    </w:p>
    <w:p w:rsidR="00546D8D" w:rsidRPr="004937A1" w:rsidRDefault="00546D8D" w:rsidP="00546D8D">
      <w:pPr>
        <w:ind w:left="720"/>
        <w:rPr>
          <w:iCs/>
        </w:rPr>
      </w:pPr>
      <w:r w:rsidRPr="004937A1">
        <w:rPr>
          <w:iCs/>
        </w:rPr>
        <w:t>DB reported that all work in the UK since Frankfurt has been focused on the transfers market practice and preparation for SR2013 using MyStandards.  He noted that the key driver behind the work on transfers was the need to allow investors to transfer assets between fund platforms, hence it covered the end-to-end process:</w:t>
      </w:r>
    </w:p>
    <w:p w:rsidR="00546D8D" w:rsidRPr="004937A1" w:rsidRDefault="00546D8D" w:rsidP="00546D8D">
      <w:pPr>
        <w:pStyle w:val="ListParagraph"/>
        <w:numPr>
          <w:ilvl w:val="0"/>
          <w:numId w:val="31"/>
        </w:numPr>
        <w:suppressAutoHyphens w:val="0"/>
        <w:spacing w:before="0" w:after="0"/>
        <w:ind w:left="1080"/>
        <w:contextualSpacing w:val="0"/>
        <w:rPr>
          <w:iCs/>
        </w:rPr>
      </w:pPr>
      <w:r w:rsidRPr="004937A1">
        <w:rPr>
          <w:iCs/>
        </w:rPr>
        <w:t>discovery (acquiring platform requesting information from the ceding platform about the client's portfolio</w:t>
      </w:r>
    </w:p>
    <w:p w:rsidR="00546D8D" w:rsidRPr="004937A1" w:rsidRDefault="00546D8D" w:rsidP="00546D8D">
      <w:pPr>
        <w:pStyle w:val="ListParagraph"/>
        <w:numPr>
          <w:ilvl w:val="0"/>
          <w:numId w:val="31"/>
        </w:numPr>
        <w:suppressAutoHyphens w:val="0"/>
        <w:spacing w:before="0" w:after="0"/>
        <w:ind w:left="1080"/>
        <w:contextualSpacing w:val="0"/>
        <w:rPr>
          <w:iCs/>
        </w:rPr>
      </w:pPr>
      <w:r w:rsidRPr="004937A1">
        <w:rPr>
          <w:iCs/>
        </w:rPr>
        <w:t>portfolio transfer (acquiring platform requesting the ceding platform to transfer or sell the client's assets, as necessary)</w:t>
      </w:r>
    </w:p>
    <w:p w:rsidR="00546D8D" w:rsidRPr="004937A1" w:rsidRDefault="00546D8D" w:rsidP="00546D8D">
      <w:pPr>
        <w:pStyle w:val="ListParagraph"/>
        <w:numPr>
          <w:ilvl w:val="0"/>
          <w:numId w:val="31"/>
        </w:numPr>
        <w:suppressAutoHyphens w:val="0"/>
        <w:spacing w:before="0" w:after="0"/>
        <w:ind w:left="1080"/>
        <w:contextualSpacing w:val="0"/>
        <w:rPr>
          <w:iCs/>
        </w:rPr>
      </w:pPr>
      <w:r w:rsidRPr="004937A1">
        <w:rPr>
          <w:iCs/>
        </w:rPr>
        <w:t>asset transfer (single-leg transfer instruction from the ceding party to the TA; transfer out/in confirmations to the ceding/acquiring platforms)</w:t>
      </w:r>
    </w:p>
    <w:p w:rsidR="00546D8D" w:rsidRPr="004937A1" w:rsidRDefault="00546D8D" w:rsidP="00546D8D">
      <w:pPr>
        <w:pStyle w:val="ListParagraph"/>
        <w:numPr>
          <w:ilvl w:val="0"/>
          <w:numId w:val="31"/>
        </w:numPr>
        <w:suppressAutoHyphens w:val="0"/>
        <w:spacing w:before="0" w:after="0"/>
        <w:ind w:left="1080"/>
        <w:contextualSpacing w:val="0"/>
        <w:rPr>
          <w:iCs/>
        </w:rPr>
      </w:pPr>
      <w:r w:rsidRPr="004937A1">
        <w:rPr>
          <w:iCs/>
        </w:rPr>
        <w:t>cash movement (use of the status message by ceding party to advise acquiring party of portfolio cash/redemption proceeds being transferred)</w:t>
      </w:r>
    </w:p>
    <w:p w:rsidR="00546D8D" w:rsidRPr="004937A1" w:rsidRDefault="00546D8D" w:rsidP="00546D8D">
      <w:pPr>
        <w:pStyle w:val="ListParagraph"/>
        <w:numPr>
          <w:ilvl w:val="0"/>
          <w:numId w:val="31"/>
        </w:numPr>
        <w:suppressAutoHyphens w:val="0"/>
        <w:spacing w:before="0" w:after="0"/>
        <w:ind w:left="1080"/>
        <w:contextualSpacing w:val="0"/>
        <w:rPr>
          <w:iCs/>
        </w:rPr>
      </w:pPr>
      <w:r w:rsidRPr="004937A1">
        <w:rPr>
          <w:iCs/>
        </w:rPr>
        <w:t>closure (final status message to confirm that transfer has been completed)</w:t>
      </w:r>
    </w:p>
    <w:p w:rsidR="00546D8D" w:rsidRPr="004937A1" w:rsidRDefault="00546D8D" w:rsidP="00546D8D">
      <w:pPr>
        <w:ind w:left="720"/>
        <w:rPr>
          <w:iCs/>
        </w:rPr>
      </w:pPr>
    </w:p>
    <w:p w:rsidR="00546D8D" w:rsidRPr="004937A1" w:rsidRDefault="00546D8D" w:rsidP="00546D8D">
      <w:pPr>
        <w:ind w:left="720"/>
        <w:rPr>
          <w:iCs/>
        </w:rPr>
      </w:pPr>
      <w:r w:rsidRPr="004937A1">
        <w:rPr>
          <w:iCs/>
        </w:rPr>
        <w:t>DB advised that there were two distinct versions of the market practice:</w:t>
      </w:r>
    </w:p>
    <w:p w:rsidR="00546D8D" w:rsidRPr="004937A1" w:rsidRDefault="00546D8D" w:rsidP="00546D8D">
      <w:pPr>
        <w:ind w:left="1980" w:hanging="1260"/>
        <w:rPr>
          <w:iCs/>
        </w:rPr>
      </w:pPr>
      <w:r w:rsidRPr="004937A1">
        <w:rPr>
          <w:iCs/>
        </w:rPr>
        <w:t>Version 1 -    the original and vanilla process for transferring portfolios of UK funds.  T</w:t>
      </w:r>
      <w:r w:rsidR="007B687B" w:rsidRPr="004937A1">
        <w:rPr>
          <w:iCs/>
        </w:rPr>
        <w:t>his is migrating to v1.1 for SR2</w:t>
      </w:r>
      <w:r w:rsidRPr="004937A1">
        <w:rPr>
          <w:iCs/>
        </w:rPr>
        <w:t>013,with minimal substantive changes apart from the new x-paths.</w:t>
      </w:r>
    </w:p>
    <w:p w:rsidR="00546D8D" w:rsidRPr="004937A1" w:rsidRDefault="00546D8D" w:rsidP="00546D8D">
      <w:pPr>
        <w:ind w:left="1980" w:hanging="1260"/>
        <w:rPr>
          <w:iCs/>
        </w:rPr>
      </w:pPr>
      <w:r w:rsidRPr="004937A1">
        <w:rPr>
          <w:iCs/>
        </w:rPr>
        <w:t>Version 2 -    extended to deal with pension accounts and a wider range of assets, plus support for intermediate holders used by some pension providers.  This is migrating to v2.1 for SR2013, which makes use of the new message structures at asset-level (reducing the use of extensions) and introduces new message flows where intermediate holders are involved to instruct them to transfer/sell or receive assets as appropriate.</w:t>
      </w:r>
    </w:p>
    <w:p w:rsidR="00546D8D" w:rsidRPr="004937A1" w:rsidRDefault="00B3644A" w:rsidP="004937A1">
      <w:pPr>
        <w:ind w:left="720"/>
      </w:pPr>
      <w:r w:rsidRPr="004937A1">
        <w:t>There is a lot of pilot implementation which has led to more refinement of the MP. Published as public draft.</w:t>
      </w:r>
    </w:p>
    <w:p w:rsidR="0032539D" w:rsidRDefault="00DE5553" w:rsidP="00712617">
      <w:pPr>
        <w:pStyle w:val="Heading2"/>
      </w:pPr>
      <w:bookmarkStart w:id="17" w:name="_Toc377395907"/>
      <w:r w:rsidRPr="00712617">
        <w:t>Switzerland</w:t>
      </w:r>
      <w:bookmarkEnd w:id="17"/>
    </w:p>
    <w:p w:rsidR="00546D8D" w:rsidRDefault="00A40A2C" w:rsidP="004937A1">
      <w:pPr>
        <w:ind w:left="720"/>
      </w:pPr>
      <w:r>
        <w:t>Developed MP last year for 18 MXs, published. Published as “MT-MX migration” market practice. F</w:t>
      </w:r>
      <w:r w:rsidR="007B687B">
        <w:t xml:space="preserve">ocuses </w:t>
      </w:r>
      <w:r>
        <w:t>on  distributor  to intermediary side.</w:t>
      </w:r>
    </w:p>
    <w:p w:rsidR="00A40A2C" w:rsidRDefault="00A40A2C" w:rsidP="004937A1">
      <w:pPr>
        <w:ind w:left="720"/>
      </w:pPr>
      <w:r>
        <w:t xml:space="preserve">Hedge funds </w:t>
      </w:r>
      <w:r w:rsidR="007002FE">
        <w:t>peculiarities</w:t>
      </w:r>
      <w:r>
        <w:t xml:space="preserve"> still need to be looked at, including pre-paid </w:t>
      </w:r>
      <w:r w:rsidR="007B687B">
        <w:t xml:space="preserve">order </w:t>
      </w:r>
      <w:r>
        <w:t>(this is done in MT).</w:t>
      </w:r>
    </w:p>
    <w:p w:rsidR="00A40A2C" w:rsidRDefault="00A40A2C" w:rsidP="004937A1">
      <w:pPr>
        <w:ind w:left="720"/>
      </w:pPr>
      <w:r>
        <w:t xml:space="preserve">MP </w:t>
      </w:r>
      <w:r w:rsidR="007B687B">
        <w:t xml:space="preserve">is captured </w:t>
      </w:r>
      <w:r>
        <w:t>in</w:t>
      </w:r>
      <w:r w:rsidR="007B687B">
        <w:t xml:space="preserve"> the</w:t>
      </w:r>
      <w:r>
        <w:t xml:space="preserve"> GEFF</w:t>
      </w:r>
      <w:r w:rsidR="007B687B">
        <w:t>E</w:t>
      </w:r>
      <w:r>
        <w:t>G</w:t>
      </w:r>
      <w:r w:rsidR="007B687B">
        <w:t xml:space="preserve"> tool</w:t>
      </w:r>
      <w:r>
        <w:t xml:space="preserve"> – </w:t>
      </w:r>
      <w:r w:rsidR="007B687B">
        <w:t xml:space="preserve">there is a web </w:t>
      </w:r>
      <w:r>
        <w:t>portal,</w:t>
      </w:r>
      <w:r w:rsidR="007B687B">
        <w:t xml:space="preserve"> free of charge, for </w:t>
      </w:r>
      <w:r>
        <w:t>access the specifications.</w:t>
      </w:r>
    </w:p>
    <w:p w:rsidR="00A40A2C" w:rsidRDefault="00A40A2C" w:rsidP="004937A1">
      <w:pPr>
        <w:ind w:left="720"/>
      </w:pPr>
      <w:r>
        <w:t xml:space="preserve">Have a MyStandards licence, plan to put into Mystandards. Not easy to ‘migrate’ or transpose into MyStandards. Working with GEFFIG &amp; SWIFT will </w:t>
      </w:r>
      <w:r w:rsidR="007002FE">
        <w:t>come</w:t>
      </w:r>
      <w:r>
        <w:t xml:space="preserve"> up with a tool to migrate the documents.</w:t>
      </w:r>
    </w:p>
    <w:p w:rsidR="00A40A2C" w:rsidRDefault="00A40A2C" w:rsidP="004937A1">
      <w:pPr>
        <w:ind w:left="720"/>
      </w:pPr>
      <w:r>
        <w:t>Next,  looking to how to manage releases for updating MP.</w:t>
      </w:r>
    </w:p>
    <w:p w:rsidR="00A40A2C" w:rsidRDefault="00A40A2C" w:rsidP="004937A1">
      <w:pPr>
        <w:ind w:left="720"/>
      </w:pPr>
      <w:r>
        <w:lastRenderedPageBreak/>
        <w:t xml:space="preserve">GEFFIG Portal – look to support implementation – </w:t>
      </w:r>
      <w:r w:rsidR="007002FE">
        <w:t>different</w:t>
      </w:r>
      <w:r>
        <w:t xml:space="preserve"> type of schemas are available. Also a </w:t>
      </w:r>
      <w:r w:rsidR="007002FE">
        <w:t>‘</w:t>
      </w:r>
      <w:r>
        <w:t>sch</w:t>
      </w:r>
      <w:r w:rsidR="007002FE">
        <w:t>emat</w:t>
      </w:r>
      <w:r>
        <w:t>ron</w:t>
      </w:r>
      <w:r w:rsidR="007002FE">
        <w:t>’</w:t>
      </w:r>
      <w:r>
        <w:t xml:space="preserve"> file to validate cross element restrictions. Also provided validation schema for local testing.</w:t>
      </w:r>
    </w:p>
    <w:p w:rsidR="00D46B59" w:rsidRDefault="00A40A2C" w:rsidP="004937A1">
      <w:pPr>
        <w:ind w:left="720"/>
      </w:pPr>
      <w:r>
        <w:t>Next, MP for distingui</w:t>
      </w:r>
      <w:r w:rsidR="00CE7368">
        <w:t>s</w:t>
      </w:r>
      <w:r>
        <w:t xml:space="preserve">hed name on MX side. </w:t>
      </w:r>
    </w:p>
    <w:p w:rsidR="00A40A2C" w:rsidRDefault="00A40A2C" w:rsidP="004937A1">
      <w:pPr>
        <w:ind w:left="720"/>
      </w:pPr>
      <w:r>
        <w:t>How to deal with reject, ignore and error codes.</w:t>
      </w:r>
    </w:p>
    <w:p w:rsidR="00A40A2C" w:rsidRDefault="00A40A2C" w:rsidP="004937A1">
      <w:pPr>
        <w:ind w:left="720"/>
      </w:pPr>
      <w:r>
        <w:t xml:space="preserve">Transfers – on </w:t>
      </w:r>
      <w:r w:rsidR="00D46B59">
        <w:t>the ‘to-do-list.</w:t>
      </w:r>
    </w:p>
    <w:p w:rsidR="00A40A2C" w:rsidRDefault="00FA2B3C" w:rsidP="004937A1">
      <w:pPr>
        <w:ind w:left="720"/>
      </w:pPr>
      <w:r>
        <w:t xml:space="preserve">Conference </w:t>
      </w:r>
      <w:r w:rsidR="00A40A2C">
        <w:t>Event last week (get details) facilities sponsored by SWIFT</w:t>
      </w:r>
      <w:r>
        <w:t>.</w:t>
      </w:r>
    </w:p>
    <w:p w:rsidR="00FA2B3C" w:rsidRDefault="00F0247D" w:rsidP="004937A1">
      <w:pPr>
        <w:ind w:left="720"/>
      </w:pPr>
      <w:hyperlink r:id="rId14" w:history="1">
        <w:r w:rsidR="00FA2B3C" w:rsidRPr="00E643CB">
          <w:rPr>
            <w:rStyle w:val="Hyperlink"/>
          </w:rPr>
          <w:t>www.sksf.ch</w:t>
        </w:r>
      </w:hyperlink>
      <w:r w:rsidR="00FA2B3C">
        <w:t xml:space="preserve"> – all CH material posted there. There is a section for ISO20022.</w:t>
      </w:r>
    </w:p>
    <w:p w:rsidR="00A40A2C" w:rsidRDefault="00A40A2C" w:rsidP="004937A1">
      <w:pPr>
        <w:ind w:left="720"/>
      </w:pPr>
    </w:p>
    <w:p w:rsidR="002E7BC4" w:rsidRDefault="002E7BC4" w:rsidP="004937A1">
      <w:pPr>
        <w:ind w:left="720"/>
      </w:pPr>
      <w:r>
        <w:t>Notes for JEC:</w:t>
      </w:r>
    </w:p>
    <w:p w:rsidR="00C37A50" w:rsidRDefault="00C37A50" w:rsidP="004937A1">
      <w:pPr>
        <w:ind w:left="720"/>
      </w:pPr>
      <w:r>
        <w:t>Single verses Double. CSD (crest) is double leg. However outside of CSD, it’s all single leg (since 1963).</w:t>
      </w:r>
      <w:r w:rsidR="006E4C48">
        <w:t xml:space="preserve"> Although not truly since leg until 2012 because of stamp duty issues.</w:t>
      </w:r>
    </w:p>
    <w:p w:rsidR="00C37A50" w:rsidRDefault="00F729CC" w:rsidP="004937A1">
      <w:pPr>
        <w:ind w:left="720"/>
      </w:pPr>
      <w:r>
        <w:t>VP si</w:t>
      </w:r>
      <w:r w:rsidR="006E4C48">
        <w:t>n</w:t>
      </w:r>
      <w:r>
        <w:t xml:space="preserve">gle leg in </w:t>
      </w:r>
      <w:r w:rsidR="007002FE">
        <w:t>proprietary</w:t>
      </w:r>
      <w:r>
        <w:t xml:space="preserve"> </w:t>
      </w:r>
      <w:r w:rsidR="007002FE">
        <w:t>system</w:t>
      </w:r>
      <w:r>
        <w:t>, For T2S wanted to abolish this for double, but are now being forced back into single leg.</w:t>
      </w:r>
    </w:p>
    <w:p w:rsidR="009544A7" w:rsidRDefault="009B731D" w:rsidP="009544A7">
      <w:pPr>
        <w:pStyle w:val="Heading1"/>
      </w:pPr>
      <w:bookmarkStart w:id="18" w:name="_Toc377395908"/>
      <w:r>
        <w:t>Order – items discussed</w:t>
      </w:r>
      <w:bookmarkEnd w:id="18"/>
    </w:p>
    <w:p w:rsidR="00ED3275" w:rsidRPr="00ED3275" w:rsidRDefault="00ED3275" w:rsidP="00ED3275">
      <w:pPr>
        <w:pStyle w:val="Heading2"/>
      </w:pPr>
      <w:bookmarkStart w:id="19" w:name="_Toc377395909"/>
      <w:r>
        <w:t>Status / rejection</w:t>
      </w:r>
      <w:bookmarkEnd w:id="19"/>
    </w:p>
    <w:p w:rsidR="001F0B75" w:rsidRDefault="001F0B75" w:rsidP="00ED3275">
      <w:pPr>
        <w:ind w:left="720"/>
      </w:pPr>
      <w:r>
        <w:t xml:space="preserve">The way </w:t>
      </w:r>
      <w:r w:rsidR="00ED3275">
        <w:t xml:space="preserve">the </w:t>
      </w:r>
      <w:r>
        <w:t>status / rejection blocks are structured seems to be inconsistent, t</w:t>
      </w:r>
      <w:r w:rsidR="00ED3275">
        <w:t>hi</w:t>
      </w:r>
      <w:r>
        <w:t xml:space="preserve">s need to </w:t>
      </w:r>
      <w:r w:rsidR="007002FE">
        <w:t>be</w:t>
      </w:r>
      <w:r>
        <w:t xml:space="preserve"> </w:t>
      </w:r>
      <w:r w:rsidR="00ED3275">
        <w:t>analysed. If necessary, change requests are to be drafted (</w:t>
      </w:r>
      <w:r>
        <w:t xml:space="preserve"> A good model to use is that in the S</w:t>
      </w:r>
      <w:r w:rsidR="00ED3275">
        <w:t>R 2014 acmt.006 account management status message.)</w:t>
      </w:r>
    </w:p>
    <w:p w:rsidR="00587518" w:rsidRDefault="00587518" w:rsidP="00587518">
      <w:pPr>
        <w:ind w:left="720"/>
      </w:pPr>
      <w:r w:rsidRPr="00587518">
        <w:rPr>
          <w:b/>
        </w:rPr>
        <w:t>Action item:</w:t>
      </w:r>
      <w:r>
        <w:t xml:space="preserve"> Janice E. Chapman</w:t>
      </w:r>
    </w:p>
    <w:p w:rsidR="00ED3275" w:rsidRDefault="00ED3275" w:rsidP="00ED3275">
      <w:pPr>
        <w:pStyle w:val="Heading2"/>
      </w:pPr>
      <w:bookmarkStart w:id="20" w:name="_Toc377395910"/>
      <w:r>
        <w:t>Change requests</w:t>
      </w:r>
      <w:bookmarkEnd w:id="20"/>
    </w:p>
    <w:p w:rsidR="00ED3275" w:rsidRDefault="00ED3275" w:rsidP="00ED3275">
      <w:pPr>
        <w:ind w:left="720"/>
      </w:pPr>
      <w:r w:rsidRPr="00587518">
        <w:rPr>
          <w:b/>
        </w:rPr>
        <w:t>Action item:</w:t>
      </w:r>
      <w:r>
        <w:t xml:space="preserve"> Janice E. Chapman</w:t>
      </w:r>
    </w:p>
    <w:p w:rsidR="00ED3275" w:rsidRDefault="00ED3275" w:rsidP="00ED3275">
      <w:pPr>
        <w:ind w:left="720"/>
      </w:pPr>
      <w:r>
        <w:t xml:space="preserve">Create a complete list of change requests. This list will include the ones already submitted to ISO 20022. The minutes documents of Frankfurt, Oslo and Copenhagen, month meetings, the MyStandards on-line review comments review documents are to be reviewed  for change request items. The list is then to be </w:t>
      </w:r>
      <w:r w:rsidR="007002FE">
        <w:t>reviewed</w:t>
      </w:r>
      <w:r>
        <w:t xml:space="preserve"> by SMPG.</w:t>
      </w:r>
    </w:p>
    <w:p w:rsidR="00620A4D" w:rsidRDefault="00620A4D" w:rsidP="00620A4D">
      <w:pPr>
        <w:pStyle w:val="Heading2"/>
      </w:pPr>
      <w:bookmarkStart w:id="21" w:name="_Toc377395911"/>
      <w:r>
        <w:t xml:space="preserve">Orders </w:t>
      </w:r>
      <w:r w:rsidR="00F024FC">
        <w:t>(setr.010, 004, 013)</w:t>
      </w:r>
      <w:r>
        <w:t>– Order Date Time</w:t>
      </w:r>
      <w:bookmarkEnd w:id="21"/>
    </w:p>
    <w:p w:rsidR="00620A4D" w:rsidRPr="00620A4D" w:rsidRDefault="00620A4D" w:rsidP="00620A4D">
      <w:pPr>
        <w:ind w:left="720"/>
      </w:pPr>
      <w:r>
        <w:t>Previously usage guideline had as mandatory. This is now optional. Definition refinement enhanced “</w:t>
      </w:r>
      <w:r w:rsidRPr="00620A4D">
        <w:t>Date and time  the order is placed by the investor or its agent.</w:t>
      </w:r>
      <w:r>
        <w:t>”</w:t>
      </w:r>
    </w:p>
    <w:p w:rsidR="00ED3275" w:rsidRDefault="00ED3275" w:rsidP="00ED3275">
      <w:pPr>
        <w:pStyle w:val="Heading2"/>
      </w:pPr>
      <w:bookmarkStart w:id="22" w:name="_Toc377395912"/>
      <w:r>
        <w:t>Orders – Net &amp; Gross Amount</w:t>
      </w:r>
      <w:bookmarkEnd w:id="22"/>
    </w:p>
    <w:p w:rsidR="00376B38" w:rsidRDefault="00ED3275" w:rsidP="00ED3275">
      <w:pPr>
        <w:ind w:left="720"/>
      </w:pPr>
      <w:r>
        <w:t xml:space="preserve">Both the subscription and redemption order may be expressed as </w:t>
      </w:r>
      <w:r w:rsidR="00EE2986">
        <w:t>net or gross amount or units. T</w:t>
      </w:r>
      <w:r>
        <w:t xml:space="preserve">his is a </w:t>
      </w:r>
      <w:r w:rsidR="00587518" w:rsidRPr="00376B38">
        <w:rPr>
          <w:b/>
        </w:rPr>
        <w:t>major</w:t>
      </w:r>
      <w:r>
        <w:t xml:space="preserve"> change in that previously, the subscr</w:t>
      </w:r>
      <w:r w:rsidR="00EE2986">
        <w:t>i</w:t>
      </w:r>
      <w:r>
        <w:t xml:space="preserve">ption order could be expressed only as gross amount </w:t>
      </w:r>
      <w:r w:rsidR="00EE2986">
        <w:t xml:space="preserve">or units and  the </w:t>
      </w:r>
      <w:r w:rsidR="007002FE">
        <w:t>redemption</w:t>
      </w:r>
      <w:r w:rsidR="00EE2986">
        <w:t xml:space="preserve"> order could only be e</w:t>
      </w:r>
      <w:r>
        <w:t>x</w:t>
      </w:r>
      <w:r w:rsidR="00EE2986">
        <w:t>p</w:t>
      </w:r>
      <w:r>
        <w:t>ressed as net amount</w:t>
      </w:r>
      <w:r w:rsidR="00EE2986">
        <w:t xml:space="preserve"> or units or 100%</w:t>
      </w:r>
      <w:r>
        <w:t>.</w:t>
      </w:r>
      <w:r w:rsidR="00587518">
        <w:t xml:space="preserve"> </w:t>
      </w:r>
    </w:p>
    <w:p w:rsidR="00ED3275" w:rsidRDefault="00587518" w:rsidP="00ED3275">
      <w:pPr>
        <w:ind w:left="720"/>
        <w:rPr>
          <w:i/>
        </w:rPr>
      </w:pPr>
      <w:r w:rsidRPr="00587518">
        <w:rPr>
          <w:i/>
        </w:rPr>
        <w:t>(28 October 2013: implemented in setr.010, 004, 013 (redemption leg) and in the ‘process document.)</w:t>
      </w:r>
    </w:p>
    <w:p w:rsidR="00EC124E" w:rsidRPr="00EE14E9" w:rsidRDefault="00EC124E" w:rsidP="00EC124E">
      <w:pPr>
        <w:ind w:left="720"/>
        <w:rPr>
          <w:i/>
        </w:rPr>
      </w:pPr>
      <w:r w:rsidRPr="00EE14E9">
        <w:rPr>
          <w:i/>
        </w:rPr>
        <w:t>(28 October 2013:</w:t>
      </w:r>
      <w:r>
        <w:rPr>
          <w:i/>
        </w:rPr>
        <w:t xml:space="preserve"> need for revised definitions </w:t>
      </w:r>
      <w:r w:rsidRPr="00EE14E9">
        <w:rPr>
          <w:i/>
        </w:rPr>
        <w:t>added to central CR list)</w:t>
      </w:r>
    </w:p>
    <w:p w:rsidR="00FE5052" w:rsidRDefault="00FE5052" w:rsidP="00FE5052">
      <w:pPr>
        <w:pStyle w:val="Heading2"/>
      </w:pPr>
      <w:bookmarkStart w:id="23" w:name="_Toc377395913"/>
      <w:r>
        <w:lastRenderedPageBreak/>
        <w:t>Charge and Commission</w:t>
      </w:r>
      <w:bookmarkEnd w:id="23"/>
    </w:p>
    <w:p w:rsidR="00FE5052" w:rsidRPr="00FE5052" w:rsidRDefault="00FE5052" w:rsidP="00FE5052">
      <w:pPr>
        <w:ind w:left="720"/>
      </w:pPr>
      <w:r>
        <w:t xml:space="preserve">The process document and the message usage guidelines are to </w:t>
      </w:r>
      <w:r w:rsidR="007002FE">
        <w:t>include</w:t>
      </w:r>
      <w:r>
        <w:t xml:space="preserve"> the following statement:</w:t>
      </w:r>
    </w:p>
    <w:p w:rsidR="00D0782B" w:rsidRPr="00FE5052" w:rsidRDefault="00D0782B" w:rsidP="00FE5052">
      <w:pPr>
        <w:pBdr>
          <w:top w:val="single" w:sz="4" w:space="1" w:color="auto"/>
          <w:left w:val="single" w:sz="4" w:space="4" w:color="auto"/>
          <w:bottom w:val="single" w:sz="4" w:space="1" w:color="auto"/>
          <w:right w:val="single" w:sz="4" w:space="4" w:color="auto"/>
        </w:pBdr>
        <w:ind w:left="720"/>
        <w:rPr>
          <w:rFonts w:asciiTheme="minorHAnsi" w:hAnsiTheme="minorHAnsi" w:cstheme="minorHAnsi"/>
          <w:sz w:val="22"/>
          <w:szCs w:val="22"/>
        </w:rPr>
      </w:pPr>
      <w:r w:rsidRPr="00FE5052">
        <w:rPr>
          <w:rFonts w:asciiTheme="minorHAnsi" w:hAnsiTheme="minorHAnsi" w:cstheme="minorHAnsi"/>
          <w:sz w:val="22"/>
          <w:szCs w:val="22"/>
        </w:rPr>
        <w:t xml:space="preserve">There is no agreement on the </w:t>
      </w:r>
      <w:r w:rsidR="00711D2A" w:rsidRPr="00FE5052">
        <w:rPr>
          <w:rFonts w:asciiTheme="minorHAnsi" w:hAnsiTheme="minorHAnsi" w:cstheme="minorHAnsi"/>
          <w:sz w:val="22"/>
          <w:szCs w:val="22"/>
        </w:rPr>
        <w:t xml:space="preserve">distinction between a </w:t>
      </w:r>
      <w:r w:rsidRPr="00FE5052">
        <w:rPr>
          <w:rFonts w:asciiTheme="minorHAnsi" w:hAnsiTheme="minorHAnsi" w:cstheme="minorHAnsi"/>
          <w:sz w:val="22"/>
          <w:szCs w:val="22"/>
        </w:rPr>
        <w:t>charge</w:t>
      </w:r>
      <w:r w:rsidR="00711D2A" w:rsidRPr="00FE5052">
        <w:rPr>
          <w:rFonts w:asciiTheme="minorHAnsi" w:hAnsiTheme="minorHAnsi" w:cstheme="minorHAnsi"/>
          <w:sz w:val="22"/>
          <w:szCs w:val="22"/>
        </w:rPr>
        <w:t xml:space="preserve"> and</w:t>
      </w:r>
      <w:r w:rsidR="00763A6E" w:rsidRPr="00FE5052">
        <w:rPr>
          <w:rFonts w:asciiTheme="minorHAnsi" w:hAnsiTheme="minorHAnsi" w:cstheme="minorHAnsi"/>
          <w:sz w:val="22"/>
          <w:szCs w:val="22"/>
        </w:rPr>
        <w:t xml:space="preserve"> </w:t>
      </w:r>
      <w:r w:rsidR="00711D2A" w:rsidRPr="00FE5052">
        <w:rPr>
          <w:rFonts w:asciiTheme="minorHAnsi" w:hAnsiTheme="minorHAnsi" w:cstheme="minorHAnsi"/>
          <w:sz w:val="22"/>
          <w:szCs w:val="22"/>
        </w:rPr>
        <w:t>a</w:t>
      </w:r>
      <w:r w:rsidR="00763A6E" w:rsidRPr="00FE5052">
        <w:rPr>
          <w:rFonts w:asciiTheme="minorHAnsi" w:hAnsiTheme="minorHAnsi" w:cstheme="minorHAnsi"/>
          <w:sz w:val="22"/>
          <w:szCs w:val="22"/>
        </w:rPr>
        <w:t xml:space="preserve"> </w:t>
      </w:r>
      <w:r w:rsidRPr="00FE5052">
        <w:rPr>
          <w:rFonts w:asciiTheme="minorHAnsi" w:hAnsiTheme="minorHAnsi" w:cstheme="minorHAnsi"/>
          <w:sz w:val="22"/>
          <w:szCs w:val="22"/>
        </w:rPr>
        <w:t>commission.</w:t>
      </w:r>
      <w:r w:rsidR="00A9044F" w:rsidRPr="00FE5052">
        <w:rPr>
          <w:rFonts w:asciiTheme="minorHAnsi" w:hAnsiTheme="minorHAnsi" w:cstheme="minorHAnsi"/>
          <w:sz w:val="22"/>
          <w:szCs w:val="22"/>
        </w:rPr>
        <w:t xml:space="preserve"> This is </w:t>
      </w:r>
      <w:r w:rsidR="00763A6E" w:rsidRPr="00FE5052">
        <w:rPr>
          <w:rFonts w:asciiTheme="minorHAnsi" w:hAnsiTheme="minorHAnsi" w:cstheme="minorHAnsi"/>
          <w:sz w:val="22"/>
          <w:szCs w:val="22"/>
        </w:rPr>
        <w:t>because</w:t>
      </w:r>
      <w:r w:rsidR="00A9044F" w:rsidRPr="00FE5052">
        <w:rPr>
          <w:rFonts w:asciiTheme="minorHAnsi" w:hAnsiTheme="minorHAnsi" w:cstheme="minorHAnsi"/>
          <w:sz w:val="22"/>
          <w:szCs w:val="22"/>
        </w:rPr>
        <w:t xml:space="preserve"> there is no</w:t>
      </w:r>
      <w:r w:rsidR="00711D2A" w:rsidRPr="00FE5052">
        <w:rPr>
          <w:rFonts w:asciiTheme="minorHAnsi" w:hAnsiTheme="minorHAnsi" w:cstheme="minorHAnsi"/>
          <w:sz w:val="22"/>
          <w:szCs w:val="22"/>
        </w:rPr>
        <w:t xml:space="preserve"> single</w:t>
      </w:r>
      <w:r w:rsidR="00A9044F" w:rsidRPr="00FE5052">
        <w:rPr>
          <w:rFonts w:asciiTheme="minorHAnsi" w:hAnsiTheme="minorHAnsi" w:cstheme="minorHAnsi"/>
          <w:sz w:val="22"/>
          <w:szCs w:val="22"/>
        </w:rPr>
        <w:t xml:space="preserve"> legal definition of a charge and a commissio</w:t>
      </w:r>
      <w:r w:rsidR="00711D2A" w:rsidRPr="00FE5052">
        <w:rPr>
          <w:rFonts w:asciiTheme="minorHAnsi" w:hAnsiTheme="minorHAnsi" w:cstheme="minorHAnsi"/>
          <w:sz w:val="22"/>
          <w:szCs w:val="22"/>
        </w:rPr>
        <w:t>n</w:t>
      </w:r>
      <w:r w:rsidR="00A9044F" w:rsidRPr="00FE5052">
        <w:rPr>
          <w:rFonts w:asciiTheme="minorHAnsi" w:hAnsiTheme="minorHAnsi" w:cstheme="minorHAnsi"/>
          <w:sz w:val="22"/>
          <w:szCs w:val="22"/>
        </w:rPr>
        <w:t>. The</w:t>
      </w:r>
      <w:r w:rsidR="00711D2A" w:rsidRPr="00FE5052">
        <w:rPr>
          <w:rFonts w:asciiTheme="minorHAnsi" w:hAnsiTheme="minorHAnsi" w:cstheme="minorHAnsi"/>
          <w:sz w:val="22"/>
          <w:szCs w:val="22"/>
        </w:rPr>
        <w:t xml:space="preserve">refore, </w:t>
      </w:r>
      <w:r w:rsidR="00763A6E" w:rsidRPr="00FE5052">
        <w:rPr>
          <w:rFonts w:asciiTheme="minorHAnsi" w:hAnsiTheme="minorHAnsi" w:cstheme="minorHAnsi"/>
          <w:sz w:val="22"/>
          <w:szCs w:val="22"/>
        </w:rPr>
        <w:t>terminology</w:t>
      </w:r>
      <w:r w:rsidR="00A9044F" w:rsidRPr="00FE5052">
        <w:rPr>
          <w:rFonts w:asciiTheme="minorHAnsi" w:hAnsiTheme="minorHAnsi" w:cstheme="minorHAnsi"/>
          <w:sz w:val="22"/>
          <w:szCs w:val="22"/>
        </w:rPr>
        <w:t xml:space="preserve"> differs between countries and individual institutions in same market.</w:t>
      </w:r>
      <w:r w:rsidR="00763A6E" w:rsidRPr="00FE5052">
        <w:rPr>
          <w:rFonts w:asciiTheme="minorHAnsi" w:hAnsiTheme="minorHAnsi" w:cstheme="minorHAnsi"/>
          <w:sz w:val="22"/>
          <w:szCs w:val="22"/>
        </w:rPr>
        <w:t xml:space="preserve"> </w:t>
      </w:r>
      <w:r w:rsidR="00B20278" w:rsidRPr="00FE5052">
        <w:rPr>
          <w:rFonts w:asciiTheme="minorHAnsi" w:hAnsiTheme="minorHAnsi" w:cstheme="minorHAnsi"/>
          <w:sz w:val="22"/>
          <w:szCs w:val="22"/>
        </w:rPr>
        <w:t>NMPGs must provide additional guidance in line with global market practice.</w:t>
      </w:r>
    </w:p>
    <w:p w:rsidR="00763A6E" w:rsidRPr="00FE5052" w:rsidRDefault="00763A6E" w:rsidP="00FE5052">
      <w:pPr>
        <w:pBdr>
          <w:top w:val="single" w:sz="4" w:space="1" w:color="auto"/>
          <w:left w:val="single" w:sz="4" w:space="4" w:color="auto"/>
          <w:bottom w:val="single" w:sz="4" w:space="1" w:color="auto"/>
          <w:right w:val="single" w:sz="4" w:space="4" w:color="auto"/>
        </w:pBdr>
        <w:ind w:left="720"/>
        <w:rPr>
          <w:rFonts w:asciiTheme="minorHAnsi" w:hAnsiTheme="minorHAnsi" w:cstheme="minorHAnsi"/>
          <w:sz w:val="22"/>
          <w:szCs w:val="22"/>
        </w:rPr>
      </w:pPr>
      <w:r w:rsidRPr="00FE5052">
        <w:rPr>
          <w:rFonts w:asciiTheme="minorHAnsi" w:hAnsiTheme="minorHAnsi" w:cstheme="minorHAnsi"/>
          <w:sz w:val="22"/>
          <w:szCs w:val="22"/>
        </w:rPr>
        <w:t>FOR THE PURPOSES OF THIS GLOBAL MARKET PRACTICE</w:t>
      </w:r>
    </w:p>
    <w:p w:rsidR="00711D2A" w:rsidRPr="00FE5052" w:rsidRDefault="00B36D0D" w:rsidP="00FE5052">
      <w:pPr>
        <w:pBdr>
          <w:top w:val="single" w:sz="4" w:space="1" w:color="auto"/>
          <w:left w:val="single" w:sz="4" w:space="4" w:color="auto"/>
          <w:bottom w:val="single" w:sz="4" w:space="1" w:color="auto"/>
          <w:right w:val="single" w:sz="4" w:space="4" w:color="auto"/>
        </w:pBdr>
        <w:ind w:left="720"/>
        <w:rPr>
          <w:rFonts w:asciiTheme="minorHAnsi" w:hAnsiTheme="minorHAnsi" w:cstheme="minorHAnsi"/>
          <w:sz w:val="22"/>
          <w:szCs w:val="22"/>
        </w:rPr>
      </w:pPr>
      <w:r w:rsidRPr="005B5EAE">
        <w:rPr>
          <w:rFonts w:asciiTheme="minorHAnsi" w:hAnsiTheme="minorHAnsi" w:cstheme="minorHAnsi"/>
          <w:sz w:val="22"/>
          <w:szCs w:val="22"/>
        </w:rPr>
        <w:t xml:space="preserve">If the </w:t>
      </w:r>
      <w:r w:rsidR="00711D2A" w:rsidRPr="005B5EAE">
        <w:rPr>
          <w:rFonts w:asciiTheme="minorHAnsi" w:hAnsiTheme="minorHAnsi" w:cstheme="minorHAnsi"/>
          <w:sz w:val="22"/>
          <w:szCs w:val="22"/>
        </w:rPr>
        <w:t xml:space="preserve">item </w:t>
      </w:r>
      <w:r w:rsidRPr="005B5EAE">
        <w:rPr>
          <w:rFonts w:asciiTheme="minorHAnsi" w:hAnsiTheme="minorHAnsi" w:cstheme="minorHAnsi"/>
          <w:sz w:val="22"/>
          <w:szCs w:val="22"/>
        </w:rPr>
        <w:t xml:space="preserve">is an overhead </w:t>
      </w:r>
      <w:r w:rsidR="00711D2A" w:rsidRPr="005B5EAE">
        <w:rPr>
          <w:rFonts w:asciiTheme="minorHAnsi" w:hAnsiTheme="minorHAnsi" w:cstheme="minorHAnsi"/>
          <w:sz w:val="22"/>
          <w:szCs w:val="22"/>
        </w:rPr>
        <w:t xml:space="preserve">paid by the investor, </w:t>
      </w:r>
      <w:r w:rsidR="00711D2A" w:rsidRPr="00FE5052">
        <w:rPr>
          <w:rFonts w:asciiTheme="minorHAnsi" w:hAnsiTheme="minorHAnsi" w:cstheme="minorHAnsi"/>
          <w:sz w:val="22"/>
          <w:szCs w:val="22"/>
        </w:rPr>
        <w:t xml:space="preserve">this is </w:t>
      </w:r>
      <w:r w:rsidR="009E1DF1" w:rsidRPr="00FE5052">
        <w:rPr>
          <w:rFonts w:asciiTheme="minorHAnsi" w:hAnsiTheme="minorHAnsi" w:cstheme="minorHAnsi"/>
          <w:sz w:val="22"/>
          <w:szCs w:val="22"/>
        </w:rPr>
        <w:t>reported</w:t>
      </w:r>
      <w:r w:rsidR="00711D2A" w:rsidRPr="00FE5052">
        <w:rPr>
          <w:rFonts w:asciiTheme="minorHAnsi" w:hAnsiTheme="minorHAnsi" w:cstheme="minorHAnsi"/>
          <w:sz w:val="22"/>
          <w:szCs w:val="22"/>
        </w:rPr>
        <w:t xml:space="preserve"> as a charge.</w:t>
      </w:r>
    </w:p>
    <w:p w:rsidR="00711D2A" w:rsidRPr="00FE5052" w:rsidRDefault="00711D2A" w:rsidP="00FE5052">
      <w:pPr>
        <w:pBdr>
          <w:top w:val="single" w:sz="4" w:space="1" w:color="auto"/>
          <w:left w:val="single" w:sz="4" w:space="4" w:color="auto"/>
          <w:bottom w:val="single" w:sz="4" w:space="1" w:color="auto"/>
          <w:right w:val="single" w:sz="4" w:space="4" w:color="auto"/>
        </w:pBdr>
        <w:ind w:left="720"/>
        <w:rPr>
          <w:rFonts w:asciiTheme="minorHAnsi" w:hAnsiTheme="minorHAnsi" w:cstheme="minorHAnsi"/>
          <w:sz w:val="22"/>
          <w:szCs w:val="22"/>
        </w:rPr>
      </w:pPr>
      <w:r w:rsidRPr="00FE5052">
        <w:rPr>
          <w:rFonts w:asciiTheme="minorHAnsi" w:hAnsiTheme="minorHAnsi" w:cstheme="minorHAnsi"/>
          <w:sz w:val="22"/>
          <w:szCs w:val="22"/>
        </w:rPr>
        <w:t xml:space="preserve">If money is paid </w:t>
      </w:r>
      <w:r w:rsidR="00E51EF1" w:rsidRPr="00FE5052">
        <w:rPr>
          <w:rFonts w:asciiTheme="minorHAnsi" w:hAnsiTheme="minorHAnsi" w:cstheme="minorHAnsi"/>
          <w:sz w:val="22"/>
          <w:szCs w:val="22"/>
        </w:rPr>
        <w:t xml:space="preserve">by </w:t>
      </w:r>
      <w:r w:rsidRPr="00FE5052">
        <w:rPr>
          <w:rFonts w:asciiTheme="minorHAnsi" w:hAnsiTheme="minorHAnsi" w:cstheme="minorHAnsi"/>
          <w:sz w:val="22"/>
          <w:szCs w:val="22"/>
        </w:rPr>
        <w:t xml:space="preserve">the fund </w:t>
      </w:r>
      <w:r w:rsidR="00E51EF1" w:rsidRPr="00FE5052">
        <w:rPr>
          <w:rFonts w:asciiTheme="minorHAnsi" w:hAnsiTheme="minorHAnsi" w:cstheme="minorHAnsi"/>
          <w:sz w:val="22"/>
          <w:szCs w:val="22"/>
        </w:rPr>
        <w:t>or fund company to a distributor</w:t>
      </w:r>
      <w:r w:rsidR="00140528" w:rsidRPr="00FE5052">
        <w:rPr>
          <w:rFonts w:asciiTheme="minorHAnsi" w:hAnsiTheme="minorHAnsi" w:cstheme="minorHAnsi"/>
          <w:sz w:val="22"/>
          <w:szCs w:val="22"/>
        </w:rPr>
        <w:t>/intermediary</w:t>
      </w:r>
      <w:r w:rsidR="009E1DF1" w:rsidRPr="00FE5052">
        <w:rPr>
          <w:rFonts w:asciiTheme="minorHAnsi" w:hAnsiTheme="minorHAnsi" w:cstheme="minorHAnsi"/>
          <w:sz w:val="22"/>
          <w:szCs w:val="22"/>
        </w:rPr>
        <w:t>, this is reported as a</w:t>
      </w:r>
      <w:r w:rsidRPr="00FE5052">
        <w:rPr>
          <w:rFonts w:asciiTheme="minorHAnsi" w:hAnsiTheme="minorHAnsi" w:cstheme="minorHAnsi"/>
          <w:sz w:val="22"/>
          <w:szCs w:val="22"/>
        </w:rPr>
        <w:t xml:space="preserve"> commission. </w:t>
      </w:r>
    </w:p>
    <w:p w:rsidR="00376B38" w:rsidRPr="00587518" w:rsidRDefault="00376B38" w:rsidP="00376B38">
      <w:pPr>
        <w:ind w:left="720"/>
        <w:rPr>
          <w:b/>
          <w:i/>
        </w:rPr>
      </w:pPr>
      <w:r w:rsidRPr="00587518">
        <w:rPr>
          <w:i/>
        </w:rPr>
        <w:t>(28 October 2013: implemented in setr</w:t>
      </w:r>
      <w:r>
        <w:rPr>
          <w:i/>
        </w:rPr>
        <w:t xml:space="preserve">.010, 004, 013, 004, 006, 015 </w:t>
      </w:r>
      <w:r w:rsidRPr="00587518">
        <w:rPr>
          <w:i/>
        </w:rPr>
        <w:t>and in the ‘process</w:t>
      </w:r>
      <w:r>
        <w:rPr>
          <w:i/>
        </w:rPr>
        <w:t>’</w:t>
      </w:r>
      <w:r w:rsidRPr="00587518">
        <w:rPr>
          <w:i/>
        </w:rPr>
        <w:t xml:space="preserve"> document.)</w:t>
      </w:r>
    </w:p>
    <w:p w:rsidR="00FE5052" w:rsidRDefault="00FE5052" w:rsidP="00FE5052">
      <w:pPr>
        <w:pStyle w:val="Heading2"/>
      </w:pPr>
      <w:bookmarkStart w:id="24" w:name="_Toc377395914"/>
      <w:r>
        <w:t>Charge and Commission Change Request to merge into a single sequence</w:t>
      </w:r>
      <w:bookmarkEnd w:id="24"/>
    </w:p>
    <w:p w:rsidR="00D0782B" w:rsidRDefault="00FE5052" w:rsidP="00FE5052">
      <w:pPr>
        <w:ind w:left="720"/>
      </w:pPr>
      <w:r>
        <w:t>T</w:t>
      </w:r>
      <w:r w:rsidR="00D0782B">
        <w:t>her</w:t>
      </w:r>
      <w:r>
        <w:t>e</w:t>
      </w:r>
      <w:r w:rsidR="00D0782B">
        <w:t xml:space="preserve"> is a </w:t>
      </w:r>
      <w:r w:rsidR="004937A1">
        <w:t>change request</w:t>
      </w:r>
      <w:r w:rsidR="00D0782B">
        <w:t xml:space="preserve"> to merge charge and commission,</w:t>
      </w:r>
      <w:r w:rsidR="00A9044F">
        <w:t xml:space="preserve"> </w:t>
      </w:r>
      <w:r w:rsidR="007002FE">
        <w:t>sequences</w:t>
      </w:r>
      <w:r w:rsidR="00A9044F">
        <w:t xml:space="preserve"> into a single </w:t>
      </w:r>
      <w:r w:rsidR="007002FE">
        <w:t>sequence</w:t>
      </w:r>
      <w:r w:rsidR="00D0782B">
        <w:t xml:space="preserve"> but </w:t>
      </w:r>
      <w:r>
        <w:t xml:space="preserve">there is </w:t>
      </w:r>
      <w:r w:rsidR="00D0782B">
        <w:t>disagreement</w:t>
      </w:r>
      <w:r w:rsidR="00A9044F">
        <w:t xml:space="preserve"> on whether this should be done!</w:t>
      </w:r>
    </w:p>
    <w:p w:rsidR="00462302" w:rsidRDefault="00462302" w:rsidP="00462302">
      <w:pPr>
        <w:pStyle w:val="Heading2"/>
      </w:pPr>
      <w:bookmarkStart w:id="25" w:name="_Toc377395915"/>
      <w:r>
        <w:t>Charge Type Codes – revised definitions</w:t>
      </w:r>
      <w:bookmarkEnd w:id="25"/>
    </w:p>
    <w:p w:rsidR="00376B38" w:rsidRDefault="00462302" w:rsidP="00462302">
      <w:pPr>
        <w:ind w:left="720"/>
      </w:pPr>
      <w:r>
        <w:t>A change request is to be created</w:t>
      </w:r>
      <w:r w:rsidR="003025D4">
        <w:t xml:space="preserve"> </w:t>
      </w:r>
      <w:r>
        <w:t xml:space="preserve"> In the meantime, in the message usage guidelines annotations of the type ‘</w:t>
      </w:r>
      <w:r w:rsidR="00F85F2F">
        <w:t>Definition</w:t>
      </w:r>
      <w:r>
        <w:t xml:space="preserve"> </w:t>
      </w:r>
      <w:r w:rsidR="00722D3C">
        <w:t>Refinement</w:t>
      </w:r>
      <w:r>
        <w:t>’ are to be included with the revised definition</w:t>
      </w:r>
      <w:r w:rsidR="003025D4">
        <w:t xml:space="preserve"> </w:t>
      </w:r>
    </w:p>
    <w:p w:rsidR="00462302" w:rsidRDefault="003025D4" w:rsidP="00462302">
      <w:pPr>
        <w:ind w:left="720"/>
      </w:pPr>
      <w:r w:rsidRPr="003025D4">
        <w:rPr>
          <w:b/>
          <w:i/>
        </w:rPr>
        <w:t>(</w:t>
      </w:r>
      <w:r w:rsidR="00376B38" w:rsidRPr="00587518">
        <w:rPr>
          <w:i/>
        </w:rPr>
        <w:t xml:space="preserve">28 </w:t>
      </w:r>
      <w:r w:rsidR="00376B38" w:rsidRPr="00376B38">
        <w:rPr>
          <w:i/>
        </w:rPr>
        <w:t>October 2013: i</w:t>
      </w:r>
      <w:r w:rsidRPr="00376B38">
        <w:rPr>
          <w:i/>
        </w:rPr>
        <w:t>mplemented)</w:t>
      </w:r>
      <w:r w:rsidR="00462302" w:rsidRPr="00376B38">
        <w:t>.</w:t>
      </w:r>
    </w:p>
    <w:p w:rsidR="00EE14E9" w:rsidRPr="00EE14E9" w:rsidRDefault="00EE14E9" w:rsidP="00462302">
      <w:pPr>
        <w:ind w:left="720"/>
        <w:rPr>
          <w:i/>
        </w:rPr>
      </w:pPr>
      <w:r w:rsidRPr="00EE14E9">
        <w:rPr>
          <w:i/>
        </w:rPr>
        <w:t>(28 October 2013: added to central CR list)</w:t>
      </w:r>
    </w:p>
    <w:tbl>
      <w:tblPr>
        <w:tblStyle w:val="TableGrid"/>
        <w:tblW w:w="9212" w:type="dxa"/>
        <w:tblInd w:w="108" w:type="dxa"/>
        <w:tblLayout w:type="fixed"/>
        <w:tblLook w:val="04A0" w:firstRow="1" w:lastRow="0" w:firstColumn="1" w:lastColumn="0" w:noHBand="0" w:noVBand="1"/>
      </w:tblPr>
      <w:tblGrid>
        <w:gridCol w:w="720"/>
        <w:gridCol w:w="1620"/>
        <w:gridCol w:w="540"/>
        <w:gridCol w:w="540"/>
        <w:gridCol w:w="630"/>
        <w:gridCol w:w="538"/>
        <w:gridCol w:w="2182"/>
        <w:gridCol w:w="2442"/>
      </w:tblGrid>
      <w:tr w:rsidR="003025D4" w:rsidRPr="008E5B31" w:rsidTr="008E5B31">
        <w:trPr>
          <w:tblHeader/>
        </w:trPr>
        <w:tc>
          <w:tcPr>
            <w:tcW w:w="720" w:type="dxa"/>
            <w:shd w:val="clear" w:color="auto" w:fill="D9D9D9" w:themeFill="background1" w:themeFillShade="D9"/>
          </w:tcPr>
          <w:p w:rsidR="003025D4" w:rsidRPr="008E5B31" w:rsidRDefault="003025D4" w:rsidP="00097D7D">
            <w:pPr>
              <w:pStyle w:val="NormalWeb"/>
              <w:spacing w:before="0" w:after="0"/>
              <w:ind w:left="0"/>
              <w:rPr>
                <w:rFonts w:asciiTheme="minorHAnsi" w:hAnsiTheme="minorHAnsi" w:cstheme="minorHAnsi"/>
                <w:b/>
                <w:sz w:val="20"/>
                <w:szCs w:val="20"/>
              </w:rPr>
            </w:pPr>
            <w:r w:rsidRPr="008E5B31">
              <w:rPr>
                <w:rFonts w:asciiTheme="minorHAnsi" w:hAnsiTheme="minorHAnsi" w:cstheme="minorHAnsi"/>
                <w:b/>
                <w:sz w:val="20"/>
                <w:szCs w:val="20"/>
              </w:rPr>
              <w:t>Code</w:t>
            </w:r>
          </w:p>
        </w:tc>
        <w:tc>
          <w:tcPr>
            <w:tcW w:w="1620" w:type="dxa"/>
            <w:shd w:val="clear" w:color="auto" w:fill="D9D9D9" w:themeFill="background1" w:themeFillShade="D9"/>
          </w:tcPr>
          <w:p w:rsidR="003025D4" w:rsidRPr="008E5B31" w:rsidRDefault="003025D4" w:rsidP="00097D7D">
            <w:pPr>
              <w:pStyle w:val="NormalWeb"/>
              <w:spacing w:before="0" w:after="0"/>
              <w:ind w:left="0"/>
              <w:rPr>
                <w:rFonts w:asciiTheme="minorHAnsi" w:hAnsiTheme="minorHAnsi" w:cstheme="minorHAnsi"/>
                <w:b/>
                <w:sz w:val="20"/>
                <w:szCs w:val="20"/>
              </w:rPr>
            </w:pPr>
            <w:r w:rsidRPr="008E5B31">
              <w:rPr>
                <w:rFonts w:asciiTheme="minorHAnsi" w:hAnsiTheme="minorHAnsi" w:cstheme="minorHAnsi"/>
                <w:b/>
                <w:sz w:val="20"/>
                <w:szCs w:val="20"/>
              </w:rPr>
              <w:t>Code Name</w:t>
            </w:r>
          </w:p>
        </w:tc>
        <w:tc>
          <w:tcPr>
            <w:tcW w:w="540" w:type="dxa"/>
            <w:shd w:val="clear" w:color="auto" w:fill="D9D9D9" w:themeFill="background1" w:themeFillShade="D9"/>
          </w:tcPr>
          <w:p w:rsidR="003025D4" w:rsidRPr="008E5B31" w:rsidRDefault="003025D4" w:rsidP="00097D7D">
            <w:pPr>
              <w:pStyle w:val="NormalWeb"/>
              <w:spacing w:before="0" w:after="0"/>
              <w:ind w:left="0"/>
              <w:rPr>
                <w:rFonts w:asciiTheme="minorHAnsi" w:hAnsiTheme="minorHAnsi" w:cstheme="minorHAnsi"/>
                <w:b/>
                <w:sz w:val="20"/>
                <w:szCs w:val="20"/>
              </w:rPr>
            </w:pPr>
            <w:r w:rsidRPr="008E5B31">
              <w:rPr>
                <w:rFonts w:asciiTheme="minorHAnsi" w:hAnsiTheme="minorHAnsi" w:cstheme="minorHAnsi"/>
                <w:b/>
                <w:sz w:val="20"/>
                <w:szCs w:val="20"/>
              </w:rPr>
              <w:t>010 Y/N</w:t>
            </w:r>
          </w:p>
        </w:tc>
        <w:tc>
          <w:tcPr>
            <w:tcW w:w="540" w:type="dxa"/>
            <w:shd w:val="clear" w:color="auto" w:fill="D9D9D9" w:themeFill="background1" w:themeFillShade="D9"/>
          </w:tcPr>
          <w:p w:rsidR="003025D4" w:rsidRPr="008E5B31" w:rsidRDefault="003025D4" w:rsidP="00097D7D">
            <w:pPr>
              <w:pStyle w:val="NormalWeb"/>
              <w:spacing w:before="0" w:after="0"/>
              <w:ind w:left="0"/>
              <w:rPr>
                <w:rFonts w:asciiTheme="minorHAnsi" w:hAnsiTheme="minorHAnsi" w:cstheme="minorHAnsi"/>
                <w:b/>
                <w:sz w:val="20"/>
                <w:szCs w:val="20"/>
              </w:rPr>
            </w:pPr>
            <w:r w:rsidRPr="008E5B31">
              <w:rPr>
                <w:rFonts w:asciiTheme="minorHAnsi" w:hAnsiTheme="minorHAnsi" w:cstheme="minorHAnsi"/>
                <w:b/>
                <w:sz w:val="20"/>
                <w:szCs w:val="20"/>
              </w:rPr>
              <w:t>004 Y/N</w:t>
            </w:r>
          </w:p>
        </w:tc>
        <w:tc>
          <w:tcPr>
            <w:tcW w:w="630" w:type="dxa"/>
            <w:shd w:val="clear" w:color="auto" w:fill="D9D9D9" w:themeFill="background1" w:themeFillShade="D9"/>
          </w:tcPr>
          <w:p w:rsidR="003025D4" w:rsidRPr="008E5B31" w:rsidRDefault="003025D4" w:rsidP="00097D7D">
            <w:pPr>
              <w:pStyle w:val="NormalWeb"/>
              <w:spacing w:before="0" w:after="0"/>
              <w:ind w:left="0"/>
              <w:rPr>
                <w:rFonts w:asciiTheme="minorHAnsi" w:hAnsiTheme="minorHAnsi" w:cstheme="minorHAnsi"/>
                <w:b/>
                <w:sz w:val="20"/>
                <w:szCs w:val="20"/>
              </w:rPr>
            </w:pPr>
            <w:r w:rsidRPr="008E5B31">
              <w:rPr>
                <w:rFonts w:asciiTheme="minorHAnsi" w:hAnsiTheme="minorHAnsi" w:cstheme="minorHAnsi"/>
                <w:b/>
                <w:sz w:val="20"/>
                <w:szCs w:val="20"/>
              </w:rPr>
              <w:t>012</w:t>
            </w:r>
          </w:p>
          <w:p w:rsidR="003025D4" w:rsidRPr="008E5B31" w:rsidRDefault="003025D4" w:rsidP="00097D7D">
            <w:pPr>
              <w:pStyle w:val="NormalWeb"/>
              <w:spacing w:before="0" w:after="0"/>
              <w:ind w:left="0"/>
              <w:rPr>
                <w:rFonts w:asciiTheme="minorHAnsi" w:hAnsiTheme="minorHAnsi" w:cstheme="minorHAnsi"/>
                <w:b/>
                <w:sz w:val="20"/>
                <w:szCs w:val="20"/>
              </w:rPr>
            </w:pPr>
            <w:r w:rsidRPr="008E5B31">
              <w:rPr>
                <w:rFonts w:asciiTheme="minorHAnsi" w:hAnsiTheme="minorHAnsi" w:cstheme="minorHAnsi"/>
                <w:b/>
                <w:sz w:val="20"/>
                <w:szCs w:val="20"/>
              </w:rPr>
              <w:t>Y/N</w:t>
            </w:r>
          </w:p>
        </w:tc>
        <w:tc>
          <w:tcPr>
            <w:tcW w:w="538" w:type="dxa"/>
            <w:shd w:val="clear" w:color="auto" w:fill="D9D9D9" w:themeFill="background1" w:themeFillShade="D9"/>
          </w:tcPr>
          <w:p w:rsidR="003025D4" w:rsidRPr="008E5B31" w:rsidRDefault="003025D4" w:rsidP="00462302">
            <w:pPr>
              <w:pStyle w:val="NormalWeb"/>
              <w:spacing w:before="0" w:after="0"/>
              <w:ind w:left="0"/>
              <w:rPr>
                <w:rFonts w:asciiTheme="minorHAnsi" w:hAnsiTheme="minorHAnsi" w:cstheme="minorHAnsi"/>
                <w:b/>
                <w:sz w:val="20"/>
                <w:szCs w:val="20"/>
              </w:rPr>
            </w:pPr>
            <w:r w:rsidRPr="008E5B31">
              <w:rPr>
                <w:rFonts w:asciiTheme="minorHAnsi" w:hAnsiTheme="minorHAnsi" w:cstheme="minorHAnsi"/>
                <w:b/>
                <w:sz w:val="20"/>
                <w:szCs w:val="20"/>
              </w:rPr>
              <w:t>006</w:t>
            </w:r>
          </w:p>
          <w:p w:rsidR="003025D4" w:rsidRPr="008E5B31" w:rsidRDefault="003025D4" w:rsidP="00462302">
            <w:pPr>
              <w:pStyle w:val="NormalWeb"/>
              <w:spacing w:before="0" w:after="0"/>
              <w:ind w:left="0"/>
              <w:rPr>
                <w:rFonts w:asciiTheme="minorHAnsi" w:hAnsiTheme="minorHAnsi" w:cstheme="minorHAnsi"/>
                <w:b/>
                <w:sz w:val="20"/>
                <w:szCs w:val="20"/>
              </w:rPr>
            </w:pPr>
            <w:r w:rsidRPr="008E5B31">
              <w:rPr>
                <w:rFonts w:asciiTheme="minorHAnsi" w:hAnsiTheme="minorHAnsi" w:cstheme="minorHAnsi"/>
                <w:b/>
                <w:sz w:val="20"/>
                <w:szCs w:val="20"/>
              </w:rPr>
              <w:t>Y/N</w:t>
            </w:r>
          </w:p>
        </w:tc>
        <w:tc>
          <w:tcPr>
            <w:tcW w:w="2182" w:type="dxa"/>
            <w:shd w:val="clear" w:color="auto" w:fill="D9D9D9" w:themeFill="background1" w:themeFillShade="D9"/>
          </w:tcPr>
          <w:p w:rsidR="003025D4" w:rsidRPr="008E5B31" w:rsidRDefault="003025D4" w:rsidP="00097D7D">
            <w:pPr>
              <w:pStyle w:val="NormalWeb"/>
              <w:spacing w:before="0" w:after="0"/>
              <w:ind w:left="0"/>
              <w:rPr>
                <w:rFonts w:asciiTheme="minorHAnsi" w:hAnsiTheme="minorHAnsi" w:cstheme="minorHAnsi"/>
                <w:b/>
                <w:sz w:val="20"/>
                <w:szCs w:val="20"/>
              </w:rPr>
            </w:pPr>
            <w:r w:rsidRPr="008E5B31">
              <w:rPr>
                <w:rFonts w:asciiTheme="minorHAnsi" w:hAnsiTheme="minorHAnsi" w:cstheme="minorHAnsi"/>
                <w:b/>
                <w:sz w:val="20"/>
                <w:szCs w:val="20"/>
              </w:rPr>
              <w:t>Current Definition</w:t>
            </w:r>
          </w:p>
        </w:tc>
        <w:tc>
          <w:tcPr>
            <w:tcW w:w="2442" w:type="dxa"/>
            <w:shd w:val="clear" w:color="auto" w:fill="D9D9D9" w:themeFill="background1" w:themeFillShade="D9"/>
          </w:tcPr>
          <w:p w:rsidR="003025D4" w:rsidRPr="008E5B31" w:rsidRDefault="003025D4" w:rsidP="00F85F2F">
            <w:pPr>
              <w:pStyle w:val="NormalWeb"/>
              <w:spacing w:before="0" w:after="0"/>
              <w:ind w:left="0"/>
              <w:rPr>
                <w:rFonts w:asciiTheme="minorHAnsi" w:hAnsiTheme="minorHAnsi" w:cstheme="minorHAnsi"/>
                <w:b/>
                <w:sz w:val="20"/>
                <w:szCs w:val="20"/>
              </w:rPr>
            </w:pPr>
            <w:r w:rsidRPr="008E5B31">
              <w:rPr>
                <w:rFonts w:asciiTheme="minorHAnsi" w:hAnsiTheme="minorHAnsi" w:cstheme="minorHAnsi"/>
                <w:b/>
                <w:sz w:val="20"/>
                <w:szCs w:val="20"/>
              </w:rPr>
              <w:t>Revised Definition or comment</w:t>
            </w: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BEND</w:t>
            </w:r>
          </w:p>
        </w:tc>
        <w:tc>
          <w:tcPr>
            <w:tcW w:w="1620" w:type="dxa"/>
          </w:tcPr>
          <w:p w:rsidR="003025D4" w:rsidRPr="00B36D0D" w:rsidRDefault="003025D4" w:rsidP="00097D7D">
            <w:pPr>
              <w:pStyle w:val="NormalWeb"/>
              <w:spacing w:before="0" w:after="0"/>
              <w:ind w:left="0"/>
              <w:rPr>
                <w:rFonts w:asciiTheme="minorHAnsi" w:hAnsiTheme="minorHAnsi" w:cstheme="minorHAnsi"/>
                <w:sz w:val="20"/>
                <w:szCs w:val="20"/>
              </w:rPr>
            </w:pPr>
            <w:r w:rsidRPr="00706662">
              <w:rPr>
                <w:rFonts w:asciiTheme="minorHAnsi" w:hAnsiTheme="minorHAnsi" w:cstheme="minorHAnsi"/>
                <w:sz w:val="20"/>
                <w:szCs w:val="20"/>
              </w:rPr>
              <w:t>BackEnd</w:t>
            </w:r>
            <w:r w:rsidR="008E5B31">
              <w:rPr>
                <w:rFonts w:asciiTheme="minorHAnsi" w:hAnsiTheme="minorHAnsi" w:cstheme="minorHAnsi"/>
                <w:sz w:val="20"/>
                <w:szCs w:val="20"/>
              </w:rPr>
              <w:t xml:space="preserve"> </w:t>
            </w:r>
            <w:r w:rsidRPr="00706662">
              <w:rPr>
                <w:rFonts w:asciiTheme="minorHAnsi" w:hAnsiTheme="minorHAnsi" w:cstheme="minorHAnsi"/>
                <w:sz w:val="20"/>
                <w:szCs w:val="20"/>
              </w:rPr>
              <w:t>Load</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63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38"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Sales charge paid by the investor when redeeming an investment such as an investment fund.</w:t>
            </w:r>
          </w:p>
        </w:tc>
        <w:tc>
          <w:tcPr>
            <w:tcW w:w="2442"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Charge paid</w:t>
            </w:r>
            <w:r w:rsidRPr="00B36D0D">
              <w:rPr>
                <w:rFonts w:asciiTheme="minorHAnsi" w:hAnsiTheme="minorHAnsi" w:cstheme="minorHAnsi"/>
                <w:sz w:val="20"/>
                <w:szCs w:val="20"/>
              </w:rPr>
              <w:t xml:space="preserve"> by the investor </w:t>
            </w:r>
            <w:r>
              <w:rPr>
                <w:rFonts w:asciiTheme="minorHAnsi" w:hAnsiTheme="minorHAnsi" w:cstheme="minorHAnsi"/>
                <w:sz w:val="20"/>
                <w:szCs w:val="20"/>
              </w:rPr>
              <w:t>to the fund or fund management company when redeeming.</w:t>
            </w: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BRKF</w:t>
            </w:r>
          </w:p>
        </w:tc>
        <w:tc>
          <w:tcPr>
            <w:tcW w:w="1620" w:type="dxa"/>
          </w:tcPr>
          <w:p w:rsidR="003025D4" w:rsidRPr="00B36D0D" w:rsidRDefault="003025D4" w:rsidP="00097D7D">
            <w:pPr>
              <w:pStyle w:val="NormalWeb"/>
              <w:spacing w:before="0" w:after="0"/>
              <w:ind w:left="0"/>
              <w:rPr>
                <w:rFonts w:asciiTheme="minorHAnsi" w:hAnsiTheme="minorHAnsi" w:cstheme="minorHAnsi"/>
                <w:sz w:val="20"/>
                <w:szCs w:val="20"/>
              </w:rPr>
            </w:pPr>
            <w:r w:rsidRPr="00706662">
              <w:rPr>
                <w:rFonts w:asciiTheme="minorHAnsi" w:hAnsiTheme="minorHAnsi" w:cstheme="minorHAnsi"/>
                <w:sz w:val="20"/>
                <w:szCs w:val="20"/>
              </w:rPr>
              <w:t>Brokerage</w:t>
            </w:r>
            <w:r w:rsidR="008E5B31">
              <w:rPr>
                <w:rFonts w:asciiTheme="minorHAnsi" w:hAnsiTheme="minorHAnsi" w:cstheme="minorHAnsi"/>
                <w:sz w:val="20"/>
                <w:szCs w:val="20"/>
              </w:rPr>
              <w:t xml:space="preserve"> </w:t>
            </w:r>
            <w:r w:rsidRPr="00706662">
              <w:rPr>
                <w:rFonts w:asciiTheme="minorHAnsi" w:hAnsiTheme="minorHAnsi" w:cstheme="minorHAnsi"/>
                <w:sz w:val="20"/>
                <w:szCs w:val="20"/>
              </w:rPr>
              <w:t>Fee</w:t>
            </w:r>
          </w:p>
        </w:tc>
        <w:tc>
          <w:tcPr>
            <w:tcW w:w="540" w:type="dxa"/>
          </w:tcPr>
          <w:p w:rsidR="003025D4" w:rsidRPr="00E84B16" w:rsidRDefault="003025D4" w:rsidP="00097D7D">
            <w:pPr>
              <w:pStyle w:val="NormalWeb"/>
              <w:spacing w:before="0" w:after="0"/>
              <w:ind w:left="0"/>
              <w:rPr>
                <w:rFonts w:asciiTheme="minorHAnsi" w:hAnsiTheme="minorHAnsi" w:cstheme="minorHAnsi"/>
                <w:sz w:val="20"/>
                <w:szCs w:val="20"/>
                <w:highlight w:val="yellow"/>
              </w:rPr>
            </w:pPr>
            <w:r w:rsidRPr="00E84B16">
              <w:rPr>
                <w:rFonts w:asciiTheme="minorHAnsi" w:hAnsiTheme="minorHAnsi" w:cstheme="minorHAnsi"/>
                <w:strike/>
                <w:sz w:val="20"/>
                <w:szCs w:val="20"/>
                <w:highlight w:val="yellow"/>
              </w:rPr>
              <w:t xml:space="preserve">Y </w:t>
            </w:r>
            <w:r w:rsidRPr="00E84B16">
              <w:rPr>
                <w:rFonts w:asciiTheme="minorHAnsi" w:hAnsiTheme="minorHAnsi" w:cstheme="minorHAnsi"/>
                <w:color w:val="FF0000"/>
                <w:sz w:val="20"/>
                <w:szCs w:val="20"/>
                <w:highlight w:val="yellow"/>
              </w:rPr>
              <w:t>N</w:t>
            </w:r>
          </w:p>
        </w:tc>
        <w:tc>
          <w:tcPr>
            <w:tcW w:w="540" w:type="dxa"/>
          </w:tcPr>
          <w:p w:rsidR="003025D4" w:rsidRPr="00E84B16" w:rsidRDefault="003025D4" w:rsidP="00097D7D">
            <w:pPr>
              <w:pStyle w:val="NormalWeb"/>
              <w:spacing w:before="0" w:after="0"/>
              <w:ind w:left="0"/>
              <w:rPr>
                <w:rFonts w:asciiTheme="minorHAnsi" w:hAnsiTheme="minorHAnsi" w:cstheme="minorHAnsi"/>
                <w:sz w:val="20"/>
                <w:szCs w:val="20"/>
                <w:highlight w:val="yellow"/>
              </w:rPr>
            </w:pPr>
            <w:r w:rsidRPr="00E84B16">
              <w:rPr>
                <w:rFonts w:asciiTheme="minorHAnsi" w:hAnsiTheme="minorHAnsi" w:cstheme="minorHAnsi"/>
                <w:strike/>
                <w:sz w:val="20"/>
                <w:szCs w:val="20"/>
                <w:highlight w:val="yellow"/>
              </w:rPr>
              <w:t xml:space="preserve">Y </w:t>
            </w:r>
            <w:r w:rsidRPr="00E84B16">
              <w:rPr>
                <w:rFonts w:asciiTheme="minorHAnsi" w:hAnsiTheme="minorHAnsi" w:cstheme="minorHAnsi"/>
                <w:color w:val="FF0000"/>
                <w:sz w:val="20"/>
                <w:szCs w:val="20"/>
                <w:highlight w:val="yellow"/>
              </w:rPr>
              <w:t>N</w:t>
            </w:r>
          </w:p>
        </w:tc>
        <w:tc>
          <w:tcPr>
            <w:tcW w:w="630" w:type="dxa"/>
          </w:tcPr>
          <w:p w:rsidR="003025D4" w:rsidRPr="00E84B16" w:rsidRDefault="003025D4" w:rsidP="00097D7D">
            <w:pPr>
              <w:pStyle w:val="NormalWeb"/>
              <w:spacing w:before="0" w:after="0"/>
              <w:ind w:left="0"/>
              <w:rPr>
                <w:rFonts w:asciiTheme="minorHAnsi" w:hAnsiTheme="minorHAnsi" w:cstheme="minorHAnsi"/>
                <w:sz w:val="20"/>
                <w:szCs w:val="20"/>
                <w:highlight w:val="yellow"/>
              </w:rPr>
            </w:pPr>
            <w:r w:rsidRPr="00E84B16">
              <w:rPr>
                <w:rFonts w:asciiTheme="minorHAnsi" w:hAnsiTheme="minorHAnsi" w:cstheme="minorHAnsi"/>
                <w:strike/>
                <w:sz w:val="20"/>
                <w:szCs w:val="20"/>
                <w:highlight w:val="yellow"/>
              </w:rPr>
              <w:t xml:space="preserve">Y </w:t>
            </w:r>
            <w:r w:rsidRPr="00E84B16">
              <w:rPr>
                <w:rFonts w:asciiTheme="minorHAnsi" w:hAnsiTheme="minorHAnsi" w:cstheme="minorHAnsi"/>
                <w:color w:val="FF0000"/>
                <w:sz w:val="20"/>
                <w:szCs w:val="20"/>
                <w:highlight w:val="yellow"/>
              </w:rPr>
              <w:t>N</w:t>
            </w:r>
          </w:p>
        </w:tc>
        <w:tc>
          <w:tcPr>
            <w:tcW w:w="538" w:type="dxa"/>
          </w:tcPr>
          <w:p w:rsidR="003025D4" w:rsidRPr="00E84B16" w:rsidRDefault="003025D4" w:rsidP="00097D7D">
            <w:pPr>
              <w:pStyle w:val="NormalWeb"/>
              <w:spacing w:before="0" w:after="0"/>
              <w:ind w:left="0"/>
              <w:rPr>
                <w:rFonts w:asciiTheme="minorHAnsi" w:hAnsiTheme="minorHAnsi" w:cstheme="minorHAnsi"/>
                <w:sz w:val="20"/>
                <w:szCs w:val="20"/>
                <w:highlight w:val="yellow"/>
              </w:rPr>
            </w:pPr>
            <w:r w:rsidRPr="00E84B16">
              <w:rPr>
                <w:rFonts w:asciiTheme="minorHAnsi" w:hAnsiTheme="minorHAnsi" w:cstheme="minorHAnsi"/>
                <w:strike/>
                <w:sz w:val="20"/>
                <w:szCs w:val="20"/>
                <w:highlight w:val="yellow"/>
              </w:rPr>
              <w:t xml:space="preserve">Y </w:t>
            </w:r>
            <w:r w:rsidRPr="00E84B16">
              <w:rPr>
                <w:rFonts w:asciiTheme="minorHAnsi" w:hAnsiTheme="minorHAnsi" w:cstheme="minorHAnsi"/>
                <w:color w:val="FF0000"/>
                <w:sz w:val="20"/>
                <w:szCs w:val="20"/>
                <w:highlight w:val="yellow"/>
              </w:rPr>
              <w:t>N</w:t>
            </w: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Fee paid to a broker for services provided.</w:t>
            </w:r>
          </w:p>
        </w:tc>
        <w:tc>
          <w:tcPr>
            <w:tcW w:w="2442" w:type="dxa"/>
          </w:tcPr>
          <w:p w:rsidR="003025D4" w:rsidRPr="001C6F08" w:rsidRDefault="003025D4" w:rsidP="00097D7D">
            <w:pPr>
              <w:pStyle w:val="NormalWeb"/>
              <w:spacing w:before="0" w:after="0"/>
              <w:ind w:left="0"/>
              <w:rPr>
                <w:rFonts w:asciiTheme="minorHAnsi" w:hAnsiTheme="minorHAnsi" w:cstheme="minorHAnsi"/>
                <w:i/>
                <w:sz w:val="20"/>
                <w:szCs w:val="20"/>
              </w:rPr>
            </w:pPr>
            <w:r w:rsidRPr="001C6F08">
              <w:rPr>
                <w:rFonts w:asciiTheme="minorHAnsi" w:hAnsiTheme="minorHAnsi" w:cstheme="minorHAnsi"/>
                <w:i/>
                <w:sz w:val="20"/>
                <w:szCs w:val="20"/>
              </w:rPr>
              <w:t>USE CHAR INSTEAD</w:t>
            </w: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CBCH</w:t>
            </w:r>
          </w:p>
        </w:tc>
        <w:tc>
          <w:tcPr>
            <w:tcW w:w="1620" w:type="dxa"/>
          </w:tcPr>
          <w:p w:rsidR="003025D4" w:rsidRPr="00B36D0D" w:rsidRDefault="003025D4" w:rsidP="00097D7D">
            <w:pPr>
              <w:pStyle w:val="NormalWeb"/>
              <w:spacing w:before="0" w:after="0"/>
              <w:ind w:left="0"/>
              <w:rPr>
                <w:rFonts w:asciiTheme="minorHAnsi" w:hAnsiTheme="minorHAnsi" w:cstheme="minorHAnsi"/>
                <w:sz w:val="20"/>
                <w:szCs w:val="20"/>
              </w:rPr>
            </w:pPr>
            <w:r w:rsidRPr="00706662">
              <w:rPr>
                <w:rFonts w:asciiTheme="minorHAnsi" w:hAnsiTheme="minorHAnsi" w:cstheme="minorHAnsi"/>
                <w:sz w:val="20"/>
                <w:szCs w:val="20"/>
              </w:rPr>
              <w:t>Correspondent Bank Charge</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630" w:type="dxa"/>
          </w:tcPr>
          <w:p w:rsidR="003025D4" w:rsidRPr="00B36D0D" w:rsidRDefault="003025D4" w:rsidP="00097D7D">
            <w:pPr>
              <w:pStyle w:val="NormalWeb"/>
              <w:spacing w:before="0" w:after="0"/>
              <w:ind w:left="0"/>
              <w:rPr>
                <w:rFonts w:asciiTheme="minorHAnsi" w:hAnsiTheme="minorHAnsi" w:cstheme="minorHAnsi"/>
                <w:sz w:val="20"/>
                <w:szCs w:val="20"/>
              </w:rPr>
            </w:pPr>
            <w:r w:rsidRPr="00E84B16">
              <w:rPr>
                <w:rFonts w:asciiTheme="minorHAnsi" w:hAnsiTheme="minorHAnsi" w:cstheme="minorHAnsi"/>
                <w:strike/>
                <w:sz w:val="20"/>
                <w:szCs w:val="20"/>
                <w:highlight w:val="yellow"/>
              </w:rPr>
              <w:t xml:space="preserve">Y </w:t>
            </w:r>
            <w:r w:rsidRPr="00E84B16">
              <w:rPr>
                <w:rFonts w:asciiTheme="minorHAnsi" w:hAnsiTheme="minorHAnsi" w:cstheme="minorHAnsi"/>
                <w:color w:val="FF0000"/>
                <w:sz w:val="20"/>
                <w:szCs w:val="20"/>
                <w:highlight w:val="yellow"/>
              </w:rPr>
              <w:t>N</w:t>
            </w:r>
          </w:p>
        </w:tc>
        <w:tc>
          <w:tcPr>
            <w:tcW w:w="538"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In investment funds, the charge of the correspondent bank for transferring money.</w:t>
            </w:r>
          </w:p>
        </w:tc>
        <w:tc>
          <w:tcPr>
            <w:tcW w:w="2442" w:type="dxa"/>
          </w:tcPr>
          <w:p w:rsidR="003025D4" w:rsidRPr="001C6F08" w:rsidRDefault="003025D4" w:rsidP="00097D7D">
            <w:pPr>
              <w:pStyle w:val="NormalWeb"/>
              <w:spacing w:before="0" w:after="0"/>
              <w:ind w:left="0"/>
              <w:rPr>
                <w:rFonts w:asciiTheme="minorHAnsi" w:hAnsiTheme="minorHAnsi" w:cstheme="minorHAnsi"/>
                <w:i/>
                <w:sz w:val="20"/>
                <w:szCs w:val="20"/>
              </w:rPr>
            </w:pPr>
            <w:r w:rsidRPr="001C6F08">
              <w:rPr>
                <w:rFonts w:asciiTheme="minorHAnsi" w:hAnsiTheme="minorHAnsi" w:cstheme="minorHAnsi"/>
                <w:i/>
                <w:sz w:val="20"/>
                <w:szCs w:val="20"/>
              </w:rPr>
              <w:t>Minutes: Brazil was the only market that indicate</w:t>
            </w:r>
            <w:r>
              <w:rPr>
                <w:rFonts w:asciiTheme="minorHAnsi" w:hAnsiTheme="minorHAnsi" w:cstheme="minorHAnsi"/>
                <w:i/>
                <w:sz w:val="20"/>
                <w:szCs w:val="20"/>
              </w:rPr>
              <w:t>d</w:t>
            </w:r>
            <w:r w:rsidRPr="001C6F08">
              <w:rPr>
                <w:rFonts w:asciiTheme="minorHAnsi" w:hAnsiTheme="minorHAnsi" w:cstheme="minorHAnsi"/>
                <w:i/>
                <w:sz w:val="20"/>
                <w:szCs w:val="20"/>
              </w:rPr>
              <w:t xml:space="preserve"> usage of this charge type. SMPG decided as only used in one market, global MP is ‘do not use’</w:t>
            </w: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CDSC</w:t>
            </w:r>
          </w:p>
        </w:tc>
        <w:tc>
          <w:tcPr>
            <w:tcW w:w="1620" w:type="dxa"/>
          </w:tcPr>
          <w:p w:rsidR="003025D4" w:rsidRPr="00B36D0D" w:rsidRDefault="003025D4" w:rsidP="00097D7D">
            <w:pPr>
              <w:pStyle w:val="NormalWeb"/>
              <w:spacing w:before="0" w:after="0"/>
              <w:ind w:left="0"/>
              <w:rPr>
                <w:rFonts w:asciiTheme="minorHAnsi" w:hAnsiTheme="minorHAnsi" w:cstheme="minorHAnsi"/>
                <w:sz w:val="20"/>
                <w:szCs w:val="20"/>
              </w:rPr>
            </w:pPr>
            <w:r w:rsidRPr="00587518">
              <w:rPr>
                <w:rFonts w:asciiTheme="minorHAnsi" w:hAnsiTheme="minorHAnsi" w:cstheme="minorHAnsi"/>
                <w:strike/>
                <w:color w:val="FF0000"/>
                <w:sz w:val="20"/>
                <w:szCs w:val="20"/>
              </w:rPr>
              <w:t>Contingency</w:t>
            </w:r>
            <w:r>
              <w:rPr>
                <w:rFonts w:asciiTheme="minorHAnsi" w:hAnsiTheme="minorHAnsi" w:cstheme="minorHAnsi"/>
                <w:sz w:val="20"/>
                <w:szCs w:val="20"/>
              </w:rPr>
              <w:t xml:space="preserve"> Contingent</w:t>
            </w:r>
            <w:r w:rsidRPr="00462302">
              <w:rPr>
                <w:rFonts w:asciiTheme="minorHAnsi" w:hAnsiTheme="minorHAnsi" w:cstheme="minorHAnsi"/>
                <w:sz w:val="20"/>
                <w:szCs w:val="20"/>
              </w:rPr>
              <w:t xml:space="preserve"> Deferred Sales Charge</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63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38"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Deferred sales charge.</w:t>
            </w:r>
          </w:p>
        </w:tc>
        <w:tc>
          <w:tcPr>
            <w:tcW w:w="2442"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Deferred sales charge paid</w:t>
            </w:r>
            <w:r w:rsidRPr="00B36D0D">
              <w:rPr>
                <w:rFonts w:asciiTheme="minorHAnsi" w:hAnsiTheme="minorHAnsi" w:cstheme="minorHAnsi"/>
                <w:sz w:val="20"/>
                <w:szCs w:val="20"/>
              </w:rPr>
              <w:t xml:space="preserve"> by the investor </w:t>
            </w:r>
            <w:r>
              <w:rPr>
                <w:rFonts w:asciiTheme="minorHAnsi" w:hAnsiTheme="minorHAnsi" w:cstheme="minorHAnsi"/>
                <w:sz w:val="20"/>
                <w:szCs w:val="20"/>
              </w:rPr>
              <w:t>to the fund or fund management company when redeeming.</w:t>
            </w: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CHAR</w:t>
            </w:r>
          </w:p>
        </w:tc>
        <w:tc>
          <w:tcPr>
            <w:tcW w:w="1620" w:type="dxa"/>
          </w:tcPr>
          <w:p w:rsidR="003025D4" w:rsidRPr="00B36D0D" w:rsidRDefault="003025D4" w:rsidP="00097D7D">
            <w:pPr>
              <w:pStyle w:val="NormalWeb"/>
              <w:spacing w:before="0" w:after="0"/>
              <w:ind w:left="0"/>
              <w:rPr>
                <w:rFonts w:asciiTheme="minorHAnsi" w:hAnsiTheme="minorHAnsi" w:cstheme="minorHAnsi"/>
                <w:sz w:val="20"/>
                <w:szCs w:val="20"/>
              </w:rPr>
            </w:pPr>
            <w:r w:rsidRPr="00706662">
              <w:rPr>
                <w:rFonts w:asciiTheme="minorHAnsi" w:hAnsiTheme="minorHAnsi" w:cstheme="minorHAnsi"/>
                <w:sz w:val="20"/>
                <w:szCs w:val="20"/>
              </w:rPr>
              <w:t>Service Provision Fee</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63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538"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Fee paid for the provision of financial services.</w:t>
            </w:r>
          </w:p>
        </w:tc>
        <w:tc>
          <w:tcPr>
            <w:tcW w:w="244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Fee paid by the investor</w:t>
            </w:r>
            <w:r>
              <w:rPr>
                <w:rFonts w:asciiTheme="minorHAnsi" w:hAnsiTheme="minorHAnsi" w:cstheme="minorHAnsi"/>
                <w:sz w:val="20"/>
                <w:szCs w:val="20"/>
              </w:rPr>
              <w:t xml:space="preserve"> to a distributor/intermediary or other service provider </w:t>
            </w:r>
            <w:r w:rsidRPr="00B36D0D">
              <w:rPr>
                <w:rFonts w:asciiTheme="minorHAnsi" w:hAnsiTheme="minorHAnsi" w:cstheme="minorHAnsi"/>
                <w:sz w:val="20"/>
                <w:szCs w:val="20"/>
              </w:rPr>
              <w:t xml:space="preserve">for the </w:t>
            </w:r>
            <w:r>
              <w:rPr>
                <w:rFonts w:asciiTheme="minorHAnsi" w:hAnsiTheme="minorHAnsi" w:cstheme="minorHAnsi"/>
                <w:sz w:val="20"/>
                <w:szCs w:val="20"/>
              </w:rPr>
              <w:t>provision of financial services.</w:t>
            </w: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lastRenderedPageBreak/>
              <w:t>DISC</w:t>
            </w:r>
          </w:p>
        </w:tc>
        <w:tc>
          <w:tcPr>
            <w:tcW w:w="1620" w:type="dxa"/>
          </w:tcPr>
          <w:p w:rsidR="003025D4" w:rsidRPr="00B36D0D" w:rsidRDefault="003025D4" w:rsidP="00097D7D">
            <w:pPr>
              <w:pStyle w:val="NormalWeb"/>
              <w:spacing w:before="0" w:after="0"/>
              <w:ind w:left="0"/>
              <w:rPr>
                <w:rFonts w:asciiTheme="minorHAnsi" w:hAnsiTheme="minorHAnsi" w:cstheme="minorHAnsi"/>
                <w:sz w:val="20"/>
                <w:szCs w:val="20"/>
              </w:rPr>
            </w:pPr>
            <w:r w:rsidRPr="00706662">
              <w:rPr>
                <w:rFonts w:asciiTheme="minorHAnsi" w:hAnsiTheme="minorHAnsi" w:cstheme="minorHAnsi"/>
                <w:sz w:val="20"/>
                <w:szCs w:val="20"/>
              </w:rPr>
              <w:t>Discount</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63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538"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Charge that has been reduced from the standard initial charge levied by a fund, eg, during a launch period or as negotiated by a funds supermarket / discount broker.</w:t>
            </w:r>
          </w:p>
        </w:tc>
        <w:tc>
          <w:tcPr>
            <w:tcW w:w="2442" w:type="dxa"/>
          </w:tcPr>
          <w:p w:rsidR="003025D4"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Usage Information (order)</w:t>
            </w:r>
          </w:p>
          <w:p w:rsidR="003025D4"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Example:</w:t>
            </w:r>
          </w:p>
          <w:p w:rsidR="003025D4"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Initial charge = 3%</w:t>
            </w:r>
          </w:p>
          <w:p w:rsidR="003025D4"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Discount = 2%</w:t>
            </w:r>
          </w:p>
          <w:p w:rsidR="003025D4"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Effective charge is 1%</w:t>
            </w:r>
          </w:p>
          <w:p w:rsidR="003025D4"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Type is DISC, rate is 2.</w:t>
            </w:r>
          </w:p>
          <w:p w:rsidR="003025D4" w:rsidRPr="00B36D0D" w:rsidRDefault="003025D4" w:rsidP="00097D7D">
            <w:pPr>
              <w:pStyle w:val="NormalWeb"/>
              <w:spacing w:before="0" w:after="0"/>
              <w:ind w:left="0"/>
              <w:rPr>
                <w:rFonts w:asciiTheme="minorHAnsi" w:hAnsiTheme="minorHAnsi" w:cstheme="minorHAnsi"/>
                <w:sz w:val="20"/>
                <w:szCs w:val="20"/>
              </w:rPr>
            </w:pP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p>
        </w:tc>
        <w:tc>
          <w:tcPr>
            <w:tcW w:w="1620" w:type="dxa"/>
          </w:tcPr>
          <w:p w:rsidR="003025D4" w:rsidRPr="00706662" w:rsidRDefault="003025D4" w:rsidP="00097D7D">
            <w:pPr>
              <w:pStyle w:val="NormalWeb"/>
              <w:spacing w:before="0" w:after="0"/>
              <w:ind w:left="0"/>
              <w:rPr>
                <w:rFonts w:asciiTheme="minorHAnsi" w:hAnsiTheme="minorHAnsi" w:cstheme="minorHAnsi"/>
                <w:sz w:val="20"/>
                <w:szCs w:val="20"/>
              </w:rPr>
            </w:pPr>
          </w:p>
        </w:tc>
        <w:tc>
          <w:tcPr>
            <w:tcW w:w="540" w:type="dxa"/>
          </w:tcPr>
          <w:p w:rsidR="003025D4" w:rsidRDefault="003025D4" w:rsidP="00097D7D">
            <w:pPr>
              <w:pStyle w:val="NormalWeb"/>
              <w:spacing w:before="0" w:after="0"/>
              <w:ind w:left="0"/>
              <w:rPr>
                <w:rFonts w:asciiTheme="minorHAnsi" w:hAnsiTheme="minorHAnsi" w:cstheme="minorHAnsi"/>
                <w:sz w:val="20"/>
                <w:szCs w:val="20"/>
              </w:rPr>
            </w:pPr>
          </w:p>
        </w:tc>
        <w:tc>
          <w:tcPr>
            <w:tcW w:w="540" w:type="dxa"/>
          </w:tcPr>
          <w:p w:rsidR="003025D4" w:rsidRDefault="003025D4" w:rsidP="00097D7D">
            <w:pPr>
              <w:pStyle w:val="NormalWeb"/>
              <w:spacing w:before="0" w:after="0"/>
              <w:ind w:left="0"/>
              <w:rPr>
                <w:rFonts w:asciiTheme="minorHAnsi" w:hAnsiTheme="minorHAnsi" w:cstheme="minorHAnsi"/>
                <w:sz w:val="20"/>
                <w:szCs w:val="20"/>
              </w:rPr>
            </w:pPr>
          </w:p>
        </w:tc>
        <w:tc>
          <w:tcPr>
            <w:tcW w:w="630" w:type="dxa"/>
          </w:tcPr>
          <w:p w:rsidR="003025D4" w:rsidRDefault="003025D4" w:rsidP="00097D7D">
            <w:pPr>
              <w:pStyle w:val="NormalWeb"/>
              <w:spacing w:before="0" w:after="0"/>
              <w:ind w:left="0"/>
              <w:rPr>
                <w:rFonts w:asciiTheme="minorHAnsi" w:hAnsiTheme="minorHAnsi" w:cstheme="minorHAnsi"/>
                <w:sz w:val="20"/>
                <w:szCs w:val="20"/>
              </w:rPr>
            </w:pPr>
          </w:p>
        </w:tc>
        <w:tc>
          <w:tcPr>
            <w:tcW w:w="538" w:type="dxa"/>
          </w:tcPr>
          <w:p w:rsidR="003025D4" w:rsidRDefault="003025D4" w:rsidP="00097D7D">
            <w:pPr>
              <w:pStyle w:val="NormalWeb"/>
              <w:spacing w:before="0" w:after="0"/>
              <w:ind w:left="0"/>
              <w:rPr>
                <w:rFonts w:asciiTheme="minorHAnsi" w:hAnsiTheme="minorHAnsi" w:cstheme="minorHAnsi"/>
                <w:sz w:val="20"/>
                <w:szCs w:val="20"/>
              </w:rPr>
            </w:pP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p>
        </w:tc>
        <w:tc>
          <w:tcPr>
            <w:tcW w:w="2442" w:type="dxa"/>
          </w:tcPr>
          <w:p w:rsidR="003025D4" w:rsidRDefault="003025D4" w:rsidP="004756C3">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 xml:space="preserve">Usage Information (confirmation – </w:t>
            </w:r>
            <w:r w:rsidRPr="008E5B31">
              <w:rPr>
                <w:rFonts w:asciiTheme="minorHAnsi" w:hAnsiTheme="minorHAnsi" w:cstheme="minorHAnsi"/>
                <w:b/>
                <w:i/>
                <w:sz w:val="20"/>
                <w:szCs w:val="20"/>
                <w:highlight w:val="yellow"/>
              </w:rPr>
              <w:t>needs to be confirmed</w:t>
            </w:r>
            <w:r w:rsidRPr="008E5B31">
              <w:rPr>
                <w:rFonts w:asciiTheme="minorHAnsi" w:hAnsiTheme="minorHAnsi" w:cstheme="minorHAnsi"/>
                <w:sz w:val="20"/>
                <w:szCs w:val="20"/>
                <w:highlight w:val="yellow"/>
              </w:rPr>
              <w:t>)</w:t>
            </w:r>
          </w:p>
          <w:p w:rsidR="003025D4" w:rsidRDefault="003025D4" w:rsidP="004756C3">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Example:</w:t>
            </w:r>
          </w:p>
          <w:p w:rsidR="003025D4" w:rsidRPr="004756C3" w:rsidRDefault="003025D4" w:rsidP="004756C3">
            <w:pPr>
              <w:pStyle w:val="NormalWeb"/>
              <w:spacing w:before="0" w:after="0"/>
              <w:ind w:left="0"/>
              <w:rPr>
                <w:rFonts w:asciiTheme="minorHAnsi" w:hAnsiTheme="minorHAnsi" w:cstheme="minorHAnsi"/>
                <w:sz w:val="20"/>
                <w:szCs w:val="20"/>
                <w:lang w:val="fr-BE"/>
              </w:rPr>
            </w:pPr>
            <w:r w:rsidRPr="004756C3">
              <w:rPr>
                <w:rFonts w:asciiTheme="minorHAnsi" w:hAnsiTheme="minorHAnsi" w:cstheme="minorHAnsi"/>
                <w:sz w:val="20"/>
                <w:szCs w:val="20"/>
                <w:lang w:val="fr-BE"/>
              </w:rPr>
              <w:t>Initial charge = EUR 100</w:t>
            </w:r>
          </w:p>
          <w:p w:rsidR="003025D4" w:rsidRPr="004756C3" w:rsidRDefault="003025D4" w:rsidP="004756C3">
            <w:pPr>
              <w:pStyle w:val="NormalWeb"/>
              <w:spacing w:before="0" w:after="0"/>
              <w:ind w:left="0"/>
              <w:rPr>
                <w:rFonts w:asciiTheme="minorHAnsi" w:hAnsiTheme="minorHAnsi" w:cstheme="minorHAnsi"/>
                <w:sz w:val="20"/>
                <w:szCs w:val="20"/>
                <w:lang w:val="fr-BE"/>
              </w:rPr>
            </w:pPr>
            <w:r w:rsidRPr="004756C3">
              <w:rPr>
                <w:rFonts w:asciiTheme="minorHAnsi" w:hAnsiTheme="minorHAnsi" w:cstheme="minorHAnsi"/>
                <w:sz w:val="20"/>
                <w:szCs w:val="20"/>
                <w:lang w:val="fr-BE"/>
              </w:rPr>
              <w:t>Discount = EUR 30</w:t>
            </w:r>
          </w:p>
          <w:p w:rsidR="003025D4" w:rsidRDefault="003025D4" w:rsidP="004756C3">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Effective charge is EUR 70</w:t>
            </w:r>
          </w:p>
          <w:p w:rsidR="003025D4" w:rsidRDefault="003025D4" w:rsidP="004756C3">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Type is DISC, amount  is EUR 30.</w:t>
            </w:r>
          </w:p>
          <w:p w:rsidR="003025D4" w:rsidRPr="00B36D0D" w:rsidRDefault="003025D4" w:rsidP="00097D7D">
            <w:pPr>
              <w:pStyle w:val="NormalWeb"/>
              <w:spacing w:before="0" w:after="0"/>
              <w:ind w:left="0"/>
              <w:rPr>
                <w:rFonts w:asciiTheme="minorHAnsi" w:hAnsiTheme="minorHAnsi" w:cstheme="minorHAnsi"/>
                <w:sz w:val="20"/>
                <w:szCs w:val="20"/>
              </w:rPr>
            </w:pP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DLEV</w:t>
            </w:r>
          </w:p>
        </w:tc>
        <w:tc>
          <w:tcPr>
            <w:tcW w:w="1620" w:type="dxa"/>
          </w:tcPr>
          <w:p w:rsidR="003025D4" w:rsidRPr="00B36D0D" w:rsidRDefault="003025D4" w:rsidP="00097D7D">
            <w:pPr>
              <w:pStyle w:val="NormalWeb"/>
              <w:spacing w:before="0" w:after="0"/>
              <w:ind w:left="0"/>
              <w:rPr>
                <w:rFonts w:asciiTheme="minorHAnsi" w:hAnsiTheme="minorHAnsi" w:cstheme="minorHAnsi"/>
                <w:sz w:val="20"/>
                <w:szCs w:val="20"/>
              </w:rPr>
            </w:pPr>
            <w:r w:rsidRPr="00706662">
              <w:rPr>
                <w:rFonts w:asciiTheme="minorHAnsi" w:hAnsiTheme="minorHAnsi" w:cstheme="minorHAnsi"/>
                <w:sz w:val="20"/>
                <w:szCs w:val="20"/>
              </w:rPr>
              <w:t>DilutionLevy</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63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538"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In investment funds, a charge payable by the investor covering bid-offer spreads and dealing charges for the underlying investments. The dilution levy is paid to the fund for the benefit of other unit holders.</w:t>
            </w:r>
          </w:p>
        </w:tc>
        <w:tc>
          <w:tcPr>
            <w:tcW w:w="2442" w:type="dxa"/>
          </w:tcPr>
          <w:p w:rsidR="003025D4" w:rsidRPr="00B36D0D" w:rsidRDefault="003025D4" w:rsidP="00097D7D">
            <w:pPr>
              <w:pStyle w:val="NormalWeb"/>
              <w:spacing w:before="0" w:after="0"/>
              <w:ind w:left="0"/>
              <w:rPr>
                <w:rFonts w:asciiTheme="minorHAnsi" w:hAnsiTheme="minorHAnsi" w:cstheme="minorHAnsi"/>
                <w:sz w:val="20"/>
                <w:szCs w:val="20"/>
              </w:rPr>
            </w:pP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FEND</w:t>
            </w:r>
          </w:p>
        </w:tc>
        <w:tc>
          <w:tcPr>
            <w:tcW w:w="1620" w:type="dxa"/>
          </w:tcPr>
          <w:p w:rsidR="003025D4" w:rsidRPr="00B36D0D" w:rsidRDefault="003025D4" w:rsidP="00097D7D">
            <w:pPr>
              <w:pStyle w:val="NormalWeb"/>
              <w:spacing w:before="0" w:after="0"/>
              <w:ind w:left="0"/>
              <w:rPr>
                <w:rFonts w:asciiTheme="minorHAnsi" w:hAnsiTheme="minorHAnsi" w:cstheme="minorHAnsi"/>
                <w:sz w:val="20"/>
                <w:szCs w:val="20"/>
              </w:rPr>
            </w:pPr>
            <w:r w:rsidRPr="00706662">
              <w:rPr>
                <w:rFonts w:asciiTheme="minorHAnsi" w:hAnsiTheme="minorHAnsi" w:cstheme="minorHAnsi"/>
                <w:sz w:val="20"/>
                <w:szCs w:val="20"/>
              </w:rPr>
              <w:t>FrontEndLoad</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63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538"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Sales charge paid immediately by the investor when subscribing to an investment such as an investment fund.</w:t>
            </w:r>
          </w:p>
        </w:tc>
        <w:tc>
          <w:tcPr>
            <w:tcW w:w="2442"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Charge paid</w:t>
            </w:r>
            <w:r w:rsidRPr="00B36D0D">
              <w:rPr>
                <w:rFonts w:asciiTheme="minorHAnsi" w:hAnsiTheme="minorHAnsi" w:cstheme="minorHAnsi"/>
                <w:sz w:val="20"/>
                <w:szCs w:val="20"/>
              </w:rPr>
              <w:t xml:space="preserve"> by the investor </w:t>
            </w:r>
            <w:r>
              <w:rPr>
                <w:rFonts w:asciiTheme="minorHAnsi" w:hAnsiTheme="minorHAnsi" w:cstheme="minorHAnsi"/>
                <w:sz w:val="20"/>
                <w:szCs w:val="20"/>
              </w:rPr>
              <w:t>to the fund or fund management company when subscribing.</w:t>
            </w: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INIT</w:t>
            </w:r>
          </w:p>
        </w:tc>
        <w:tc>
          <w:tcPr>
            <w:tcW w:w="1620" w:type="dxa"/>
          </w:tcPr>
          <w:p w:rsidR="003025D4" w:rsidRPr="00B36D0D" w:rsidRDefault="003025D4" w:rsidP="00097D7D">
            <w:pPr>
              <w:pStyle w:val="NormalWeb"/>
              <w:spacing w:before="0" w:after="0"/>
              <w:ind w:left="0"/>
              <w:rPr>
                <w:rFonts w:asciiTheme="minorHAnsi" w:hAnsiTheme="minorHAnsi" w:cstheme="minorHAnsi"/>
                <w:sz w:val="20"/>
                <w:szCs w:val="20"/>
              </w:rPr>
            </w:pPr>
            <w:r w:rsidRPr="00706662">
              <w:rPr>
                <w:rFonts w:asciiTheme="minorHAnsi" w:hAnsiTheme="minorHAnsi" w:cstheme="minorHAnsi"/>
                <w:sz w:val="20"/>
                <w:szCs w:val="20"/>
              </w:rPr>
              <w:t>Initial</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63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Y</w:t>
            </w:r>
          </w:p>
        </w:tc>
        <w:tc>
          <w:tcPr>
            <w:tcW w:w="538"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Charge paid at the time of the first subscription.</w:t>
            </w:r>
          </w:p>
        </w:tc>
        <w:tc>
          <w:tcPr>
            <w:tcW w:w="2442" w:type="dxa"/>
          </w:tcPr>
          <w:p w:rsidR="003025D4" w:rsidRPr="00B36D0D" w:rsidRDefault="003025D4" w:rsidP="00097D7D">
            <w:pPr>
              <w:pStyle w:val="NormalWeb"/>
              <w:spacing w:before="0" w:after="0"/>
              <w:ind w:left="0"/>
              <w:rPr>
                <w:rFonts w:asciiTheme="minorHAnsi" w:hAnsiTheme="minorHAnsi" w:cstheme="minorHAnsi"/>
                <w:sz w:val="20"/>
                <w:szCs w:val="20"/>
              </w:rPr>
            </w:pP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PENA</w:t>
            </w:r>
          </w:p>
        </w:tc>
        <w:tc>
          <w:tcPr>
            <w:tcW w:w="1620" w:type="dxa"/>
          </w:tcPr>
          <w:p w:rsidR="003025D4" w:rsidRPr="00B36D0D" w:rsidRDefault="003025D4" w:rsidP="00097D7D">
            <w:pPr>
              <w:pStyle w:val="NormalWeb"/>
              <w:spacing w:before="0" w:after="0"/>
              <w:ind w:left="0"/>
              <w:rPr>
                <w:rFonts w:asciiTheme="minorHAnsi" w:hAnsiTheme="minorHAnsi" w:cstheme="minorHAnsi"/>
                <w:sz w:val="20"/>
                <w:szCs w:val="20"/>
              </w:rPr>
            </w:pPr>
            <w:r w:rsidRPr="00706662">
              <w:rPr>
                <w:rFonts w:asciiTheme="minorHAnsi" w:hAnsiTheme="minorHAnsi" w:cstheme="minorHAnsi"/>
                <w:sz w:val="20"/>
                <w:szCs w:val="20"/>
              </w:rPr>
              <w:t>Penalty</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63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38"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Fee charged to the investor for early redemption of the fund.</w:t>
            </w:r>
          </w:p>
        </w:tc>
        <w:tc>
          <w:tcPr>
            <w:tcW w:w="2442" w:type="dxa"/>
          </w:tcPr>
          <w:p w:rsidR="003025D4" w:rsidRPr="00B36D0D" w:rsidRDefault="003025D4" w:rsidP="00097D7D">
            <w:pPr>
              <w:pStyle w:val="NormalWeb"/>
              <w:spacing w:before="0" w:after="0"/>
              <w:ind w:left="0"/>
              <w:rPr>
                <w:rFonts w:asciiTheme="minorHAnsi" w:hAnsiTheme="minorHAnsi" w:cstheme="minorHAnsi"/>
                <w:sz w:val="20"/>
                <w:szCs w:val="20"/>
              </w:rPr>
            </w:pP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POST</w:t>
            </w:r>
          </w:p>
        </w:tc>
        <w:tc>
          <w:tcPr>
            <w:tcW w:w="1620" w:type="dxa"/>
          </w:tcPr>
          <w:p w:rsidR="003025D4" w:rsidRPr="00B36D0D" w:rsidRDefault="003025D4" w:rsidP="00097D7D">
            <w:pPr>
              <w:pStyle w:val="NormalWeb"/>
              <w:spacing w:before="0" w:after="0"/>
              <w:ind w:left="0"/>
              <w:rPr>
                <w:rFonts w:asciiTheme="minorHAnsi" w:hAnsiTheme="minorHAnsi" w:cstheme="minorHAnsi"/>
                <w:sz w:val="20"/>
                <w:szCs w:val="20"/>
              </w:rPr>
            </w:pPr>
            <w:r w:rsidRPr="00706662">
              <w:rPr>
                <w:rFonts w:asciiTheme="minorHAnsi" w:hAnsiTheme="minorHAnsi" w:cstheme="minorHAnsi"/>
                <w:sz w:val="20"/>
                <w:szCs w:val="20"/>
              </w:rPr>
              <w:t>PostageCharge</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63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38"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Charge paid for the postage.</w:t>
            </w:r>
          </w:p>
        </w:tc>
        <w:tc>
          <w:tcPr>
            <w:tcW w:w="2442" w:type="dxa"/>
          </w:tcPr>
          <w:p w:rsidR="003025D4" w:rsidRPr="00B36D0D" w:rsidRDefault="003025D4" w:rsidP="00097D7D">
            <w:pPr>
              <w:pStyle w:val="NormalWeb"/>
              <w:spacing w:before="0" w:after="0"/>
              <w:ind w:left="0"/>
              <w:rPr>
                <w:rFonts w:asciiTheme="minorHAnsi" w:hAnsiTheme="minorHAnsi" w:cstheme="minorHAnsi"/>
                <w:sz w:val="20"/>
                <w:szCs w:val="20"/>
              </w:rPr>
            </w:pP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PREM</w:t>
            </w:r>
          </w:p>
        </w:tc>
        <w:tc>
          <w:tcPr>
            <w:tcW w:w="1620" w:type="dxa"/>
          </w:tcPr>
          <w:p w:rsidR="003025D4" w:rsidRPr="00B36D0D" w:rsidRDefault="003025D4" w:rsidP="00097D7D">
            <w:pPr>
              <w:pStyle w:val="NormalWeb"/>
              <w:spacing w:before="0" w:after="0"/>
              <w:ind w:left="0"/>
              <w:rPr>
                <w:rFonts w:asciiTheme="minorHAnsi" w:hAnsiTheme="minorHAnsi" w:cstheme="minorHAnsi"/>
                <w:sz w:val="20"/>
                <w:szCs w:val="20"/>
              </w:rPr>
            </w:pPr>
            <w:r w:rsidRPr="00706662">
              <w:rPr>
                <w:rFonts w:asciiTheme="minorHAnsi" w:hAnsiTheme="minorHAnsi" w:cstheme="minorHAnsi"/>
                <w:sz w:val="20"/>
                <w:szCs w:val="20"/>
              </w:rPr>
              <w:t>Premium</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63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38"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In investment funds, pre-arranged addition to the trade amount based on the published net asset value.</w:t>
            </w:r>
          </w:p>
        </w:tc>
        <w:tc>
          <w:tcPr>
            <w:tcW w:w="2442" w:type="dxa"/>
          </w:tcPr>
          <w:p w:rsidR="003025D4" w:rsidRPr="00B36D0D" w:rsidRDefault="003025D4" w:rsidP="00097D7D">
            <w:pPr>
              <w:pStyle w:val="NormalWeb"/>
              <w:spacing w:before="0" w:after="0"/>
              <w:ind w:left="0"/>
              <w:rPr>
                <w:rFonts w:asciiTheme="minorHAnsi" w:hAnsiTheme="minorHAnsi" w:cstheme="minorHAnsi"/>
                <w:sz w:val="20"/>
                <w:szCs w:val="20"/>
              </w:rPr>
            </w:pP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REGF</w:t>
            </w:r>
          </w:p>
        </w:tc>
        <w:tc>
          <w:tcPr>
            <w:tcW w:w="1620" w:type="dxa"/>
          </w:tcPr>
          <w:p w:rsidR="003025D4" w:rsidRPr="00B36D0D" w:rsidRDefault="003025D4" w:rsidP="00097D7D">
            <w:pPr>
              <w:pStyle w:val="NormalWeb"/>
              <w:spacing w:before="0" w:after="0"/>
              <w:ind w:left="0"/>
              <w:rPr>
                <w:rFonts w:asciiTheme="minorHAnsi" w:hAnsiTheme="minorHAnsi" w:cstheme="minorHAnsi"/>
                <w:sz w:val="20"/>
                <w:szCs w:val="20"/>
              </w:rPr>
            </w:pPr>
            <w:r w:rsidRPr="00587518">
              <w:rPr>
                <w:rFonts w:asciiTheme="minorHAnsi" w:hAnsiTheme="minorHAnsi" w:cstheme="minorHAnsi"/>
                <w:sz w:val="20"/>
                <w:szCs w:val="20"/>
              </w:rPr>
              <w:t>RegulatoryFee</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63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38"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Fee charged by a regulatory authority, eg, Securities and Exchange fees.</w:t>
            </w:r>
          </w:p>
        </w:tc>
        <w:tc>
          <w:tcPr>
            <w:tcW w:w="2442" w:type="dxa"/>
          </w:tcPr>
          <w:p w:rsidR="003025D4" w:rsidRPr="00B36D0D" w:rsidRDefault="003025D4" w:rsidP="00097D7D">
            <w:pPr>
              <w:pStyle w:val="NormalWeb"/>
              <w:spacing w:before="0" w:after="0"/>
              <w:ind w:left="0"/>
              <w:rPr>
                <w:rFonts w:asciiTheme="minorHAnsi" w:hAnsiTheme="minorHAnsi" w:cstheme="minorHAnsi"/>
                <w:sz w:val="20"/>
                <w:szCs w:val="20"/>
              </w:rPr>
            </w:pP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SHIP</w:t>
            </w:r>
          </w:p>
        </w:tc>
        <w:tc>
          <w:tcPr>
            <w:tcW w:w="1620" w:type="dxa"/>
          </w:tcPr>
          <w:p w:rsidR="003025D4" w:rsidRPr="00B36D0D" w:rsidRDefault="003025D4" w:rsidP="00097D7D">
            <w:pPr>
              <w:pStyle w:val="NormalWeb"/>
              <w:spacing w:before="0" w:after="0"/>
              <w:ind w:left="0"/>
              <w:rPr>
                <w:rFonts w:asciiTheme="minorHAnsi" w:hAnsiTheme="minorHAnsi" w:cstheme="minorHAnsi"/>
                <w:sz w:val="20"/>
                <w:szCs w:val="20"/>
              </w:rPr>
            </w:pPr>
            <w:r w:rsidRPr="00587518">
              <w:rPr>
                <w:rFonts w:asciiTheme="minorHAnsi" w:hAnsiTheme="minorHAnsi" w:cstheme="minorHAnsi"/>
                <w:sz w:val="20"/>
                <w:szCs w:val="20"/>
              </w:rPr>
              <w:t>ShippingCharge</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63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38"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 xml:space="preserve">Charge for shipping, </w:t>
            </w:r>
            <w:r w:rsidRPr="00B36D0D">
              <w:rPr>
                <w:rFonts w:asciiTheme="minorHAnsi" w:hAnsiTheme="minorHAnsi" w:cstheme="minorHAnsi"/>
                <w:sz w:val="20"/>
                <w:szCs w:val="20"/>
              </w:rPr>
              <w:lastRenderedPageBreak/>
              <w:t>including the insurance of securities.</w:t>
            </w:r>
          </w:p>
        </w:tc>
        <w:tc>
          <w:tcPr>
            <w:tcW w:w="2442" w:type="dxa"/>
          </w:tcPr>
          <w:p w:rsidR="003025D4" w:rsidRPr="00B36D0D" w:rsidRDefault="003025D4" w:rsidP="00097D7D">
            <w:pPr>
              <w:pStyle w:val="NormalWeb"/>
              <w:spacing w:before="0" w:after="0"/>
              <w:ind w:left="0"/>
              <w:rPr>
                <w:rFonts w:asciiTheme="minorHAnsi" w:hAnsiTheme="minorHAnsi" w:cstheme="minorHAnsi"/>
                <w:sz w:val="20"/>
                <w:szCs w:val="20"/>
              </w:rPr>
            </w:pP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lastRenderedPageBreak/>
              <w:t>SWIT</w:t>
            </w:r>
          </w:p>
        </w:tc>
        <w:tc>
          <w:tcPr>
            <w:tcW w:w="1620" w:type="dxa"/>
          </w:tcPr>
          <w:p w:rsidR="003025D4" w:rsidRPr="00B36D0D" w:rsidRDefault="003025D4" w:rsidP="00097D7D">
            <w:pPr>
              <w:pStyle w:val="NormalWeb"/>
              <w:spacing w:before="0" w:after="0"/>
              <w:ind w:left="0"/>
              <w:rPr>
                <w:rFonts w:asciiTheme="minorHAnsi" w:hAnsiTheme="minorHAnsi" w:cstheme="minorHAnsi"/>
                <w:sz w:val="20"/>
                <w:szCs w:val="20"/>
              </w:rPr>
            </w:pPr>
            <w:r w:rsidRPr="00587518">
              <w:rPr>
                <w:rFonts w:asciiTheme="minorHAnsi" w:hAnsiTheme="minorHAnsi" w:cstheme="minorHAnsi"/>
                <w:sz w:val="20"/>
                <w:szCs w:val="20"/>
              </w:rPr>
              <w:t>Switch</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63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38"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In investment funds, charge related to a switch transaction.</w:t>
            </w:r>
          </w:p>
        </w:tc>
        <w:tc>
          <w:tcPr>
            <w:tcW w:w="2442" w:type="dxa"/>
          </w:tcPr>
          <w:p w:rsidR="003025D4" w:rsidRPr="00B36D0D" w:rsidRDefault="003025D4" w:rsidP="00097D7D">
            <w:pPr>
              <w:pStyle w:val="NormalWeb"/>
              <w:spacing w:before="0" w:after="0"/>
              <w:ind w:left="0"/>
              <w:rPr>
                <w:rFonts w:asciiTheme="minorHAnsi" w:hAnsiTheme="minorHAnsi" w:cstheme="minorHAnsi"/>
                <w:sz w:val="20"/>
                <w:szCs w:val="20"/>
              </w:rPr>
            </w:pPr>
          </w:p>
        </w:tc>
      </w:tr>
      <w:tr w:rsidR="003025D4" w:rsidRPr="00B36D0D" w:rsidTr="008E5B31">
        <w:tc>
          <w:tcPr>
            <w:tcW w:w="720"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UCIC</w:t>
            </w:r>
          </w:p>
        </w:tc>
        <w:tc>
          <w:tcPr>
            <w:tcW w:w="1620" w:type="dxa"/>
          </w:tcPr>
          <w:p w:rsidR="003025D4" w:rsidRPr="00B36D0D" w:rsidRDefault="003025D4" w:rsidP="00097D7D">
            <w:pPr>
              <w:pStyle w:val="NormalWeb"/>
              <w:spacing w:before="0" w:after="0"/>
              <w:ind w:left="0"/>
              <w:rPr>
                <w:rFonts w:asciiTheme="minorHAnsi" w:hAnsiTheme="minorHAnsi" w:cstheme="minorHAnsi"/>
                <w:sz w:val="20"/>
                <w:szCs w:val="20"/>
              </w:rPr>
            </w:pPr>
            <w:r w:rsidRPr="00587518">
              <w:rPr>
                <w:rFonts w:asciiTheme="minorHAnsi" w:hAnsiTheme="minorHAnsi" w:cstheme="minorHAnsi"/>
                <w:sz w:val="20"/>
                <w:szCs w:val="20"/>
              </w:rPr>
              <w:t>UCITSCommission</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4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630"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538" w:type="dxa"/>
          </w:tcPr>
          <w:p w:rsidR="003025D4" w:rsidRPr="00B36D0D" w:rsidRDefault="003025D4" w:rsidP="00097D7D">
            <w:pPr>
              <w:pStyle w:val="NormalWeb"/>
              <w:spacing w:before="0" w:after="0"/>
              <w:ind w:left="0"/>
              <w:rPr>
                <w:rFonts w:asciiTheme="minorHAnsi" w:hAnsiTheme="minorHAnsi" w:cstheme="minorHAnsi"/>
                <w:sz w:val="20"/>
                <w:szCs w:val="20"/>
              </w:rPr>
            </w:pPr>
            <w:r>
              <w:rPr>
                <w:rFonts w:asciiTheme="minorHAnsi" w:hAnsiTheme="minorHAnsi" w:cstheme="minorHAnsi"/>
                <w:sz w:val="20"/>
                <w:szCs w:val="20"/>
              </w:rPr>
              <w:t>N</w:t>
            </w:r>
          </w:p>
        </w:tc>
        <w:tc>
          <w:tcPr>
            <w:tcW w:w="2182" w:type="dxa"/>
          </w:tcPr>
          <w:p w:rsidR="003025D4" w:rsidRPr="00B36D0D" w:rsidRDefault="003025D4" w:rsidP="00097D7D">
            <w:pPr>
              <w:pStyle w:val="NormalWeb"/>
              <w:spacing w:before="0" w:after="0"/>
              <w:ind w:left="0"/>
              <w:rPr>
                <w:rFonts w:asciiTheme="minorHAnsi" w:hAnsiTheme="minorHAnsi" w:cstheme="minorHAnsi"/>
                <w:sz w:val="20"/>
                <w:szCs w:val="20"/>
              </w:rPr>
            </w:pPr>
            <w:r w:rsidRPr="00B36D0D">
              <w:rPr>
                <w:rFonts w:asciiTheme="minorHAnsi" w:hAnsiTheme="minorHAnsi" w:cstheme="minorHAnsi"/>
                <w:sz w:val="20"/>
                <w:szCs w:val="20"/>
              </w:rPr>
              <w:t>Charges paid by the investor to the Fund Company for subscription and redemption orders</w:t>
            </w:r>
          </w:p>
        </w:tc>
        <w:tc>
          <w:tcPr>
            <w:tcW w:w="2442" w:type="dxa"/>
          </w:tcPr>
          <w:p w:rsidR="003025D4" w:rsidRPr="00B36D0D" w:rsidRDefault="003025D4" w:rsidP="00097D7D">
            <w:pPr>
              <w:pStyle w:val="NormalWeb"/>
              <w:spacing w:before="0" w:after="0"/>
              <w:ind w:left="0"/>
              <w:rPr>
                <w:rFonts w:asciiTheme="minorHAnsi" w:hAnsiTheme="minorHAnsi" w:cstheme="minorHAnsi"/>
                <w:sz w:val="20"/>
                <w:szCs w:val="20"/>
              </w:rPr>
            </w:pPr>
          </w:p>
        </w:tc>
      </w:tr>
    </w:tbl>
    <w:p w:rsidR="00587518" w:rsidRPr="00587518" w:rsidRDefault="00587518" w:rsidP="00462302">
      <w:pPr>
        <w:ind w:left="0"/>
        <w:rPr>
          <w:i/>
        </w:rPr>
      </w:pPr>
      <w:r w:rsidRPr="00587518">
        <w:rPr>
          <w:i/>
        </w:rPr>
        <w:t>(28 October 2013 The above changes have been implemented in MyStandards message usage guidelines. )</w:t>
      </w:r>
    </w:p>
    <w:p w:rsidR="00587518" w:rsidRDefault="00587518" w:rsidP="00462302">
      <w:pPr>
        <w:ind w:left="0"/>
      </w:pPr>
      <w:r w:rsidRPr="00587518">
        <w:rPr>
          <w:b/>
        </w:rPr>
        <w:t>Action:</w:t>
      </w:r>
      <w:r>
        <w:t xml:space="preserve"> Create change request for definition changes and code name change.</w:t>
      </w:r>
    </w:p>
    <w:p w:rsidR="00F85F2F" w:rsidRDefault="00F85F2F" w:rsidP="00F85F2F">
      <w:pPr>
        <w:pStyle w:val="Heading2"/>
      </w:pPr>
      <w:bookmarkStart w:id="26" w:name="_Toc377395916"/>
      <w:r>
        <w:t>Commission Type Codes – revised definitions</w:t>
      </w:r>
      <w:bookmarkEnd w:id="26"/>
    </w:p>
    <w:tbl>
      <w:tblPr>
        <w:tblStyle w:val="TableGrid"/>
        <w:tblW w:w="0" w:type="auto"/>
        <w:tblInd w:w="108" w:type="dxa"/>
        <w:tblLayout w:type="fixed"/>
        <w:tblLook w:val="04A0" w:firstRow="1" w:lastRow="0" w:firstColumn="1" w:lastColumn="0" w:noHBand="0" w:noVBand="1"/>
      </w:tblPr>
      <w:tblGrid>
        <w:gridCol w:w="767"/>
        <w:gridCol w:w="1213"/>
        <w:gridCol w:w="630"/>
        <w:gridCol w:w="630"/>
        <w:gridCol w:w="630"/>
        <w:gridCol w:w="720"/>
        <w:gridCol w:w="2160"/>
        <w:gridCol w:w="2430"/>
      </w:tblGrid>
      <w:tr w:rsidR="001A3F87" w:rsidRPr="001A3F87" w:rsidTr="004B37B4">
        <w:tc>
          <w:tcPr>
            <w:tcW w:w="767" w:type="dxa"/>
            <w:shd w:val="clear" w:color="auto" w:fill="D9D9D9" w:themeFill="background1" w:themeFillShade="D9"/>
          </w:tcPr>
          <w:p w:rsidR="001A3F87" w:rsidRPr="004B37B4" w:rsidRDefault="001A3F87" w:rsidP="00376B38">
            <w:pPr>
              <w:pStyle w:val="NormalWeb"/>
              <w:spacing w:before="40" w:after="40"/>
              <w:ind w:left="0"/>
              <w:rPr>
                <w:rFonts w:asciiTheme="minorHAnsi" w:hAnsiTheme="minorHAnsi" w:cstheme="minorHAnsi"/>
                <w:b/>
                <w:bCs/>
                <w:sz w:val="20"/>
                <w:szCs w:val="20"/>
              </w:rPr>
            </w:pPr>
            <w:r w:rsidRPr="004B37B4">
              <w:rPr>
                <w:rStyle w:val="label1"/>
                <w:rFonts w:asciiTheme="minorHAnsi" w:hAnsiTheme="minorHAnsi" w:cstheme="minorHAnsi"/>
                <w:sz w:val="20"/>
                <w:szCs w:val="20"/>
              </w:rPr>
              <w:t>Code</w:t>
            </w:r>
          </w:p>
        </w:tc>
        <w:tc>
          <w:tcPr>
            <w:tcW w:w="1213" w:type="dxa"/>
            <w:shd w:val="clear" w:color="auto" w:fill="D9D9D9" w:themeFill="background1" w:themeFillShade="D9"/>
          </w:tcPr>
          <w:p w:rsidR="001A3F87" w:rsidRPr="004B37B4" w:rsidRDefault="001A3F87" w:rsidP="00376B38">
            <w:pPr>
              <w:pStyle w:val="NormalWeb"/>
              <w:spacing w:before="40" w:after="40"/>
              <w:ind w:left="0"/>
              <w:rPr>
                <w:rFonts w:asciiTheme="minorHAnsi" w:hAnsiTheme="minorHAnsi" w:cstheme="minorHAnsi"/>
                <w:b/>
                <w:bCs/>
                <w:sz w:val="20"/>
                <w:szCs w:val="20"/>
              </w:rPr>
            </w:pPr>
            <w:r w:rsidRPr="004B37B4">
              <w:rPr>
                <w:rStyle w:val="label1"/>
                <w:rFonts w:asciiTheme="minorHAnsi" w:hAnsiTheme="minorHAnsi" w:cstheme="minorHAnsi"/>
                <w:sz w:val="20"/>
                <w:szCs w:val="20"/>
              </w:rPr>
              <w:t>Code Name</w:t>
            </w:r>
          </w:p>
        </w:tc>
        <w:tc>
          <w:tcPr>
            <w:tcW w:w="630" w:type="dxa"/>
            <w:shd w:val="clear" w:color="auto" w:fill="D9D9D9" w:themeFill="background1" w:themeFillShade="D9"/>
          </w:tcPr>
          <w:p w:rsidR="001A3F87" w:rsidRPr="004B37B4" w:rsidRDefault="001A3F87" w:rsidP="00376B38">
            <w:pPr>
              <w:pStyle w:val="NormalWeb"/>
              <w:spacing w:before="40" w:after="40"/>
              <w:ind w:left="0"/>
              <w:rPr>
                <w:rStyle w:val="label1"/>
                <w:rFonts w:asciiTheme="minorHAnsi" w:hAnsiTheme="minorHAnsi" w:cstheme="minorHAnsi"/>
                <w:sz w:val="20"/>
                <w:szCs w:val="20"/>
              </w:rPr>
            </w:pPr>
            <w:r w:rsidRPr="004B37B4">
              <w:rPr>
                <w:rStyle w:val="label1"/>
                <w:rFonts w:asciiTheme="minorHAnsi" w:hAnsiTheme="minorHAnsi" w:cstheme="minorHAnsi"/>
                <w:sz w:val="20"/>
                <w:szCs w:val="20"/>
              </w:rPr>
              <w:t>010</w:t>
            </w:r>
          </w:p>
        </w:tc>
        <w:tc>
          <w:tcPr>
            <w:tcW w:w="630" w:type="dxa"/>
            <w:shd w:val="clear" w:color="auto" w:fill="D9D9D9" w:themeFill="background1" w:themeFillShade="D9"/>
          </w:tcPr>
          <w:p w:rsidR="001A3F87" w:rsidRPr="004B37B4" w:rsidRDefault="001A3F87" w:rsidP="00376B38">
            <w:pPr>
              <w:pStyle w:val="NormalWeb"/>
              <w:spacing w:before="40" w:after="40"/>
              <w:ind w:left="0"/>
              <w:rPr>
                <w:rStyle w:val="label1"/>
                <w:rFonts w:asciiTheme="minorHAnsi" w:hAnsiTheme="minorHAnsi" w:cstheme="minorHAnsi"/>
                <w:sz w:val="20"/>
                <w:szCs w:val="20"/>
              </w:rPr>
            </w:pPr>
            <w:r w:rsidRPr="004B37B4">
              <w:rPr>
                <w:rStyle w:val="label1"/>
                <w:rFonts w:asciiTheme="minorHAnsi" w:hAnsiTheme="minorHAnsi" w:cstheme="minorHAnsi"/>
                <w:sz w:val="20"/>
                <w:szCs w:val="20"/>
              </w:rPr>
              <w:t>004</w:t>
            </w:r>
          </w:p>
        </w:tc>
        <w:tc>
          <w:tcPr>
            <w:tcW w:w="630" w:type="dxa"/>
            <w:shd w:val="clear" w:color="auto" w:fill="D9D9D9" w:themeFill="background1" w:themeFillShade="D9"/>
          </w:tcPr>
          <w:p w:rsidR="001A3F87" w:rsidRPr="004B37B4" w:rsidRDefault="001A3F87" w:rsidP="00376B38">
            <w:pPr>
              <w:pStyle w:val="NormalWeb"/>
              <w:spacing w:before="40" w:after="40"/>
              <w:ind w:left="0"/>
              <w:rPr>
                <w:rStyle w:val="label1"/>
                <w:rFonts w:asciiTheme="minorHAnsi" w:hAnsiTheme="minorHAnsi" w:cstheme="minorHAnsi"/>
                <w:sz w:val="20"/>
                <w:szCs w:val="20"/>
              </w:rPr>
            </w:pPr>
            <w:r w:rsidRPr="004B37B4">
              <w:rPr>
                <w:rStyle w:val="label1"/>
                <w:rFonts w:asciiTheme="minorHAnsi" w:hAnsiTheme="minorHAnsi" w:cstheme="minorHAnsi"/>
                <w:sz w:val="20"/>
                <w:szCs w:val="20"/>
              </w:rPr>
              <w:t>012</w:t>
            </w:r>
          </w:p>
        </w:tc>
        <w:tc>
          <w:tcPr>
            <w:tcW w:w="720" w:type="dxa"/>
            <w:shd w:val="clear" w:color="auto" w:fill="D9D9D9" w:themeFill="background1" w:themeFillShade="D9"/>
          </w:tcPr>
          <w:p w:rsidR="001A3F87" w:rsidRPr="004B37B4" w:rsidRDefault="001A3F87" w:rsidP="00376B38">
            <w:pPr>
              <w:pStyle w:val="NormalWeb"/>
              <w:spacing w:before="40" w:after="40"/>
              <w:ind w:left="0"/>
              <w:rPr>
                <w:rStyle w:val="label1"/>
                <w:rFonts w:asciiTheme="minorHAnsi" w:hAnsiTheme="minorHAnsi" w:cstheme="minorHAnsi"/>
                <w:sz w:val="20"/>
                <w:szCs w:val="20"/>
              </w:rPr>
            </w:pPr>
            <w:r w:rsidRPr="004B37B4">
              <w:rPr>
                <w:rStyle w:val="label1"/>
                <w:rFonts w:asciiTheme="minorHAnsi" w:hAnsiTheme="minorHAnsi" w:cstheme="minorHAnsi"/>
                <w:sz w:val="20"/>
                <w:szCs w:val="20"/>
              </w:rPr>
              <w:t>006</w:t>
            </w:r>
          </w:p>
        </w:tc>
        <w:tc>
          <w:tcPr>
            <w:tcW w:w="2160" w:type="dxa"/>
            <w:shd w:val="clear" w:color="auto" w:fill="D9D9D9" w:themeFill="background1" w:themeFillShade="D9"/>
          </w:tcPr>
          <w:p w:rsidR="001A3F87" w:rsidRPr="004B37B4" w:rsidRDefault="001A3F87" w:rsidP="00376B38">
            <w:pPr>
              <w:pStyle w:val="NormalWeb"/>
              <w:spacing w:before="40" w:after="40"/>
              <w:ind w:left="0"/>
              <w:rPr>
                <w:rFonts w:asciiTheme="minorHAnsi" w:hAnsiTheme="minorHAnsi" w:cstheme="minorHAnsi"/>
                <w:b/>
                <w:bCs/>
                <w:sz w:val="20"/>
                <w:szCs w:val="20"/>
              </w:rPr>
            </w:pPr>
            <w:r w:rsidRPr="004B37B4">
              <w:rPr>
                <w:rStyle w:val="label1"/>
                <w:rFonts w:asciiTheme="minorHAnsi" w:hAnsiTheme="minorHAnsi" w:cstheme="minorHAnsi"/>
                <w:sz w:val="20"/>
                <w:szCs w:val="20"/>
              </w:rPr>
              <w:t>Current Definition</w:t>
            </w:r>
          </w:p>
        </w:tc>
        <w:tc>
          <w:tcPr>
            <w:tcW w:w="2430" w:type="dxa"/>
            <w:shd w:val="clear" w:color="auto" w:fill="D9D9D9" w:themeFill="background1" w:themeFillShade="D9"/>
          </w:tcPr>
          <w:p w:rsidR="001A3F87" w:rsidRPr="004B37B4" w:rsidRDefault="001A3F87" w:rsidP="00376B38">
            <w:pPr>
              <w:pStyle w:val="NormalWeb"/>
              <w:spacing w:before="40" w:after="40"/>
              <w:ind w:left="0"/>
              <w:rPr>
                <w:rStyle w:val="label1"/>
                <w:rFonts w:asciiTheme="minorHAnsi" w:hAnsiTheme="minorHAnsi" w:cstheme="minorHAnsi"/>
                <w:sz w:val="20"/>
                <w:szCs w:val="20"/>
              </w:rPr>
            </w:pPr>
            <w:r w:rsidRPr="004B37B4">
              <w:rPr>
                <w:rStyle w:val="label1"/>
                <w:rFonts w:asciiTheme="minorHAnsi" w:hAnsiTheme="minorHAnsi" w:cstheme="minorHAnsi"/>
                <w:sz w:val="20"/>
                <w:szCs w:val="20"/>
              </w:rPr>
              <w:t>Rev</w:t>
            </w:r>
            <w:r w:rsidR="00091D45" w:rsidRPr="004B37B4">
              <w:rPr>
                <w:rStyle w:val="label1"/>
                <w:rFonts w:asciiTheme="minorHAnsi" w:hAnsiTheme="minorHAnsi" w:cstheme="minorHAnsi"/>
                <w:sz w:val="20"/>
                <w:szCs w:val="20"/>
              </w:rPr>
              <w:t>ised</w:t>
            </w:r>
            <w:r w:rsidRPr="004B37B4">
              <w:rPr>
                <w:rStyle w:val="label1"/>
                <w:rFonts w:asciiTheme="minorHAnsi" w:hAnsiTheme="minorHAnsi" w:cstheme="minorHAnsi"/>
                <w:sz w:val="20"/>
                <w:szCs w:val="20"/>
              </w:rPr>
              <w:t xml:space="preserve"> Definition</w:t>
            </w:r>
          </w:p>
        </w:tc>
      </w:tr>
      <w:tr w:rsidR="001A3F87" w:rsidRPr="001A3F87" w:rsidTr="001A3F87">
        <w:tc>
          <w:tcPr>
            <w:tcW w:w="767"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BEND</w:t>
            </w:r>
          </w:p>
        </w:tc>
        <w:tc>
          <w:tcPr>
            <w:tcW w:w="1213"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BackEnd Load</w:t>
            </w:r>
          </w:p>
        </w:tc>
        <w:tc>
          <w:tcPr>
            <w:tcW w:w="630"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N</w:t>
            </w:r>
          </w:p>
        </w:tc>
        <w:tc>
          <w:tcPr>
            <w:tcW w:w="630"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Y</w:t>
            </w:r>
          </w:p>
        </w:tc>
        <w:tc>
          <w:tcPr>
            <w:tcW w:w="630"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N</w:t>
            </w:r>
          </w:p>
        </w:tc>
        <w:tc>
          <w:tcPr>
            <w:tcW w:w="720"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Y</w:t>
            </w:r>
          </w:p>
        </w:tc>
        <w:tc>
          <w:tcPr>
            <w:tcW w:w="2160"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Commission for redeeming an investment, when an investor redeems an investment fund within a certain period of time.</w:t>
            </w:r>
          </w:p>
        </w:tc>
        <w:tc>
          <w:tcPr>
            <w:tcW w:w="2430" w:type="dxa"/>
          </w:tcPr>
          <w:p w:rsidR="001A3F87" w:rsidRPr="004B37B4" w:rsidRDefault="001A3F87" w:rsidP="00376B38">
            <w:pPr>
              <w:spacing w:before="40" w:after="40"/>
              <w:ind w:left="0"/>
              <w:rPr>
                <w:rFonts w:asciiTheme="minorHAnsi" w:hAnsiTheme="minorHAnsi" w:cstheme="minorHAnsi"/>
                <w:sz w:val="20"/>
              </w:rPr>
            </w:pPr>
            <w:r w:rsidRPr="004B37B4">
              <w:rPr>
                <w:rFonts w:asciiTheme="minorHAnsi" w:hAnsiTheme="minorHAnsi" w:cstheme="minorHAnsi"/>
                <w:sz w:val="20"/>
              </w:rPr>
              <w:t>Amount of cash due to an intermediary for selling a product, or services, to a third party paid by the fund or fund management company.</w:t>
            </w:r>
          </w:p>
        </w:tc>
      </w:tr>
      <w:tr w:rsidR="001A3F87" w:rsidRPr="001A3F87" w:rsidTr="001A3F87">
        <w:tc>
          <w:tcPr>
            <w:tcW w:w="767"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CDPL</w:t>
            </w:r>
          </w:p>
        </w:tc>
        <w:tc>
          <w:tcPr>
            <w:tcW w:w="1213"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Commission De  Placement</w:t>
            </w:r>
          </w:p>
        </w:tc>
        <w:tc>
          <w:tcPr>
            <w:tcW w:w="630"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N</w:t>
            </w:r>
          </w:p>
        </w:tc>
        <w:tc>
          <w:tcPr>
            <w:tcW w:w="630"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N</w:t>
            </w:r>
          </w:p>
        </w:tc>
        <w:tc>
          <w:tcPr>
            <w:tcW w:w="630"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N</w:t>
            </w:r>
          </w:p>
        </w:tc>
        <w:tc>
          <w:tcPr>
            <w:tcW w:w="720"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N</w:t>
            </w:r>
          </w:p>
        </w:tc>
        <w:tc>
          <w:tcPr>
            <w:tcW w:w="2160"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Amount of cash due to an intermediary for selling a product, or services, to a third party.</w:t>
            </w:r>
          </w:p>
        </w:tc>
        <w:tc>
          <w:tcPr>
            <w:tcW w:w="2430" w:type="dxa"/>
          </w:tcPr>
          <w:p w:rsidR="001A3F87" w:rsidRPr="004B37B4" w:rsidRDefault="001A3F87" w:rsidP="00376B38">
            <w:pPr>
              <w:spacing w:before="40" w:after="40"/>
              <w:ind w:left="0"/>
              <w:rPr>
                <w:rFonts w:asciiTheme="minorHAnsi" w:hAnsiTheme="minorHAnsi" w:cstheme="minorHAnsi"/>
                <w:sz w:val="20"/>
              </w:rPr>
            </w:pPr>
          </w:p>
        </w:tc>
      </w:tr>
      <w:tr w:rsidR="001A3F87" w:rsidRPr="001A3F87" w:rsidTr="001A3F87">
        <w:tc>
          <w:tcPr>
            <w:tcW w:w="767"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FEND</w:t>
            </w:r>
          </w:p>
        </w:tc>
        <w:tc>
          <w:tcPr>
            <w:tcW w:w="1213"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FrontEnd Load</w:t>
            </w:r>
          </w:p>
        </w:tc>
        <w:tc>
          <w:tcPr>
            <w:tcW w:w="630"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Y</w:t>
            </w:r>
          </w:p>
        </w:tc>
        <w:tc>
          <w:tcPr>
            <w:tcW w:w="630"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N</w:t>
            </w:r>
          </w:p>
        </w:tc>
        <w:tc>
          <w:tcPr>
            <w:tcW w:w="630"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Y</w:t>
            </w:r>
          </w:p>
        </w:tc>
        <w:tc>
          <w:tcPr>
            <w:tcW w:w="720"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N</w:t>
            </w:r>
          </w:p>
        </w:tc>
        <w:tc>
          <w:tcPr>
            <w:tcW w:w="2160"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Commission for subscribing to an investment, paid at the time of the subscription.</w:t>
            </w:r>
          </w:p>
        </w:tc>
        <w:tc>
          <w:tcPr>
            <w:tcW w:w="2430" w:type="dxa"/>
          </w:tcPr>
          <w:p w:rsidR="001A3F87" w:rsidRPr="004B37B4" w:rsidRDefault="001A3F87" w:rsidP="00376B38">
            <w:pPr>
              <w:pStyle w:val="NormalWeb"/>
              <w:spacing w:before="40" w:after="40"/>
              <w:ind w:left="0"/>
              <w:rPr>
                <w:rFonts w:asciiTheme="minorHAnsi" w:hAnsiTheme="minorHAnsi" w:cstheme="minorHAnsi"/>
                <w:sz w:val="20"/>
                <w:szCs w:val="20"/>
              </w:rPr>
            </w:pPr>
            <w:r w:rsidRPr="004B37B4">
              <w:rPr>
                <w:rFonts w:asciiTheme="minorHAnsi" w:hAnsiTheme="minorHAnsi" w:cstheme="minorHAnsi"/>
                <w:sz w:val="20"/>
                <w:szCs w:val="20"/>
              </w:rPr>
              <w:t>Amount of cash due to an intermediary for selling a product, or services, to a third party paid by the fund or fund management company.</w:t>
            </w:r>
          </w:p>
        </w:tc>
      </w:tr>
    </w:tbl>
    <w:p w:rsidR="004B78A3" w:rsidRDefault="004B78A3" w:rsidP="004B78A3">
      <w:pPr>
        <w:ind w:left="0"/>
        <w:rPr>
          <w:i/>
        </w:rPr>
      </w:pPr>
      <w:r w:rsidRPr="00587518">
        <w:rPr>
          <w:i/>
        </w:rPr>
        <w:t>(28 October 2013 The above changes have been implemented in MyStandards message usage guidelines. )</w:t>
      </w:r>
    </w:p>
    <w:p w:rsidR="00EC124E" w:rsidRPr="00EE14E9" w:rsidRDefault="00EC124E" w:rsidP="00EC124E">
      <w:pPr>
        <w:ind w:left="0"/>
        <w:rPr>
          <w:i/>
        </w:rPr>
      </w:pPr>
      <w:r w:rsidRPr="00EE14E9">
        <w:rPr>
          <w:i/>
        </w:rPr>
        <w:t>(28 October 2013: added to central CR list)</w:t>
      </w:r>
    </w:p>
    <w:p w:rsidR="00EC124E" w:rsidRPr="00587518" w:rsidRDefault="00EC124E" w:rsidP="004B78A3">
      <w:pPr>
        <w:ind w:left="0"/>
        <w:rPr>
          <w:i/>
        </w:rPr>
      </w:pPr>
    </w:p>
    <w:p w:rsidR="004B78A3" w:rsidRDefault="004B78A3" w:rsidP="004B78A3">
      <w:pPr>
        <w:ind w:left="0"/>
      </w:pPr>
      <w:r w:rsidRPr="00587518">
        <w:rPr>
          <w:b/>
        </w:rPr>
        <w:t>Action:</w:t>
      </w:r>
      <w:r>
        <w:t xml:space="preserve"> Create change request for definition changes.</w:t>
      </w:r>
    </w:p>
    <w:p w:rsidR="00AC0BF4" w:rsidRDefault="00AC0BF4" w:rsidP="00AC0BF4">
      <w:pPr>
        <w:pStyle w:val="Heading2"/>
      </w:pPr>
      <w:bookmarkStart w:id="27" w:name="_Toc377395917"/>
      <w:r>
        <w:t>SLA Charge/Commission Reference</w:t>
      </w:r>
      <w:bookmarkEnd w:id="27"/>
    </w:p>
    <w:p w:rsidR="00AC0BF4" w:rsidRDefault="00AC0BF4" w:rsidP="00AC0BF4">
      <w:pPr>
        <w:ind w:left="1170" w:hanging="450"/>
        <w:rPr>
          <w:rFonts w:cs="Arial"/>
        </w:rPr>
      </w:pPr>
      <w:r>
        <w:t>[1]</w:t>
      </w:r>
      <w:r>
        <w:tab/>
      </w:r>
      <w:r w:rsidRPr="00C22E64">
        <w:t xml:space="preserve">Italy have already submitted a change request for an optional element </w:t>
      </w:r>
      <w:r w:rsidR="00C22E64" w:rsidRPr="00C22E64">
        <w:t>‘</w:t>
      </w:r>
      <w:r w:rsidR="00C22E64" w:rsidRPr="00C22E64">
        <w:rPr>
          <w:rFonts w:cs="Arial"/>
        </w:rPr>
        <w:t>'SLA Charge reference'’ (</w:t>
      </w:r>
      <w:r w:rsidR="004937A1">
        <w:rPr>
          <w:rFonts w:cs="Arial"/>
        </w:rPr>
        <w:t>change request</w:t>
      </w:r>
      <w:r w:rsidRPr="00C22E64">
        <w:rPr>
          <w:rFonts w:cs="Arial"/>
        </w:rPr>
        <w:t xml:space="preserve"> 092) – so that reference to an SLA is quoted rather than a charge amount or rate.  The </w:t>
      </w:r>
      <w:r w:rsidR="004937A1">
        <w:rPr>
          <w:rFonts w:cs="Arial"/>
        </w:rPr>
        <w:t>change request</w:t>
      </w:r>
      <w:r w:rsidRPr="00C22E64">
        <w:rPr>
          <w:rFonts w:cs="Arial"/>
        </w:rPr>
        <w:t xml:space="preserve"> indicates the change is for both the orders and confirmations.</w:t>
      </w:r>
      <w:r w:rsidR="00C22E64">
        <w:rPr>
          <w:rFonts w:cs="Arial"/>
        </w:rPr>
        <w:t xml:space="preserve"> When this optional element is implemented, this suggests that the mandatory </w:t>
      </w:r>
      <w:r w:rsidR="00C22E64">
        <w:rPr>
          <w:rFonts w:cs="Arial"/>
        </w:rPr>
        <w:lastRenderedPageBreak/>
        <w:t xml:space="preserve">Amount/Rate  would have to become optional, with a rule saying that if </w:t>
      </w:r>
      <w:r w:rsidR="00C22E64" w:rsidRPr="00C22E64">
        <w:rPr>
          <w:rFonts w:cs="Arial"/>
        </w:rPr>
        <w:t>'SLA Charge reference'</w:t>
      </w:r>
      <w:r w:rsidR="00C22E64">
        <w:rPr>
          <w:rFonts w:cs="Arial"/>
        </w:rPr>
        <w:t xml:space="preserve"> is not present, then Amount or Rate must be present.</w:t>
      </w:r>
    </w:p>
    <w:p w:rsidR="00693042" w:rsidRPr="00C22E64" w:rsidRDefault="004937A1" w:rsidP="00693042">
      <w:pPr>
        <w:ind w:left="1170"/>
      </w:pPr>
      <w:r>
        <w:rPr>
          <w:rFonts w:cs="Arial"/>
        </w:rPr>
        <w:t>change request</w:t>
      </w:r>
      <w:r w:rsidR="00693042">
        <w:rPr>
          <w:rFonts w:cs="Arial"/>
        </w:rPr>
        <w:t xml:space="preserve"> 092 proposes the change in both orders and confirmations.</w:t>
      </w:r>
    </w:p>
    <w:p w:rsidR="00AC0BF4" w:rsidRDefault="00AC0BF4" w:rsidP="00AC0BF4">
      <w:pPr>
        <w:ind w:left="1170" w:hanging="450"/>
      </w:pPr>
      <w:r w:rsidRPr="00C22E64">
        <w:t>[2]</w:t>
      </w:r>
      <w:r w:rsidRPr="00C22E64">
        <w:tab/>
        <w:t>Clearstream have a need of a reference that needs to be quoted on order that is reference to a ‘special’ agreement for a reduction of charges  and it was thought in Copenhagen that the ‘Italian’ element could also be used for this Clearstream requirement.</w:t>
      </w:r>
    </w:p>
    <w:p w:rsidR="00693042" w:rsidRPr="00C22E64" w:rsidRDefault="00693042" w:rsidP="00693042">
      <w:pPr>
        <w:ind w:left="1170"/>
      </w:pPr>
      <w:r>
        <w:t>The Clearstream requirement proposes the change only to the orders.</w:t>
      </w:r>
    </w:p>
    <w:p w:rsidR="00AC0BF4" w:rsidRPr="00C22E64" w:rsidRDefault="00AC0BF4" w:rsidP="00AC0BF4">
      <w:pPr>
        <w:ind w:left="720"/>
      </w:pPr>
      <w:r w:rsidRPr="00C22E64">
        <w:t>JEC: these two elements seems to have different semantic meanings. In the Italian context,</w:t>
      </w:r>
      <w:r w:rsidR="00172CE3">
        <w:t xml:space="preserve"> it is refer</w:t>
      </w:r>
      <w:r w:rsidRPr="00C22E64">
        <w:t xml:space="preserve">ence to the SLA, whereas in the Clearstream context, this is reference  to an agreement that overrides the </w:t>
      </w:r>
      <w:r w:rsidR="0072185D">
        <w:t>normal charges on the fund transaction.</w:t>
      </w:r>
      <w:r w:rsidRPr="00C22E64">
        <w:t xml:space="preserve"> For this reason, JEC proposes that element</w:t>
      </w:r>
      <w:r w:rsidR="00172CE3">
        <w:t>s are r</w:t>
      </w:r>
      <w:r w:rsidRPr="00C22E64">
        <w:t>equired</w:t>
      </w:r>
      <w:r w:rsidR="00172CE3">
        <w:t xml:space="preserve"> for both requirements.</w:t>
      </w:r>
    </w:p>
    <w:p w:rsidR="00AC0BF4" w:rsidRDefault="0072185D" w:rsidP="00AC0BF4">
      <w:pPr>
        <w:ind w:left="720"/>
      </w:pPr>
      <w:r>
        <w:t xml:space="preserve">It is proposed that the element is called </w:t>
      </w:r>
      <w:r w:rsidR="00AC0BF4" w:rsidRPr="00C22E64">
        <w:t>“</w:t>
      </w:r>
      <w:r>
        <w:t>NonStandardCharge</w:t>
      </w:r>
      <w:r w:rsidR="00AC0BF4" w:rsidRPr="00C22E64">
        <w:t>Reference”</w:t>
      </w:r>
      <w:r>
        <w:t xml:space="preserve"> - </w:t>
      </w:r>
      <w:r w:rsidR="00C22E64" w:rsidRPr="00C22E64">
        <w:t xml:space="preserve">JEC thinks it belongs in the charge details. However, if we merge </w:t>
      </w:r>
      <w:r w:rsidR="00C22E64">
        <w:t>the charge</w:t>
      </w:r>
      <w:r w:rsidR="00EF6AB2">
        <w:t xml:space="preserve"> and commissions into a single</w:t>
      </w:r>
      <w:r w:rsidR="00C22E64">
        <w:t xml:space="preserve"> sequence, then this question goes away.</w:t>
      </w:r>
    </w:p>
    <w:p w:rsidR="00376B38" w:rsidRDefault="00773D22" w:rsidP="00773D22">
      <w:pPr>
        <w:ind w:left="720"/>
      </w:pPr>
      <w:r>
        <w:t xml:space="preserve">For the interim, the SMPG usage guidelines will be added to show this functionality is to be specified for </w:t>
      </w:r>
      <w:r w:rsidR="0072185D">
        <w:t>“NonStandardCharge</w:t>
      </w:r>
      <w:r w:rsidR="0072185D" w:rsidRPr="00C22E64">
        <w:t>Reference</w:t>
      </w:r>
      <w:r w:rsidR="0072185D">
        <w:t>”.</w:t>
      </w:r>
      <w:r w:rsidR="00432F27">
        <w:t xml:space="preserve"> </w:t>
      </w:r>
    </w:p>
    <w:p w:rsidR="00376B38" w:rsidRDefault="00376B38" w:rsidP="00376B38">
      <w:pPr>
        <w:ind w:left="720"/>
        <w:rPr>
          <w:i/>
        </w:rPr>
      </w:pPr>
      <w:r w:rsidRPr="00587518">
        <w:rPr>
          <w:i/>
        </w:rPr>
        <w:t>(28 October 2013 implemented in MyStandards message usage guidelines. )</w:t>
      </w:r>
    </w:p>
    <w:p w:rsidR="00EC124E" w:rsidRPr="00EE14E9" w:rsidRDefault="00EC124E" w:rsidP="00EC124E">
      <w:pPr>
        <w:ind w:left="720"/>
        <w:rPr>
          <w:i/>
        </w:rPr>
      </w:pPr>
      <w:r w:rsidRPr="00EE14E9">
        <w:rPr>
          <w:i/>
        </w:rPr>
        <w:t xml:space="preserve">(28 October 2013: </w:t>
      </w:r>
      <w:r>
        <w:rPr>
          <w:i/>
        </w:rPr>
        <w:t xml:space="preserve">the two new optional elements </w:t>
      </w:r>
      <w:r w:rsidRPr="00EE14E9">
        <w:rPr>
          <w:i/>
        </w:rPr>
        <w:t>added to central CR list)</w:t>
      </w:r>
    </w:p>
    <w:p w:rsidR="00EC124E" w:rsidRPr="00587518" w:rsidRDefault="00EC124E" w:rsidP="00376B38">
      <w:pPr>
        <w:ind w:left="720"/>
        <w:rPr>
          <w:i/>
        </w:rPr>
      </w:pPr>
    </w:p>
    <w:p w:rsidR="00376B38" w:rsidRDefault="00376B38" w:rsidP="00773D22">
      <w:pPr>
        <w:ind w:left="720"/>
      </w:pPr>
    </w:p>
    <w:p w:rsidR="00DD62CC" w:rsidRDefault="00DD62CC" w:rsidP="00773D22">
      <w:pPr>
        <w:ind w:left="720"/>
      </w:pPr>
      <w:r>
        <w:rPr>
          <w:noProof/>
          <w:lang w:eastAsia="en-GB"/>
        </w:rPr>
        <w:drawing>
          <wp:inline distT="0" distB="0" distL="0" distR="0" wp14:anchorId="46370E52" wp14:editId="492D2BFE">
            <wp:extent cx="5899785" cy="4341495"/>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9785" cy="4341495"/>
                    </a:xfrm>
                    <a:prstGeom prst="rect">
                      <a:avLst/>
                    </a:prstGeom>
                    <a:noFill/>
                    <a:ln>
                      <a:noFill/>
                    </a:ln>
                  </pic:spPr>
                </pic:pic>
              </a:graphicData>
            </a:graphic>
          </wp:inline>
        </w:drawing>
      </w:r>
    </w:p>
    <w:p w:rsidR="00157433" w:rsidRDefault="00157433" w:rsidP="00157433">
      <w:pPr>
        <w:pStyle w:val="Heading2"/>
      </w:pPr>
      <w:bookmarkStart w:id="28" w:name="_Toc377395918"/>
      <w:r>
        <w:lastRenderedPageBreak/>
        <w:t>Tax</w:t>
      </w:r>
      <w:bookmarkEnd w:id="28"/>
    </w:p>
    <w:p w:rsidR="00157433" w:rsidRDefault="00157433" w:rsidP="00157433">
      <w:pPr>
        <w:ind w:left="720"/>
      </w:pPr>
      <w:r>
        <w:t>Previously in setr.006, some market practice on the Tax sequence was specified. It was agreed that SMPG should not have any specification on the Tax sequence  and should be marked as Do not Use,  but instead the</w:t>
      </w:r>
      <w:r w:rsidR="00575EF8">
        <w:t xml:space="preserve"> following statement </w:t>
      </w:r>
      <w:r>
        <w:t>“</w:t>
      </w:r>
      <w:r w:rsidRPr="00157433">
        <w:t>Each market will have to define its own use for tax and therefore SMPG does not make any recommendations.</w:t>
      </w:r>
      <w:r>
        <w:t xml:space="preserve">” </w:t>
      </w:r>
    </w:p>
    <w:p w:rsidR="00157433" w:rsidRPr="00587518" w:rsidRDefault="00157433" w:rsidP="00157433">
      <w:pPr>
        <w:ind w:left="720"/>
        <w:rPr>
          <w:i/>
        </w:rPr>
      </w:pPr>
      <w:r w:rsidRPr="00587518">
        <w:rPr>
          <w:i/>
        </w:rPr>
        <w:t>(28 October 2013 implemented in MyStandards message usage guidelines. )</w:t>
      </w:r>
    </w:p>
    <w:p w:rsidR="00587518" w:rsidRDefault="00587518" w:rsidP="00587518">
      <w:pPr>
        <w:pStyle w:val="Heading2"/>
      </w:pPr>
      <w:bookmarkStart w:id="29" w:name="_Toc377395919"/>
      <w:bookmarkStart w:id="30" w:name="_GoBack"/>
      <w:bookmarkEnd w:id="30"/>
      <w:r>
        <w:t>Switches</w:t>
      </w:r>
      <w:bookmarkEnd w:id="29"/>
      <w:r>
        <w:t xml:space="preserve"> </w:t>
      </w:r>
    </w:p>
    <w:p w:rsidR="00587518" w:rsidRDefault="00587518" w:rsidP="00587518">
      <w:pPr>
        <w:ind w:left="720"/>
      </w:pPr>
      <w:r>
        <w:t>The consensus is that SMPG market practice is for  one-to-one switch (1 redemption leg and one 1 subscription Leg). The switch is a redemption drive, with the quantity expressed as units, amount or 100% redemption rate. The subscription quantity is specified as 100%.</w:t>
      </w:r>
    </w:p>
    <w:p w:rsidR="00DE5676" w:rsidRPr="00587518" w:rsidRDefault="00DE5676" w:rsidP="00DE5676">
      <w:pPr>
        <w:ind w:left="720"/>
        <w:rPr>
          <w:i/>
        </w:rPr>
      </w:pPr>
      <w:r w:rsidRPr="00587518">
        <w:rPr>
          <w:i/>
        </w:rPr>
        <w:t>(28 October 2013 implemented in MyStandards message usage guidelines. )</w:t>
      </w:r>
    </w:p>
    <w:p w:rsidR="00C72934" w:rsidRDefault="00C72934" w:rsidP="00C72934">
      <w:pPr>
        <w:pStyle w:val="Heading2"/>
      </w:pPr>
      <w:bookmarkStart w:id="31" w:name="_Toc377395920"/>
      <w:r>
        <w:t>Order Collection</w:t>
      </w:r>
      <w:bookmarkEnd w:id="31"/>
    </w:p>
    <w:p w:rsidR="00C72934" w:rsidRPr="00BE30FC" w:rsidRDefault="00C72934" w:rsidP="00C72934">
      <w:pPr>
        <w:ind w:left="720"/>
      </w:pPr>
      <w:r>
        <w:t>The switch message usage guidelines are to be merged into the orders collection. The confirmation amendment messages are to be specified.)</w:t>
      </w:r>
    </w:p>
    <w:p w:rsidR="00C72934" w:rsidRDefault="00C72934" w:rsidP="00C72934">
      <w:pPr>
        <w:ind w:left="720"/>
      </w:pPr>
      <w:r>
        <w:t xml:space="preserve">(Usage guidelines in MyStandards address the Intermediary </w:t>
      </w:r>
      <w:r>
        <w:sym w:font="Wingdings" w:char="F0E0"/>
      </w:r>
      <w:r>
        <w:t xml:space="preserve"> TA space!)</w:t>
      </w:r>
    </w:p>
    <w:p w:rsidR="00C72934" w:rsidRPr="00D96C13" w:rsidRDefault="00C72934" w:rsidP="00C72934">
      <w:pPr>
        <w:ind w:left="720"/>
      </w:pPr>
    </w:p>
    <w:p w:rsidR="00C72934" w:rsidRDefault="00C72934" w:rsidP="00C72934">
      <w:pPr>
        <w:ind w:left="720"/>
      </w:pPr>
      <w:r w:rsidRPr="000F6459">
        <w:rPr>
          <w:b/>
        </w:rPr>
        <w:t>Action:</w:t>
      </w:r>
      <w:r>
        <w:t xml:space="preserve"> JEC TO PUT SWITCHES INTO SAME COLLECTION </w:t>
      </w:r>
      <w:r w:rsidRPr="00DE5676">
        <w:rPr>
          <w:i/>
        </w:rPr>
        <w:t>(28 October 2013 – implemented)</w:t>
      </w:r>
    </w:p>
    <w:p w:rsidR="00C72934" w:rsidRDefault="00C72934" w:rsidP="00C72934">
      <w:pPr>
        <w:ind w:left="720"/>
      </w:pPr>
      <w:r w:rsidRPr="000F6459">
        <w:rPr>
          <w:b/>
        </w:rPr>
        <w:t>Action</w:t>
      </w:r>
      <w:r>
        <w:t>: SHARP MP – NEEDS TO BE REMOVED AND PUT INTO ITS OWN LOCATION.</w:t>
      </w:r>
    </w:p>
    <w:p w:rsidR="00F743FD" w:rsidRDefault="00F743FD" w:rsidP="00F743FD">
      <w:pPr>
        <w:pStyle w:val="Heading1"/>
      </w:pPr>
      <w:bookmarkStart w:id="32" w:name="_Toc377395921"/>
      <w:r>
        <w:t xml:space="preserve">Addition of contextual information in </w:t>
      </w:r>
      <w:r w:rsidR="00BA3BCC">
        <w:t>a</w:t>
      </w:r>
      <w:r>
        <w:t xml:space="preserve"> SMPG UG</w:t>
      </w:r>
      <w:bookmarkEnd w:id="32"/>
    </w:p>
    <w:p w:rsidR="00DD62CC" w:rsidRDefault="00F743FD" w:rsidP="00DD62CC">
      <w:pPr>
        <w:ind w:left="720"/>
      </w:pPr>
      <w:r>
        <w:t xml:space="preserve">The SMPG group sometimes have difficulty to remember why a specific market practice was agreed. </w:t>
      </w:r>
      <w:r w:rsidR="007002FE">
        <w:t>Wherever</w:t>
      </w:r>
      <w:r>
        <w:t xml:space="preserve"> possible, market practice should specify the context.</w:t>
      </w:r>
    </w:p>
    <w:p w:rsidR="00462302" w:rsidRDefault="003025D4" w:rsidP="000F6459">
      <w:pPr>
        <w:pStyle w:val="Heading1"/>
      </w:pPr>
      <w:bookmarkStart w:id="33" w:name="_Toc377395922"/>
      <w:r>
        <w:t>Cross Element Rules in MyStandards</w:t>
      </w:r>
      <w:bookmarkEnd w:id="33"/>
    </w:p>
    <w:p w:rsidR="003025D4" w:rsidRDefault="00256B53" w:rsidP="00C72934">
      <w:pPr>
        <w:ind w:left="720"/>
      </w:pPr>
      <w:r>
        <w:t xml:space="preserve">When we have declared a cross element Rule, it’s not easy to be aware that the rule exists! Often gets missed. </w:t>
      </w:r>
      <w:r w:rsidR="003025D4">
        <w:t>Action: put on the elements referenced in the rule a comment saying ‘S</w:t>
      </w:r>
      <w:r>
        <w:t>ee rule</w:t>
      </w:r>
      <w:r w:rsidR="003025D4">
        <w:t xml:space="preserve"> XXX</w:t>
      </w:r>
      <w:r>
        <w:t>’</w:t>
      </w:r>
      <w:r w:rsidR="00093C79">
        <w:t xml:space="preserve"> – </w:t>
      </w:r>
      <w:r w:rsidR="003025D4">
        <w:t>XXX = the name of the rule</w:t>
      </w:r>
      <w:r w:rsidR="00C4531A">
        <w:t>.</w:t>
      </w:r>
    </w:p>
    <w:p w:rsidR="00DE5676" w:rsidRPr="00587518" w:rsidRDefault="00DE5676" w:rsidP="00DE5676">
      <w:pPr>
        <w:ind w:left="720"/>
        <w:rPr>
          <w:i/>
        </w:rPr>
      </w:pPr>
      <w:r w:rsidRPr="00587518">
        <w:rPr>
          <w:i/>
        </w:rPr>
        <w:t>(28 October 2013 implemented in MyStandards message usage guidelines. )</w:t>
      </w:r>
    </w:p>
    <w:p w:rsidR="00C4531A" w:rsidRDefault="00C4531A" w:rsidP="00C72934">
      <w:pPr>
        <w:ind w:left="720"/>
      </w:pPr>
      <w:r>
        <w:t>The following table shows the different cross element rules (entered with IF …</w:t>
      </w:r>
      <w:r w:rsidR="00EE14E9">
        <w:t xml:space="preserve"> THEN construction</w:t>
      </w:r>
      <w:r>
        <w:t xml:space="preserve">) in the messages: </w:t>
      </w:r>
    </w:p>
    <w:p w:rsidR="00B36D0D" w:rsidRDefault="00B36D0D" w:rsidP="005B5EAE">
      <w:pPr>
        <w:suppressAutoHyphens w:val="0"/>
        <w:spacing w:before="0" w:after="0"/>
        <w:ind w:left="0"/>
        <w:rPr>
          <w:b/>
          <w:kern w:val="28"/>
          <w:sz w:val="28"/>
        </w:rPr>
      </w:pPr>
    </w:p>
    <w:tbl>
      <w:tblPr>
        <w:tblStyle w:val="TableGrid"/>
        <w:tblW w:w="0" w:type="auto"/>
        <w:tblInd w:w="108" w:type="dxa"/>
        <w:tblLook w:val="04A0" w:firstRow="1" w:lastRow="0" w:firstColumn="1" w:lastColumn="0" w:noHBand="0" w:noVBand="1"/>
      </w:tblPr>
      <w:tblGrid>
        <w:gridCol w:w="909"/>
        <w:gridCol w:w="3488"/>
        <w:gridCol w:w="1405"/>
        <w:gridCol w:w="1938"/>
        <w:gridCol w:w="1669"/>
      </w:tblGrid>
      <w:tr w:rsidR="0020455A" w:rsidRPr="005A40F4" w:rsidTr="00C4531A">
        <w:tc>
          <w:tcPr>
            <w:tcW w:w="909" w:type="dxa"/>
          </w:tcPr>
          <w:p w:rsidR="0020455A" w:rsidRPr="005A40F4" w:rsidRDefault="0020455A" w:rsidP="0020455A">
            <w:pPr>
              <w:suppressAutoHyphens w:val="0"/>
              <w:spacing w:before="40" w:after="40"/>
              <w:ind w:left="0"/>
              <w:rPr>
                <w:rFonts w:asciiTheme="minorHAnsi" w:hAnsiTheme="minorHAnsi" w:cstheme="minorHAnsi"/>
                <w:b/>
                <w:kern w:val="28"/>
                <w:sz w:val="20"/>
              </w:rPr>
            </w:pPr>
            <w:r w:rsidRPr="005A40F4">
              <w:rPr>
                <w:rFonts w:asciiTheme="minorHAnsi" w:hAnsiTheme="minorHAnsi" w:cstheme="minorHAnsi"/>
                <w:b/>
                <w:kern w:val="28"/>
                <w:sz w:val="20"/>
              </w:rPr>
              <w:t>MX</w:t>
            </w:r>
          </w:p>
        </w:tc>
        <w:tc>
          <w:tcPr>
            <w:tcW w:w="3488" w:type="dxa"/>
          </w:tcPr>
          <w:p w:rsidR="0020455A" w:rsidRPr="005A40F4" w:rsidRDefault="0020455A" w:rsidP="0020455A">
            <w:pPr>
              <w:suppressAutoHyphens w:val="0"/>
              <w:spacing w:before="40" w:after="40"/>
              <w:ind w:left="0"/>
              <w:rPr>
                <w:rFonts w:asciiTheme="minorHAnsi" w:hAnsiTheme="minorHAnsi" w:cstheme="minorHAnsi"/>
                <w:b/>
                <w:kern w:val="28"/>
                <w:sz w:val="20"/>
              </w:rPr>
            </w:pPr>
            <w:r w:rsidRPr="005A40F4">
              <w:rPr>
                <w:rFonts w:asciiTheme="minorHAnsi" w:hAnsiTheme="minorHAnsi" w:cstheme="minorHAnsi"/>
                <w:b/>
                <w:kern w:val="28"/>
                <w:sz w:val="20"/>
              </w:rPr>
              <w:t>Cross element rule name</w:t>
            </w:r>
          </w:p>
        </w:tc>
        <w:tc>
          <w:tcPr>
            <w:tcW w:w="1405" w:type="dxa"/>
          </w:tcPr>
          <w:p w:rsidR="0020455A" w:rsidRPr="005A40F4" w:rsidRDefault="0020455A" w:rsidP="0020455A">
            <w:pPr>
              <w:suppressAutoHyphens w:val="0"/>
              <w:spacing w:before="40" w:after="40"/>
              <w:ind w:left="0"/>
              <w:rPr>
                <w:rFonts w:asciiTheme="minorHAnsi" w:hAnsiTheme="minorHAnsi" w:cstheme="minorHAnsi"/>
                <w:b/>
                <w:kern w:val="28"/>
                <w:sz w:val="20"/>
              </w:rPr>
            </w:pPr>
            <w:r>
              <w:rPr>
                <w:rFonts w:asciiTheme="minorHAnsi" w:hAnsiTheme="minorHAnsi" w:cstheme="minorHAnsi"/>
                <w:b/>
                <w:kern w:val="28"/>
                <w:sz w:val="20"/>
              </w:rPr>
              <w:t>Location</w:t>
            </w:r>
          </w:p>
        </w:tc>
        <w:tc>
          <w:tcPr>
            <w:tcW w:w="1938" w:type="dxa"/>
          </w:tcPr>
          <w:p w:rsidR="0020455A" w:rsidRDefault="0020455A" w:rsidP="0020455A">
            <w:pPr>
              <w:suppressAutoHyphens w:val="0"/>
              <w:spacing w:before="40" w:after="40"/>
              <w:ind w:left="0"/>
              <w:rPr>
                <w:rFonts w:asciiTheme="minorHAnsi" w:hAnsiTheme="minorHAnsi" w:cstheme="minorHAnsi"/>
                <w:b/>
                <w:kern w:val="28"/>
              </w:rPr>
            </w:pPr>
            <w:r>
              <w:rPr>
                <w:rFonts w:asciiTheme="minorHAnsi" w:hAnsiTheme="minorHAnsi" w:cstheme="minorHAnsi"/>
                <w:b/>
                <w:kern w:val="28"/>
              </w:rPr>
              <w:t>Elements</w:t>
            </w:r>
          </w:p>
        </w:tc>
        <w:tc>
          <w:tcPr>
            <w:tcW w:w="1669" w:type="dxa"/>
          </w:tcPr>
          <w:p w:rsidR="0020455A" w:rsidRPr="005A40F4" w:rsidRDefault="0020455A" w:rsidP="00C4531A">
            <w:pPr>
              <w:suppressAutoHyphens w:val="0"/>
              <w:spacing w:before="40" w:after="40"/>
              <w:ind w:left="0"/>
              <w:rPr>
                <w:rFonts w:asciiTheme="minorHAnsi" w:hAnsiTheme="minorHAnsi" w:cstheme="minorHAnsi"/>
                <w:b/>
                <w:kern w:val="28"/>
                <w:sz w:val="20"/>
              </w:rPr>
            </w:pPr>
            <w:r>
              <w:rPr>
                <w:rFonts w:asciiTheme="minorHAnsi" w:hAnsiTheme="minorHAnsi" w:cstheme="minorHAnsi"/>
                <w:b/>
                <w:kern w:val="28"/>
                <w:sz w:val="20"/>
              </w:rPr>
              <w:t>X-reference on element</w:t>
            </w:r>
            <w:r w:rsidR="00C4531A">
              <w:rPr>
                <w:rFonts w:asciiTheme="minorHAnsi" w:hAnsiTheme="minorHAnsi" w:cstheme="minorHAnsi"/>
                <w:b/>
                <w:kern w:val="28"/>
                <w:sz w:val="20"/>
              </w:rPr>
              <w:t xml:space="preserve"> implemented</w:t>
            </w:r>
            <w:r>
              <w:rPr>
                <w:rFonts w:asciiTheme="minorHAnsi" w:hAnsiTheme="minorHAnsi" w:cstheme="minorHAnsi"/>
                <w:b/>
                <w:kern w:val="28"/>
                <w:sz w:val="20"/>
              </w:rPr>
              <w:t xml:space="preserve"> Y/N?</w:t>
            </w:r>
          </w:p>
        </w:tc>
      </w:tr>
      <w:tr w:rsidR="0020455A" w:rsidRPr="005A40F4" w:rsidTr="00C4531A">
        <w:tc>
          <w:tcPr>
            <w:tcW w:w="909" w:type="dxa"/>
          </w:tcPr>
          <w:p w:rsidR="0020455A" w:rsidRPr="005A40F4" w:rsidRDefault="0020455A" w:rsidP="0020455A">
            <w:pPr>
              <w:suppressAutoHyphens w:val="0"/>
              <w:spacing w:before="40" w:after="40"/>
              <w:ind w:left="0"/>
              <w:rPr>
                <w:rFonts w:asciiTheme="minorHAnsi" w:hAnsiTheme="minorHAnsi" w:cstheme="minorHAnsi"/>
                <w:kern w:val="28"/>
              </w:rPr>
            </w:pPr>
            <w:r>
              <w:rPr>
                <w:rFonts w:asciiTheme="minorHAnsi" w:hAnsiTheme="minorHAnsi" w:cstheme="minorHAnsi"/>
                <w:kern w:val="28"/>
              </w:rPr>
              <w:t>Setr.010</w:t>
            </w:r>
          </w:p>
        </w:tc>
        <w:tc>
          <w:tcPr>
            <w:tcW w:w="3488" w:type="dxa"/>
          </w:tcPr>
          <w:p w:rsidR="0020455A" w:rsidRPr="005A40F4" w:rsidRDefault="0020455A" w:rsidP="0020455A">
            <w:pPr>
              <w:suppressAutoHyphens w:val="0"/>
              <w:spacing w:before="40" w:after="40"/>
              <w:ind w:left="0"/>
              <w:rPr>
                <w:rFonts w:asciiTheme="minorHAnsi" w:hAnsiTheme="minorHAnsi" w:cstheme="minorHAnsi"/>
                <w:kern w:val="28"/>
              </w:rPr>
            </w:pPr>
            <w:r w:rsidRPr="0020455A">
              <w:rPr>
                <w:rFonts w:asciiTheme="minorHAnsi" w:hAnsiTheme="minorHAnsi" w:cstheme="minorHAnsi"/>
                <w:kern w:val="28"/>
              </w:rPr>
              <w:t>UnitsAndRequestedSettlementCurrencyRule</w:t>
            </w:r>
          </w:p>
        </w:tc>
        <w:tc>
          <w:tcPr>
            <w:tcW w:w="1405" w:type="dxa"/>
          </w:tcPr>
          <w:p w:rsidR="0020455A" w:rsidRPr="005A40F4" w:rsidRDefault="0020455A" w:rsidP="0020455A">
            <w:pPr>
              <w:suppressAutoHyphens w:val="0"/>
              <w:spacing w:before="40" w:after="40"/>
              <w:ind w:left="0"/>
              <w:rPr>
                <w:rFonts w:asciiTheme="minorHAnsi" w:hAnsiTheme="minorHAnsi" w:cstheme="minorHAnsi"/>
                <w:kern w:val="28"/>
              </w:rPr>
            </w:pPr>
            <w:r w:rsidRPr="0020455A">
              <w:rPr>
                <w:rFonts w:asciiTheme="minorHAnsi" w:hAnsiTheme="minorHAnsi" w:cstheme="minorHAnsi"/>
                <w:kern w:val="28"/>
              </w:rPr>
              <w:t>Individual Order Details</w:t>
            </w:r>
          </w:p>
        </w:tc>
        <w:tc>
          <w:tcPr>
            <w:tcW w:w="1938" w:type="dxa"/>
          </w:tcPr>
          <w:p w:rsidR="0020455A" w:rsidRDefault="004542CA" w:rsidP="004542CA">
            <w:pPr>
              <w:suppressAutoHyphens w:val="0"/>
              <w:spacing w:before="40" w:after="40"/>
              <w:ind w:left="0"/>
              <w:rPr>
                <w:rFonts w:asciiTheme="minorHAnsi" w:hAnsiTheme="minorHAnsi" w:cstheme="minorHAnsi"/>
                <w:kern w:val="28"/>
              </w:rPr>
            </w:pPr>
            <w:r>
              <w:rPr>
                <w:rFonts w:asciiTheme="minorHAnsi" w:hAnsiTheme="minorHAnsi" w:cstheme="minorHAnsi"/>
                <w:kern w:val="28"/>
              </w:rPr>
              <w:t xml:space="preserve">UnitsNumber </w:t>
            </w:r>
          </w:p>
          <w:p w:rsidR="004542CA" w:rsidRPr="005A40F4" w:rsidRDefault="004542CA" w:rsidP="004542CA">
            <w:pPr>
              <w:suppressAutoHyphens w:val="0"/>
              <w:spacing w:before="40" w:after="40"/>
              <w:ind w:left="0"/>
              <w:rPr>
                <w:rFonts w:asciiTheme="minorHAnsi" w:hAnsiTheme="minorHAnsi" w:cstheme="minorHAnsi"/>
                <w:kern w:val="28"/>
              </w:rPr>
            </w:pPr>
            <w:r>
              <w:rPr>
                <w:rFonts w:asciiTheme="minorHAnsi" w:hAnsiTheme="minorHAnsi" w:cstheme="minorHAnsi"/>
                <w:kern w:val="28"/>
              </w:rPr>
              <w:t>Requested Settlement Currency</w:t>
            </w:r>
          </w:p>
        </w:tc>
        <w:tc>
          <w:tcPr>
            <w:tcW w:w="1669" w:type="dxa"/>
          </w:tcPr>
          <w:p w:rsidR="0020455A" w:rsidRDefault="004542CA" w:rsidP="0020455A">
            <w:pPr>
              <w:suppressAutoHyphens w:val="0"/>
              <w:spacing w:before="40" w:after="40"/>
              <w:ind w:left="0"/>
              <w:rPr>
                <w:rFonts w:asciiTheme="minorHAnsi" w:hAnsiTheme="minorHAnsi" w:cstheme="minorHAnsi"/>
                <w:kern w:val="28"/>
              </w:rPr>
            </w:pPr>
            <w:r>
              <w:rPr>
                <w:rFonts w:asciiTheme="minorHAnsi" w:hAnsiTheme="minorHAnsi" w:cstheme="minorHAnsi"/>
                <w:kern w:val="28"/>
              </w:rPr>
              <w:t>YES</w:t>
            </w:r>
          </w:p>
          <w:p w:rsidR="004542CA" w:rsidRPr="005A40F4" w:rsidRDefault="004542CA" w:rsidP="0020455A">
            <w:pPr>
              <w:suppressAutoHyphens w:val="0"/>
              <w:spacing w:before="40" w:after="40"/>
              <w:ind w:left="0"/>
              <w:rPr>
                <w:rFonts w:asciiTheme="minorHAnsi" w:hAnsiTheme="minorHAnsi" w:cstheme="minorHAnsi"/>
                <w:kern w:val="28"/>
              </w:rPr>
            </w:pPr>
            <w:r>
              <w:rPr>
                <w:rFonts w:asciiTheme="minorHAnsi" w:hAnsiTheme="minorHAnsi" w:cstheme="minorHAnsi"/>
                <w:kern w:val="28"/>
              </w:rPr>
              <w:t>YES</w:t>
            </w:r>
          </w:p>
        </w:tc>
      </w:tr>
      <w:tr w:rsidR="00C4531A" w:rsidRPr="005A40F4" w:rsidTr="00C4531A">
        <w:tc>
          <w:tcPr>
            <w:tcW w:w="909" w:type="dxa"/>
          </w:tcPr>
          <w:p w:rsidR="00C4531A" w:rsidRDefault="00C4531A" w:rsidP="0020455A">
            <w:pPr>
              <w:suppressAutoHyphens w:val="0"/>
              <w:spacing w:before="40" w:after="40"/>
              <w:ind w:left="0"/>
              <w:rPr>
                <w:rFonts w:asciiTheme="minorHAnsi" w:hAnsiTheme="minorHAnsi" w:cstheme="minorHAnsi"/>
                <w:kern w:val="28"/>
              </w:rPr>
            </w:pPr>
            <w:r>
              <w:rPr>
                <w:rFonts w:asciiTheme="minorHAnsi" w:hAnsiTheme="minorHAnsi" w:cstheme="minorHAnsi"/>
                <w:kern w:val="28"/>
              </w:rPr>
              <w:t>Setr.004</w:t>
            </w:r>
          </w:p>
        </w:tc>
        <w:tc>
          <w:tcPr>
            <w:tcW w:w="3488" w:type="dxa"/>
          </w:tcPr>
          <w:p w:rsidR="00C4531A" w:rsidRPr="005A40F4" w:rsidRDefault="00C4531A" w:rsidP="00620A4D">
            <w:pPr>
              <w:suppressAutoHyphens w:val="0"/>
              <w:spacing w:before="40" w:after="40"/>
              <w:ind w:left="0"/>
              <w:rPr>
                <w:rFonts w:asciiTheme="minorHAnsi" w:hAnsiTheme="minorHAnsi" w:cstheme="minorHAnsi"/>
                <w:kern w:val="28"/>
              </w:rPr>
            </w:pPr>
            <w:r w:rsidRPr="0020455A">
              <w:rPr>
                <w:rFonts w:asciiTheme="minorHAnsi" w:hAnsiTheme="minorHAnsi" w:cstheme="minorHAnsi"/>
                <w:kern w:val="28"/>
              </w:rPr>
              <w:t>UnitsAndRequestedSettlementCurrencyRule</w:t>
            </w:r>
          </w:p>
        </w:tc>
        <w:tc>
          <w:tcPr>
            <w:tcW w:w="1405" w:type="dxa"/>
          </w:tcPr>
          <w:p w:rsidR="00C4531A" w:rsidRPr="005A40F4" w:rsidRDefault="00C4531A" w:rsidP="00620A4D">
            <w:pPr>
              <w:suppressAutoHyphens w:val="0"/>
              <w:spacing w:before="40" w:after="40"/>
              <w:ind w:left="0"/>
              <w:rPr>
                <w:rFonts w:asciiTheme="minorHAnsi" w:hAnsiTheme="minorHAnsi" w:cstheme="minorHAnsi"/>
                <w:kern w:val="28"/>
              </w:rPr>
            </w:pPr>
            <w:r w:rsidRPr="0020455A">
              <w:rPr>
                <w:rFonts w:asciiTheme="minorHAnsi" w:hAnsiTheme="minorHAnsi" w:cstheme="minorHAnsi"/>
                <w:kern w:val="28"/>
              </w:rPr>
              <w:t>Individual Order Details</w:t>
            </w:r>
          </w:p>
        </w:tc>
        <w:tc>
          <w:tcPr>
            <w:tcW w:w="1938" w:type="dxa"/>
          </w:tcPr>
          <w:p w:rsidR="00C4531A" w:rsidRDefault="00C4531A" w:rsidP="00620A4D">
            <w:pPr>
              <w:suppressAutoHyphens w:val="0"/>
              <w:spacing w:before="40" w:after="40"/>
              <w:ind w:left="0"/>
              <w:rPr>
                <w:rFonts w:asciiTheme="minorHAnsi" w:hAnsiTheme="minorHAnsi" w:cstheme="minorHAnsi"/>
                <w:kern w:val="28"/>
              </w:rPr>
            </w:pPr>
            <w:r>
              <w:rPr>
                <w:rFonts w:asciiTheme="minorHAnsi" w:hAnsiTheme="minorHAnsi" w:cstheme="minorHAnsi"/>
                <w:kern w:val="28"/>
              </w:rPr>
              <w:t xml:space="preserve">UnitsNumber </w:t>
            </w:r>
          </w:p>
          <w:p w:rsidR="00C4531A" w:rsidRPr="005A40F4" w:rsidRDefault="00C4531A" w:rsidP="00620A4D">
            <w:pPr>
              <w:suppressAutoHyphens w:val="0"/>
              <w:spacing w:before="40" w:after="40"/>
              <w:ind w:left="0"/>
              <w:rPr>
                <w:rFonts w:asciiTheme="minorHAnsi" w:hAnsiTheme="minorHAnsi" w:cstheme="minorHAnsi"/>
                <w:kern w:val="28"/>
              </w:rPr>
            </w:pPr>
            <w:r>
              <w:rPr>
                <w:rFonts w:asciiTheme="minorHAnsi" w:hAnsiTheme="minorHAnsi" w:cstheme="minorHAnsi"/>
                <w:kern w:val="28"/>
              </w:rPr>
              <w:t>Requested Settlement Currency</w:t>
            </w:r>
          </w:p>
        </w:tc>
        <w:tc>
          <w:tcPr>
            <w:tcW w:w="1669" w:type="dxa"/>
          </w:tcPr>
          <w:p w:rsidR="00C4531A" w:rsidRDefault="00C4531A" w:rsidP="00620A4D">
            <w:pPr>
              <w:suppressAutoHyphens w:val="0"/>
              <w:spacing w:before="40" w:after="40"/>
              <w:ind w:left="0"/>
              <w:rPr>
                <w:rFonts w:asciiTheme="minorHAnsi" w:hAnsiTheme="minorHAnsi" w:cstheme="minorHAnsi"/>
                <w:kern w:val="28"/>
              </w:rPr>
            </w:pPr>
            <w:r>
              <w:rPr>
                <w:rFonts w:asciiTheme="minorHAnsi" w:hAnsiTheme="minorHAnsi" w:cstheme="minorHAnsi"/>
                <w:kern w:val="28"/>
              </w:rPr>
              <w:t>YES</w:t>
            </w:r>
          </w:p>
          <w:p w:rsidR="00C4531A" w:rsidRPr="005A40F4" w:rsidRDefault="00C4531A" w:rsidP="00620A4D">
            <w:pPr>
              <w:suppressAutoHyphens w:val="0"/>
              <w:spacing w:before="40" w:after="40"/>
              <w:ind w:left="0"/>
              <w:rPr>
                <w:rFonts w:asciiTheme="minorHAnsi" w:hAnsiTheme="minorHAnsi" w:cstheme="minorHAnsi"/>
                <w:kern w:val="28"/>
              </w:rPr>
            </w:pPr>
            <w:r>
              <w:rPr>
                <w:rFonts w:asciiTheme="minorHAnsi" w:hAnsiTheme="minorHAnsi" w:cstheme="minorHAnsi"/>
                <w:kern w:val="28"/>
              </w:rPr>
              <w:t>YES</w:t>
            </w:r>
          </w:p>
        </w:tc>
      </w:tr>
      <w:tr w:rsidR="00C4531A" w:rsidRPr="005A40F4" w:rsidTr="00C4531A">
        <w:tc>
          <w:tcPr>
            <w:tcW w:w="909" w:type="dxa"/>
          </w:tcPr>
          <w:p w:rsidR="00C4531A" w:rsidRDefault="00C4531A" w:rsidP="0020455A">
            <w:pPr>
              <w:suppressAutoHyphens w:val="0"/>
              <w:spacing w:before="40" w:after="40"/>
              <w:ind w:left="0"/>
              <w:rPr>
                <w:rFonts w:asciiTheme="minorHAnsi" w:hAnsiTheme="minorHAnsi" w:cstheme="minorHAnsi"/>
                <w:kern w:val="28"/>
              </w:rPr>
            </w:pPr>
            <w:r>
              <w:rPr>
                <w:rFonts w:asciiTheme="minorHAnsi" w:hAnsiTheme="minorHAnsi" w:cstheme="minorHAnsi"/>
                <w:kern w:val="28"/>
              </w:rPr>
              <w:t>Setr.013</w:t>
            </w:r>
          </w:p>
        </w:tc>
        <w:tc>
          <w:tcPr>
            <w:tcW w:w="3488" w:type="dxa"/>
          </w:tcPr>
          <w:p w:rsidR="00C4531A" w:rsidRPr="00C4531A" w:rsidRDefault="00C4531A" w:rsidP="0020455A">
            <w:pPr>
              <w:suppressAutoHyphens w:val="0"/>
              <w:spacing w:before="40" w:after="40"/>
              <w:ind w:left="0"/>
              <w:rPr>
                <w:rFonts w:asciiTheme="minorHAnsi" w:hAnsiTheme="minorHAnsi" w:cstheme="minorHAnsi"/>
                <w:i/>
                <w:kern w:val="28"/>
              </w:rPr>
            </w:pPr>
            <w:r w:rsidRPr="00C4531A">
              <w:rPr>
                <w:rFonts w:asciiTheme="minorHAnsi" w:hAnsiTheme="minorHAnsi" w:cstheme="minorHAnsi"/>
                <w:i/>
                <w:kern w:val="28"/>
              </w:rPr>
              <w:t>none</w:t>
            </w:r>
          </w:p>
        </w:tc>
        <w:tc>
          <w:tcPr>
            <w:tcW w:w="1405" w:type="dxa"/>
          </w:tcPr>
          <w:p w:rsidR="00C4531A" w:rsidRPr="005A40F4" w:rsidRDefault="00C4531A" w:rsidP="0020455A">
            <w:pPr>
              <w:suppressAutoHyphens w:val="0"/>
              <w:spacing w:before="40" w:after="40"/>
              <w:ind w:left="0"/>
              <w:rPr>
                <w:rFonts w:asciiTheme="minorHAnsi" w:hAnsiTheme="minorHAnsi" w:cstheme="minorHAnsi"/>
                <w:kern w:val="28"/>
              </w:rPr>
            </w:pPr>
          </w:p>
        </w:tc>
        <w:tc>
          <w:tcPr>
            <w:tcW w:w="1938" w:type="dxa"/>
          </w:tcPr>
          <w:p w:rsidR="00C4531A" w:rsidRPr="005A40F4" w:rsidRDefault="00C4531A" w:rsidP="0020455A">
            <w:pPr>
              <w:suppressAutoHyphens w:val="0"/>
              <w:spacing w:before="40" w:after="40"/>
              <w:ind w:left="0"/>
              <w:rPr>
                <w:rFonts w:asciiTheme="minorHAnsi" w:hAnsiTheme="minorHAnsi" w:cstheme="minorHAnsi"/>
                <w:kern w:val="28"/>
              </w:rPr>
            </w:pPr>
          </w:p>
        </w:tc>
        <w:tc>
          <w:tcPr>
            <w:tcW w:w="1669" w:type="dxa"/>
          </w:tcPr>
          <w:p w:rsidR="00C4531A" w:rsidRPr="005A40F4" w:rsidRDefault="00C4531A" w:rsidP="0020455A">
            <w:pPr>
              <w:suppressAutoHyphens w:val="0"/>
              <w:spacing w:before="40" w:after="40"/>
              <w:ind w:left="0"/>
              <w:rPr>
                <w:rFonts w:asciiTheme="minorHAnsi" w:hAnsiTheme="minorHAnsi" w:cstheme="minorHAnsi"/>
                <w:kern w:val="28"/>
              </w:rPr>
            </w:pPr>
          </w:p>
        </w:tc>
      </w:tr>
      <w:tr w:rsidR="00C4531A" w:rsidRPr="005A40F4" w:rsidTr="00C4531A">
        <w:tc>
          <w:tcPr>
            <w:tcW w:w="909" w:type="dxa"/>
          </w:tcPr>
          <w:p w:rsidR="00C4531A" w:rsidRDefault="00C4531A" w:rsidP="0020455A">
            <w:pPr>
              <w:suppressAutoHyphens w:val="0"/>
              <w:spacing w:before="40" w:after="40"/>
              <w:ind w:left="0"/>
              <w:rPr>
                <w:rFonts w:asciiTheme="minorHAnsi" w:hAnsiTheme="minorHAnsi" w:cstheme="minorHAnsi"/>
                <w:kern w:val="28"/>
              </w:rPr>
            </w:pPr>
            <w:r>
              <w:rPr>
                <w:rFonts w:asciiTheme="minorHAnsi" w:hAnsiTheme="minorHAnsi" w:cstheme="minorHAnsi"/>
                <w:kern w:val="28"/>
              </w:rPr>
              <w:lastRenderedPageBreak/>
              <w:t>Setr.012</w:t>
            </w:r>
          </w:p>
        </w:tc>
        <w:tc>
          <w:tcPr>
            <w:tcW w:w="3488" w:type="dxa"/>
          </w:tcPr>
          <w:p w:rsidR="00C4531A" w:rsidRPr="005A40F4" w:rsidRDefault="00C4531A" w:rsidP="0020455A">
            <w:pPr>
              <w:suppressAutoHyphens w:val="0"/>
              <w:spacing w:before="40" w:after="40"/>
              <w:ind w:left="0"/>
              <w:rPr>
                <w:rFonts w:asciiTheme="minorHAnsi" w:hAnsiTheme="minorHAnsi" w:cstheme="minorHAnsi"/>
                <w:kern w:val="28"/>
              </w:rPr>
            </w:pPr>
            <w:r w:rsidRPr="00C4531A">
              <w:rPr>
                <w:rFonts w:asciiTheme="minorHAnsi" w:hAnsiTheme="minorHAnsi" w:cstheme="minorHAnsi"/>
                <w:kern w:val="28"/>
              </w:rPr>
              <w:t>DVPSettlementDateRule</w:t>
            </w:r>
          </w:p>
        </w:tc>
        <w:tc>
          <w:tcPr>
            <w:tcW w:w="1405" w:type="dxa"/>
          </w:tcPr>
          <w:p w:rsidR="00C4531A" w:rsidRPr="005A40F4" w:rsidRDefault="00C4531A" w:rsidP="00C4531A">
            <w:pPr>
              <w:suppressAutoHyphens w:val="0"/>
              <w:spacing w:before="40" w:after="40"/>
              <w:ind w:left="0"/>
              <w:rPr>
                <w:rFonts w:asciiTheme="minorHAnsi" w:hAnsiTheme="minorHAnsi" w:cstheme="minorHAnsi"/>
                <w:kern w:val="28"/>
              </w:rPr>
            </w:pPr>
            <w:r w:rsidRPr="00C4531A">
              <w:rPr>
                <w:rFonts w:asciiTheme="minorHAnsi" w:hAnsiTheme="minorHAnsi" w:cstheme="minorHAnsi"/>
                <w:kern w:val="28"/>
              </w:rPr>
              <w:t>Individual</w:t>
            </w:r>
            <w:r>
              <w:rPr>
                <w:rFonts w:asciiTheme="minorHAnsi" w:hAnsiTheme="minorHAnsi" w:cstheme="minorHAnsi"/>
                <w:kern w:val="28"/>
              </w:rPr>
              <w:t xml:space="preserve"> </w:t>
            </w:r>
            <w:r w:rsidRPr="00C4531A">
              <w:rPr>
                <w:rFonts w:asciiTheme="minorHAnsi" w:hAnsiTheme="minorHAnsi" w:cstheme="minorHAnsi"/>
                <w:kern w:val="28"/>
              </w:rPr>
              <w:t>Execution</w:t>
            </w:r>
            <w:r>
              <w:rPr>
                <w:rFonts w:asciiTheme="minorHAnsi" w:hAnsiTheme="minorHAnsi" w:cstheme="minorHAnsi"/>
                <w:kern w:val="28"/>
              </w:rPr>
              <w:t xml:space="preserve"> </w:t>
            </w:r>
            <w:r w:rsidRPr="00C4531A">
              <w:rPr>
                <w:rFonts w:asciiTheme="minorHAnsi" w:hAnsiTheme="minorHAnsi" w:cstheme="minorHAnsi"/>
                <w:kern w:val="28"/>
              </w:rPr>
              <w:t>Details</w:t>
            </w:r>
          </w:p>
        </w:tc>
        <w:tc>
          <w:tcPr>
            <w:tcW w:w="1938" w:type="dxa"/>
          </w:tcPr>
          <w:p w:rsidR="00C4531A" w:rsidRDefault="00C4531A" w:rsidP="0020455A">
            <w:pPr>
              <w:suppressAutoHyphens w:val="0"/>
              <w:spacing w:before="40" w:after="40"/>
              <w:ind w:left="0"/>
              <w:rPr>
                <w:rFonts w:asciiTheme="minorHAnsi" w:hAnsiTheme="minorHAnsi" w:cstheme="minorHAnsi"/>
                <w:kern w:val="28"/>
              </w:rPr>
            </w:pPr>
            <w:r>
              <w:rPr>
                <w:rFonts w:asciiTheme="minorHAnsi" w:hAnsiTheme="minorHAnsi" w:cstheme="minorHAnsi"/>
                <w:kern w:val="28"/>
              </w:rPr>
              <w:t>Settlement Method</w:t>
            </w:r>
          </w:p>
          <w:p w:rsidR="00C4531A" w:rsidRDefault="00C4531A" w:rsidP="0020455A">
            <w:pPr>
              <w:suppressAutoHyphens w:val="0"/>
              <w:spacing w:before="40" w:after="40"/>
              <w:ind w:left="0"/>
              <w:rPr>
                <w:rFonts w:asciiTheme="minorHAnsi" w:hAnsiTheme="minorHAnsi" w:cstheme="minorHAnsi"/>
                <w:kern w:val="28"/>
              </w:rPr>
            </w:pPr>
            <w:r>
              <w:rPr>
                <w:rFonts w:asciiTheme="minorHAnsi" w:hAnsiTheme="minorHAnsi" w:cstheme="minorHAnsi"/>
                <w:kern w:val="28"/>
              </w:rPr>
              <w:t>Cash Settlement Date</w:t>
            </w:r>
          </w:p>
          <w:p w:rsidR="00C4531A" w:rsidRPr="005A40F4" w:rsidRDefault="00C4531A" w:rsidP="0020455A">
            <w:pPr>
              <w:suppressAutoHyphens w:val="0"/>
              <w:spacing w:before="40" w:after="40"/>
              <w:ind w:left="0"/>
              <w:rPr>
                <w:rFonts w:asciiTheme="minorHAnsi" w:hAnsiTheme="minorHAnsi" w:cstheme="minorHAnsi"/>
                <w:kern w:val="28"/>
              </w:rPr>
            </w:pPr>
            <w:r>
              <w:rPr>
                <w:rFonts w:asciiTheme="minorHAnsi" w:hAnsiTheme="minorHAnsi" w:cstheme="minorHAnsi"/>
                <w:kern w:val="28"/>
              </w:rPr>
              <w:t>Settlement Date</w:t>
            </w:r>
          </w:p>
        </w:tc>
        <w:tc>
          <w:tcPr>
            <w:tcW w:w="1669" w:type="dxa"/>
          </w:tcPr>
          <w:p w:rsidR="00C4531A" w:rsidRDefault="00C4531A" w:rsidP="0020455A">
            <w:pPr>
              <w:suppressAutoHyphens w:val="0"/>
              <w:spacing w:before="40" w:after="40"/>
              <w:ind w:left="0"/>
              <w:rPr>
                <w:rFonts w:asciiTheme="minorHAnsi" w:hAnsiTheme="minorHAnsi" w:cstheme="minorHAnsi"/>
                <w:kern w:val="28"/>
              </w:rPr>
            </w:pPr>
            <w:r>
              <w:rPr>
                <w:rFonts w:asciiTheme="minorHAnsi" w:hAnsiTheme="minorHAnsi" w:cstheme="minorHAnsi"/>
                <w:kern w:val="28"/>
              </w:rPr>
              <w:t>YES</w:t>
            </w:r>
          </w:p>
          <w:p w:rsidR="00C4531A" w:rsidRDefault="00C4531A" w:rsidP="0020455A">
            <w:pPr>
              <w:suppressAutoHyphens w:val="0"/>
              <w:spacing w:before="40" w:after="40"/>
              <w:ind w:left="0"/>
              <w:rPr>
                <w:rFonts w:asciiTheme="minorHAnsi" w:hAnsiTheme="minorHAnsi" w:cstheme="minorHAnsi"/>
                <w:kern w:val="28"/>
              </w:rPr>
            </w:pPr>
            <w:r>
              <w:rPr>
                <w:rFonts w:asciiTheme="minorHAnsi" w:hAnsiTheme="minorHAnsi" w:cstheme="minorHAnsi"/>
                <w:kern w:val="28"/>
              </w:rPr>
              <w:t>YES</w:t>
            </w:r>
          </w:p>
          <w:p w:rsidR="00C4531A" w:rsidRPr="005A40F4" w:rsidRDefault="00C4531A" w:rsidP="0020455A">
            <w:pPr>
              <w:suppressAutoHyphens w:val="0"/>
              <w:spacing w:before="40" w:after="40"/>
              <w:ind w:left="0"/>
              <w:rPr>
                <w:rFonts w:asciiTheme="minorHAnsi" w:hAnsiTheme="minorHAnsi" w:cstheme="minorHAnsi"/>
                <w:kern w:val="28"/>
              </w:rPr>
            </w:pPr>
            <w:r>
              <w:rPr>
                <w:rFonts w:asciiTheme="minorHAnsi" w:hAnsiTheme="minorHAnsi" w:cstheme="minorHAnsi"/>
                <w:kern w:val="28"/>
              </w:rPr>
              <w:t>YES</w:t>
            </w:r>
          </w:p>
        </w:tc>
      </w:tr>
      <w:tr w:rsidR="00C4531A" w:rsidRPr="005A40F4" w:rsidTr="00C4531A">
        <w:tc>
          <w:tcPr>
            <w:tcW w:w="909" w:type="dxa"/>
          </w:tcPr>
          <w:p w:rsidR="00C4531A" w:rsidRDefault="00C4531A" w:rsidP="0020455A">
            <w:pPr>
              <w:suppressAutoHyphens w:val="0"/>
              <w:spacing w:before="40" w:after="40"/>
              <w:ind w:left="0"/>
              <w:rPr>
                <w:rFonts w:asciiTheme="minorHAnsi" w:hAnsiTheme="minorHAnsi" w:cstheme="minorHAnsi"/>
                <w:kern w:val="28"/>
              </w:rPr>
            </w:pPr>
            <w:r>
              <w:rPr>
                <w:rFonts w:asciiTheme="minorHAnsi" w:hAnsiTheme="minorHAnsi" w:cstheme="minorHAnsi"/>
                <w:kern w:val="28"/>
              </w:rPr>
              <w:t>Setr.006</w:t>
            </w:r>
          </w:p>
        </w:tc>
        <w:tc>
          <w:tcPr>
            <w:tcW w:w="3488" w:type="dxa"/>
          </w:tcPr>
          <w:p w:rsidR="00C4531A" w:rsidRPr="005A40F4" w:rsidRDefault="00C4531A" w:rsidP="00620A4D">
            <w:pPr>
              <w:suppressAutoHyphens w:val="0"/>
              <w:spacing w:before="40" w:after="40"/>
              <w:ind w:left="0"/>
              <w:rPr>
                <w:rFonts w:asciiTheme="minorHAnsi" w:hAnsiTheme="minorHAnsi" w:cstheme="minorHAnsi"/>
                <w:kern w:val="28"/>
              </w:rPr>
            </w:pPr>
            <w:r w:rsidRPr="00C4531A">
              <w:rPr>
                <w:rFonts w:asciiTheme="minorHAnsi" w:hAnsiTheme="minorHAnsi" w:cstheme="minorHAnsi"/>
                <w:kern w:val="28"/>
              </w:rPr>
              <w:t>DVPSettlementDateRule</w:t>
            </w:r>
          </w:p>
        </w:tc>
        <w:tc>
          <w:tcPr>
            <w:tcW w:w="1405" w:type="dxa"/>
          </w:tcPr>
          <w:p w:rsidR="00C4531A" w:rsidRPr="005A40F4" w:rsidRDefault="00C4531A" w:rsidP="00620A4D">
            <w:pPr>
              <w:suppressAutoHyphens w:val="0"/>
              <w:spacing w:before="40" w:after="40"/>
              <w:ind w:left="0"/>
              <w:rPr>
                <w:rFonts w:asciiTheme="minorHAnsi" w:hAnsiTheme="minorHAnsi" w:cstheme="minorHAnsi"/>
                <w:kern w:val="28"/>
              </w:rPr>
            </w:pPr>
            <w:r w:rsidRPr="00C4531A">
              <w:rPr>
                <w:rFonts w:asciiTheme="minorHAnsi" w:hAnsiTheme="minorHAnsi" w:cstheme="minorHAnsi"/>
                <w:kern w:val="28"/>
              </w:rPr>
              <w:t>Individual</w:t>
            </w:r>
            <w:r>
              <w:rPr>
                <w:rFonts w:asciiTheme="minorHAnsi" w:hAnsiTheme="minorHAnsi" w:cstheme="minorHAnsi"/>
                <w:kern w:val="28"/>
              </w:rPr>
              <w:t xml:space="preserve"> </w:t>
            </w:r>
            <w:r w:rsidRPr="00C4531A">
              <w:rPr>
                <w:rFonts w:asciiTheme="minorHAnsi" w:hAnsiTheme="minorHAnsi" w:cstheme="minorHAnsi"/>
                <w:kern w:val="28"/>
              </w:rPr>
              <w:t>Execution</w:t>
            </w:r>
            <w:r>
              <w:rPr>
                <w:rFonts w:asciiTheme="minorHAnsi" w:hAnsiTheme="minorHAnsi" w:cstheme="minorHAnsi"/>
                <w:kern w:val="28"/>
              </w:rPr>
              <w:t xml:space="preserve"> </w:t>
            </w:r>
            <w:r w:rsidRPr="00C4531A">
              <w:rPr>
                <w:rFonts w:asciiTheme="minorHAnsi" w:hAnsiTheme="minorHAnsi" w:cstheme="minorHAnsi"/>
                <w:kern w:val="28"/>
              </w:rPr>
              <w:t>Details</w:t>
            </w:r>
          </w:p>
        </w:tc>
        <w:tc>
          <w:tcPr>
            <w:tcW w:w="1938" w:type="dxa"/>
          </w:tcPr>
          <w:p w:rsidR="00C4531A" w:rsidRDefault="00C4531A" w:rsidP="00620A4D">
            <w:pPr>
              <w:suppressAutoHyphens w:val="0"/>
              <w:spacing w:before="40" w:after="40"/>
              <w:ind w:left="0"/>
              <w:rPr>
                <w:rFonts w:asciiTheme="minorHAnsi" w:hAnsiTheme="minorHAnsi" w:cstheme="minorHAnsi"/>
                <w:kern w:val="28"/>
              </w:rPr>
            </w:pPr>
            <w:r>
              <w:rPr>
                <w:rFonts w:asciiTheme="minorHAnsi" w:hAnsiTheme="minorHAnsi" w:cstheme="minorHAnsi"/>
                <w:kern w:val="28"/>
              </w:rPr>
              <w:t>Settlement Method</w:t>
            </w:r>
          </w:p>
          <w:p w:rsidR="00C4531A" w:rsidRDefault="00C4531A" w:rsidP="00620A4D">
            <w:pPr>
              <w:suppressAutoHyphens w:val="0"/>
              <w:spacing w:before="40" w:after="40"/>
              <w:ind w:left="0"/>
              <w:rPr>
                <w:rFonts w:asciiTheme="minorHAnsi" w:hAnsiTheme="minorHAnsi" w:cstheme="minorHAnsi"/>
                <w:kern w:val="28"/>
              </w:rPr>
            </w:pPr>
            <w:r>
              <w:rPr>
                <w:rFonts w:asciiTheme="minorHAnsi" w:hAnsiTheme="minorHAnsi" w:cstheme="minorHAnsi"/>
                <w:kern w:val="28"/>
              </w:rPr>
              <w:t>Cash Settlement Date</w:t>
            </w:r>
          </w:p>
          <w:p w:rsidR="00C4531A" w:rsidRPr="005A40F4" w:rsidRDefault="00C4531A" w:rsidP="00620A4D">
            <w:pPr>
              <w:suppressAutoHyphens w:val="0"/>
              <w:spacing w:before="40" w:after="40"/>
              <w:ind w:left="0"/>
              <w:rPr>
                <w:rFonts w:asciiTheme="minorHAnsi" w:hAnsiTheme="minorHAnsi" w:cstheme="minorHAnsi"/>
                <w:kern w:val="28"/>
              </w:rPr>
            </w:pPr>
            <w:r>
              <w:rPr>
                <w:rFonts w:asciiTheme="minorHAnsi" w:hAnsiTheme="minorHAnsi" w:cstheme="minorHAnsi"/>
                <w:kern w:val="28"/>
              </w:rPr>
              <w:t>Settlement Date</w:t>
            </w:r>
          </w:p>
        </w:tc>
        <w:tc>
          <w:tcPr>
            <w:tcW w:w="1669" w:type="dxa"/>
          </w:tcPr>
          <w:p w:rsidR="00C4531A" w:rsidRDefault="00C4531A" w:rsidP="00620A4D">
            <w:pPr>
              <w:suppressAutoHyphens w:val="0"/>
              <w:spacing w:before="40" w:after="40"/>
              <w:ind w:left="0"/>
              <w:rPr>
                <w:rFonts w:asciiTheme="minorHAnsi" w:hAnsiTheme="minorHAnsi" w:cstheme="minorHAnsi"/>
                <w:kern w:val="28"/>
              </w:rPr>
            </w:pPr>
            <w:r>
              <w:rPr>
                <w:rFonts w:asciiTheme="minorHAnsi" w:hAnsiTheme="minorHAnsi" w:cstheme="minorHAnsi"/>
                <w:kern w:val="28"/>
              </w:rPr>
              <w:t>YES</w:t>
            </w:r>
          </w:p>
          <w:p w:rsidR="00C4531A" w:rsidRDefault="00C4531A" w:rsidP="00620A4D">
            <w:pPr>
              <w:suppressAutoHyphens w:val="0"/>
              <w:spacing w:before="40" w:after="40"/>
              <w:ind w:left="0"/>
              <w:rPr>
                <w:rFonts w:asciiTheme="minorHAnsi" w:hAnsiTheme="minorHAnsi" w:cstheme="minorHAnsi"/>
                <w:kern w:val="28"/>
              </w:rPr>
            </w:pPr>
            <w:r>
              <w:rPr>
                <w:rFonts w:asciiTheme="minorHAnsi" w:hAnsiTheme="minorHAnsi" w:cstheme="minorHAnsi"/>
                <w:kern w:val="28"/>
              </w:rPr>
              <w:t>YES</w:t>
            </w:r>
          </w:p>
          <w:p w:rsidR="00C4531A" w:rsidRPr="005A40F4" w:rsidRDefault="00C4531A" w:rsidP="00620A4D">
            <w:pPr>
              <w:suppressAutoHyphens w:val="0"/>
              <w:spacing w:before="40" w:after="40"/>
              <w:ind w:left="0"/>
              <w:rPr>
                <w:rFonts w:asciiTheme="minorHAnsi" w:hAnsiTheme="minorHAnsi" w:cstheme="minorHAnsi"/>
                <w:kern w:val="28"/>
              </w:rPr>
            </w:pPr>
            <w:r>
              <w:rPr>
                <w:rFonts w:asciiTheme="minorHAnsi" w:hAnsiTheme="minorHAnsi" w:cstheme="minorHAnsi"/>
                <w:kern w:val="28"/>
              </w:rPr>
              <w:t>YES</w:t>
            </w:r>
          </w:p>
        </w:tc>
      </w:tr>
      <w:tr w:rsidR="00C4531A" w:rsidRPr="005A40F4" w:rsidTr="00C4531A">
        <w:tc>
          <w:tcPr>
            <w:tcW w:w="909" w:type="dxa"/>
          </w:tcPr>
          <w:p w:rsidR="00C4531A" w:rsidRDefault="00C4531A" w:rsidP="0020455A">
            <w:pPr>
              <w:suppressAutoHyphens w:val="0"/>
              <w:spacing w:before="40" w:after="40"/>
              <w:ind w:left="0"/>
              <w:rPr>
                <w:rFonts w:asciiTheme="minorHAnsi" w:hAnsiTheme="minorHAnsi" w:cstheme="minorHAnsi"/>
                <w:kern w:val="28"/>
              </w:rPr>
            </w:pPr>
            <w:r>
              <w:rPr>
                <w:rFonts w:asciiTheme="minorHAnsi" w:hAnsiTheme="minorHAnsi" w:cstheme="minorHAnsi"/>
                <w:kern w:val="28"/>
              </w:rPr>
              <w:t>Setr.015</w:t>
            </w:r>
          </w:p>
        </w:tc>
        <w:tc>
          <w:tcPr>
            <w:tcW w:w="3488" w:type="dxa"/>
          </w:tcPr>
          <w:p w:rsidR="00C4531A" w:rsidRPr="00C4531A" w:rsidRDefault="00C4531A" w:rsidP="0020455A">
            <w:pPr>
              <w:suppressAutoHyphens w:val="0"/>
              <w:spacing w:before="40" w:after="40"/>
              <w:ind w:left="0"/>
              <w:rPr>
                <w:rFonts w:asciiTheme="minorHAnsi" w:hAnsiTheme="minorHAnsi" w:cstheme="minorHAnsi"/>
                <w:i/>
                <w:kern w:val="28"/>
              </w:rPr>
            </w:pPr>
            <w:r w:rsidRPr="00C4531A">
              <w:rPr>
                <w:rFonts w:asciiTheme="minorHAnsi" w:hAnsiTheme="minorHAnsi" w:cstheme="minorHAnsi"/>
                <w:i/>
                <w:kern w:val="28"/>
              </w:rPr>
              <w:t>none</w:t>
            </w:r>
          </w:p>
        </w:tc>
        <w:tc>
          <w:tcPr>
            <w:tcW w:w="1405" w:type="dxa"/>
          </w:tcPr>
          <w:p w:rsidR="00C4531A" w:rsidRPr="005A40F4" w:rsidRDefault="00C4531A" w:rsidP="0020455A">
            <w:pPr>
              <w:suppressAutoHyphens w:val="0"/>
              <w:spacing w:before="40" w:after="40"/>
              <w:ind w:left="0"/>
              <w:rPr>
                <w:rFonts w:asciiTheme="minorHAnsi" w:hAnsiTheme="minorHAnsi" w:cstheme="minorHAnsi"/>
                <w:kern w:val="28"/>
              </w:rPr>
            </w:pPr>
          </w:p>
        </w:tc>
        <w:tc>
          <w:tcPr>
            <w:tcW w:w="1938" w:type="dxa"/>
          </w:tcPr>
          <w:p w:rsidR="00C4531A" w:rsidRPr="005A40F4" w:rsidRDefault="00C4531A" w:rsidP="0020455A">
            <w:pPr>
              <w:suppressAutoHyphens w:val="0"/>
              <w:spacing w:before="40" w:after="40"/>
              <w:ind w:left="0"/>
              <w:rPr>
                <w:rFonts w:asciiTheme="minorHAnsi" w:hAnsiTheme="minorHAnsi" w:cstheme="minorHAnsi"/>
                <w:kern w:val="28"/>
              </w:rPr>
            </w:pPr>
          </w:p>
        </w:tc>
        <w:tc>
          <w:tcPr>
            <w:tcW w:w="1669" w:type="dxa"/>
          </w:tcPr>
          <w:p w:rsidR="00C4531A" w:rsidRPr="005A40F4" w:rsidRDefault="00C4531A" w:rsidP="0020455A">
            <w:pPr>
              <w:suppressAutoHyphens w:val="0"/>
              <w:spacing w:before="40" w:after="40"/>
              <w:ind w:left="0"/>
              <w:rPr>
                <w:rFonts w:asciiTheme="minorHAnsi" w:hAnsiTheme="minorHAnsi" w:cstheme="minorHAnsi"/>
                <w:kern w:val="28"/>
              </w:rPr>
            </w:pPr>
          </w:p>
        </w:tc>
      </w:tr>
    </w:tbl>
    <w:p w:rsidR="005A40F4" w:rsidRPr="005A40F4" w:rsidRDefault="005A40F4" w:rsidP="005B5EAE">
      <w:pPr>
        <w:suppressAutoHyphens w:val="0"/>
        <w:spacing w:before="0" w:after="0"/>
        <w:ind w:left="0"/>
        <w:rPr>
          <w:rFonts w:asciiTheme="minorHAnsi" w:hAnsiTheme="minorHAnsi" w:cstheme="minorHAnsi"/>
          <w:b/>
          <w:kern w:val="28"/>
          <w:sz w:val="28"/>
        </w:rPr>
      </w:pPr>
    </w:p>
    <w:p w:rsidR="00937AB0" w:rsidRDefault="00937AB0" w:rsidP="00937AB0">
      <w:pPr>
        <w:pStyle w:val="Heading1"/>
      </w:pPr>
      <w:bookmarkStart w:id="34" w:name="_Toc377395923"/>
      <w:r>
        <w:t xml:space="preserve">Business </w:t>
      </w:r>
      <w:r w:rsidR="007002FE">
        <w:t>Justification</w:t>
      </w:r>
      <w:r>
        <w:t xml:space="preserve"> Transparency of Holdings</w:t>
      </w:r>
      <w:bookmarkEnd w:id="34"/>
    </w:p>
    <w:p w:rsidR="00937AB0" w:rsidRPr="00B36D0D" w:rsidRDefault="00937AB0" w:rsidP="004937A1">
      <w:pPr>
        <w:ind w:left="720"/>
      </w:pPr>
      <w:r>
        <w:t>This was discussed briefly. General approval.</w:t>
      </w:r>
    </w:p>
    <w:p w:rsidR="00357DAF" w:rsidRDefault="00173B9A" w:rsidP="00357DAF">
      <w:pPr>
        <w:pStyle w:val="Heading1"/>
      </w:pPr>
      <w:bookmarkStart w:id="35" w:name="_Toc377395924"/>
      <w:r>
        <w:t>Corporate Actions</w:t>
      </w:r>
      <w:bookmarkEnd w:id="35"/>
    </w:p>
    <w:p w:rsidR="00937AB0" w:rsidRDefault="00362218" w:rsidP="004937A1">
      <w:pPr>
        <w:ind w:left="720"/>
      </w:pPr>
      <w:r>
        <w:t xml:space="preserve">No time for a real work session. </w:t>
      </w:r>
    </w:p>
    <w:p w:rsidR="00CF38B6" w:rsidRDefault="00362218" w:rsidP="004937A1">
      <w:pPr>
        <w:ind w:left="720"/>
      </w:pPr>
      <w:r>
        <w:t xml:space="preserve">Actions: </w:t>
      </w:r>
    </w:p>
    <w:p w:rsidR="00362218" w:rsidRDefault="00CF38B6" w:rsidP="004937A1">
      <w:pPr>
        <w:ind w:left="1260" w:hanging="540"/>
      </w:pPr>
      <w:r>
        <w:t>[1]</w:t>
      </w:r>
      <w:r>
        <w:tab/>
      </w:r>
      <w:r w:rsidR="00362218">
        <w:t xml:space="preserve">DB to verify if matrix </w:t>
      </w:r>
      <w:r w:rsidR="007002FE">
        <w:t>spread sheet</w:t>
      </w:r>
      <w:r w:rsidR="00362218">
        <w:t xml:space="preserve"> based on current CA matrix.</w:t>
      </w:r>
    </w:p>
    <w:p w:rsidR="00CF38B6" w:rsidRPr="00937AB0" w:rsidRDefault="00CF38B6" w:rsidP="004937A1">
      <w:pPr>
        <w:ind w:left="1260" w:hanging="540"/>
      </w:pPr>
      <w:r>
        <w:t xml:space="preserve">[2] </w:t>
      </w:r>
      <w:r w:rsidR="004937A1">
        <w:tab/>
      </w:r>
      <w:r>
        <w:t>CA is the topic of December call.</w:t>
      </w:r>
    </w:p>
    <w:p w:rsidR="00357DAF" w:rsidRDefault="00712617" w:rsidP="00357DAF">
      <w:pPr>
        <w:pStyle w:val="Heading1"/>
      </w:pPr>
      <w:bookmarkStart w:id="36" w:name="_Toc377395925"/>
      <w:r>
        <w:t>Price Report</w:t>
      </w:r>
      <w:bookmarkEnd w:id="36"/>
    </w:p>
    <w:p w:rsidR="00937AB0" w:rsidRPr="00937AB0" w:rsidRDefault="00CF38B6" w:rsidP="004937A1">
      <w:pPr>
        <w:ind w:left="720"/>
      </w:pPr>
      <w:r>
        <w:t>No time for real work. Low hanging fruit. January call is the final review. Request SMPG to review by January call.</w:t>
      </w:r>
    </w:p>
    <w:p w:rsidR="00712617" w:rsidRDefault="00712617" w:rsidP="00712617">
      <w:pPr>
        <w:pStyle w:val="Heading1"/>
      </w:pPr>
      <w:bookmarkStart w:id="37" w:name="_Toc377395926"/>
      <w:r>
        <w:t>Dashboard</w:t>
      </w:r>
      <w:bookmarkEnd w:id="37"/>
    </w:p>
    <w:p w:rsidR="00ED6AE7" w:rsidRDefault="00C45EC9" w:rsidP="004937A1">
      <w:pPr>
        <w:ind w:left="720"/>
      </w:pPr>
      <w:r>
        <w:t xml:space="preserve">Dashboard </w:t>
      </w:r>
      <w:r w:rsidR="007002FE">
        <w:t>reviewed</w:t>
      </w:r>
      <w:r>
        <w:t xml:space="preserve"> an updated (see xxx)</w:t>
      </w:r>
    </w:p>
    <w:p w:rsidR="009022AC" w:rsidRDefault="009022AC" w:rsidP="009022AC">
      <w:pPr>
        <w:pStyle w:val="Heading1"/>
      </w:pPr>
      <w:bookmarkStart w:id="38" w:name="_Toc377395927"/>
      <w:r>
        <w:t>FX sequence</w:t>
      </w:r>
      <w:bookmarkEnd w:id="38"/>
    </w:p>
    <w:p w:rsidR="009022AC" w:rsidRDefault="009022AC" w:rsidP="004937A1">
      <w:pPr>
        <w:ind w:left="720"/>
      </w:pPr>
      <w:r>
        <w:t>Arranged extraordinary meeting to discuss FX sequence 5 November.</w:t>
      </w:r>
    </w:p>
    <w:p w:rsidR="009022AC" w:rsidRDefault="007002FE" w:rsidP="004937A1">
      <w:pPr>
        <w:ind w:left="720"/>
      </w:pPr>
      <w:r>
        <w:t>Circulate</w:t>
      </w:r>
      <w:r w:rsidR="009022AC">
        <w:t xml:space="preserve"> MT definitions and MX definition</w:t>
      </w:r>
    </w:p>
    <w:p w:rsidR="009022AC" w:rsidRDefault="009022AC" w:rsidP="009022AC">
      <w:pPr>
        <w:pStyle w:val="Heading1"/>
      </w:pPr>
      <w:bookmarkStart w:id="39" w:name="_Toc377395928"/>
      <w:r>
        <w:t>Orders MP</w:t>
      </w:r>
      <w:r w:rsidR="00362218">
        <w:t xml:space="preserve"> Actions</w:t>
      </w:r>
      <w:bookmarkEnd w:id="39"/>
    </w:p>
    <w:p w:rsidR="009022AC" w:rsidRDefault="00123518" w:rsidP="004937A1">
      <w:pPr>
        <w:ind w:left="720"/>
      </w:pPr>
      <w:r>
        <w:t xml:space="preserve">Need a final review of the </w:t>
      </w:r>
      <w:r w:rsidR="001F7E57">
        <w:t>Usage Guidelines and Process document.</w:t>
      </w:r>
    </w:p>
    <w:p w:rsidR="00123518" w:rsidRDefault="00123518" w:rsidP="004937A1">
      <w:pPr>
        <w:ind w:left="720"/>
      </w:pPr>
      <w:r>
        <w:t>David &amp; Janice delivery final (excluding FX)  by 1</w:t>
      </w:r>
      <w:r w:rsidRPr="00123518">
        <w:rPr>
          <w:vertAlign w:val="superscript"/>
        </w:rPr>
        <w:t>st</w:t>
      </w:r>
      <w:r>
        <w:t xml:space="preserve"> November</w:t>
      </w:r>
    </w:p>
    <w:p w:rsidR="00123518" w:rsidRDefault="00123518" w:rsidP="004937A1">
      <w:pPr>
        <w:ind w:left="720"/>
      </w:pPr>
      <w:r>
        <w:t>Final review ‘sanity check’.</w:t>
      </w:r>
      <w:r w:rsidR="00AD1573">
        <w:t xml:space="preserve"> Comments via e-mail.</w:t>
      </w:r>
    </w:p>
    <w:p w:rsidR="00362218" w:rsidRDefault="00362218" w:rsidP="004937A1">
      <w:pPr>
        <w:ind w:left="720"/>
      </w:pPr>
      <w:r>
        <w:t>Plan is to go ‘public’ by end of November!</w:t>
      </w:r>
    </w:p>
    <w:p w:rsidR="00EA02C3" w:rsidRDefault="00EA02C3" w:rsidP="00EA02C3">
      <w:pPr>
        <w:pStyle w:val="Heading1"/>
      </w:pPr>
      <w:bookmarkStart w:id="40" w:name="_Toc377395929"/>
      <w:r>
        <w:t>Change requests –</w:t>
      </w:r>
      <w:bookmarkEnd w:id="40"/>
    </w:p>
    <w:p w:rsidR="00EA02C3" w:rsidRDefault="004937A1" w:rsidP="004937A1">
      <w:pPr>
        <w:ind w:left="720"/>
      </w:pPr>
      <w:r>
        <w:t xml:space="preserve">To be on the </w:t>
      </w:r>
      <w:r w:rsidR="00EA02C3">
        <w:t xml:space="preserve"> agenda for Spring meeting – so we can do some of the review work.</w:t>
      </w:r>
    </w:p>
    <w:p w:rsidR="004937A1" w:rsidRDefault="004937A1" w:rsidP="004937A1">
      <w:pPr>
        <w:pStyle w:val="Heading1"/>
      </w:pPr>
      <w:bookmarkStart w:id="41" w:name="_Toc377395930"/>
      <w:r>
        <w:lastRenderedPageBreak/>
        <w:t>November call.</w:t>
      </w:r>
      <w:bookmarkEnd w:id="41"/>
    </w:p>
    <w:p w:rsidR="004937A1" w:rsidRDefault="004937A1" w:rsidP="00E874D6">
      <w:pPr>
        <w:ind w:left="720"/>
      </w:pPr>
      <w:r>
        <w:t>This is re-scheduled to  5 November 2013 at 10 am CET (instread of November 19)</w:t>
      </w:r>
    </w:p>
    <w:p w:rsidR="004937A1" w:rsidRPr="004937A1" w:rsidRDefault="004937A1" w:rsidP="00E874D6">
      <w:pPr>
        <w:ind w:left="720"/>
      </w:pPr>
      <w:r>
        <w:t>Agenda item: FX (see above)</w:t>
      </w:r>
    </w:p>
    <w:p w:rsidR="004937A1" w:rsidRDefault="004937A1" w:rsidP="004937A1">
      <w:pPr>
        <w:pStyle w:val="Heading1"/>
      </w:pPr>
      <w:bookmarkStart w:id="42" w:name="_Toc377395931"/>
      <w:r>
        <w:t>December call.</w:t>
      </w:r>
      <w:bookmarkEnd w:id="42"/>
    </w:p>
    <w:p w:rsidR="004937A1" w:rsidRPr="004937A1" w:rsidRDefault="004937A1" w:rsidP="00E874D6">
      <w:pPr>
        <w:ind w:left="720"/>
      </w:pPr>
      <w:r>
        <w:t>Agenda: Corporate Actions</w:t>
      </w:r>
    </w:p>
    <w:p w:rsidR="0050132A" w:rsidRDefault="00362D1B" w:rsidP="00362D1B">
      <w:pPr>
        <w:pStyle w:val="Heading1"/>
      </w:pPr>
      <w:bookmarkStart w:id="43" w:name="_Toc377395932"/>
      <w:r>
        <w:t xml:space="preserve">Agenda </w:t>
      </w:r>
      <w:r w:rsidR="004937A1">
        <w:t xml:space="preserve">SMPG </w:t>
      </w:r>
      <w:r>
        <w:t>Spring meeting</w:t>
      </w:r>
      <w:bookmarkEnd w:id="43"/>
      <w:r>
        <w:t xml:space="preserve"> </w:t>
      </w:r>
    </w:p>
    <w:p w:rsidR="00362D1B" w:rsidRDefault="004937A1" w:rsidP="00362D1B">
      <w:pPr>
        <w:pStyle w:val="Heading2"/>
      </w:pPr>
      <w:bookmarkStart w:id="44" w:name="_Toc377395933"/>
      <w:r>
        <w:t xml:space="preserve">Maintenance </w:t>
      </w:r>
      <w:r w:rsidR="00362D1B">
        <w:t xml:space="preserve"> 2014</w:t>
      </w:r>
      <w:r>
        <w:t>-2015 cycle  (SR 2015)</w:t>
      </w:r>
      <w:bookmarkEnd w:id="44"/>
    </w:p>
    <w:p w:rsidR="00670DE8" w:rsidRDefault="004937A1" w:rsidP="00670DE8">
      <w:pPr>
        <w:ind w:left="720"/>
      </w:pPr>
      <w:r>
        <w:t>Change requests</w:t>
      </w:r>
      <w:r w:rsidR="00362D1B">
        <w:t xml:space="preserve"> will be submitted for account management (from Italy for FATCA) and transfers (from GB)</w:t>
      </w:r>
      <w:r>
        <w:t>. It is expected that SMPG will review these.</w:t>
      </w:r>
    </w:p>
    <w:p w:rsidR="00362D1B" w:rsidRPr="00670DE8" w:rsidRDefault="004937A1" w:rsidP="00362D1B">
      <w:pPr>
        <w:pStyle w:val="Heading2"/>
      </w:pPr>
      <w:bookmarkStart w:id="45" w:name="_Toc377395934"/>
      <w:r>
        <w:t>Maintenance of Change requests</w:t>
      </w:r>
      <w:r w:rsidR="00362D1B">
        <w:t xml:space="preserve"> order</w:t>
      </w:r>
      <w:r>
        <w:t xml:space="preserve"> messages</w:t>
      </w:r>
      <w:bookmarkEnd w:id="45"/>
    </w:p>
    <w:p w:rsidR="005F0FBB" w:rsidRDefault="004937A1" w:rsidP="004937A1">
      <w:pPr>
        <w:ind w:left="720"/>
      </w:pPr>
      <w:r>
        <w:t>In order to be ready for the maintenance on the orders when the change freeze is lifted, a table comprising all the Change requests already submitted to Iso 20022 and the CHANGE REQUESTS that need to be submitted to ISO 2000 will be created. The aim is to start reviewing the change requests for the order messages in the spring meeting.</w:t>
      </w:r>
    </w:p>
    <w:p w:rsidR="00432917" w:rsidRDefault="004937A1" w:rsidP="004937A1">
      <w:pPr>
        <w:pStyle w:val="Heading1"/>
      </w:pPr>
      <w:bookmarkStart w:id="46" w:name="_Toc377395935"/>
      <w:r>
        <w:t>SMPG Autumn 2014 meeting.</w:t>
      </w:r>
      <w:bookmarkEnd w:id="46"/>
    </w:p>
    <w:p w:rsidR="004937A1" w:rsidRDefault="004937A1" w:rsidP="004937A1">
      <w:pPr>
        <w:ind w:left="720"/>
      </w:pPr>
      <w:r>
        <w:t>This will coincide with the Sibos Boston event. Current expectation is that this will be the Boston Wednesday, Thursday and Friday before SIBOS.</w:t>
      </w:r>
    </w:p>
    <w:p w:rsidR="004937A1" w:rsidRPr="004937A1" w:rsidRDefault="004937A1" w:rsidP="004937A1">
      <w:pPr>
        <w:ind w:left="720"/>
      </w:pPr>
    </w:p>
    <w:p w:rsidR="00E26643" w:rsidRPr="00E26643" w:rsidRDefault="00E26643" w:rsidP="00E26643">
      <w:pPr>
        <w:pStyle w:val="NormalWeb"/>
        <w:ind w:left="720"/>
        <w:rPr>
          <w:rFonts w:ascii="Arial" w:hAnsi="Arial" w:cs="Arial"/>
          <w:sz w:val="20"/>
          <w:szCs w:val="20"/>
        </w:rPr>
      </w:pPr>
    </w:p>
    <w:p w:rsidR="00410CEE" w:rsidRDefault="00410CEE" w:rsidP="000633ED">
      <w:pPr>
        <w:ind w:left="720"/>
      </w:pPr>
    </w:p>
    <w:bookmarkEnd w:id="3"/>
    <w:p w:rsidR="00A66281" w:rsidRDefault="00A66281" w:rsidP="009530E5">
      <w:pPr>
        <w:ind w:left="0"/>
        <w:rPr>
          <w:lang w:val="en-US"/>
        </w:rPr>
      </w:pPr>
    </w:p>
    <w:sectPr w:rsidR="00A66281" w:rsidSect="001C280A">
      <w:headerReference w:type="default" r:id="rId16"/>
      <w:pgSz w:w="11909" w:h="15840" w:code="9"/>
      <w:pgMar w:top="1021" w:right="1304" w:bottom="1701" w:left="130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30" w:rsidRDefault="00E00A30">
      <w:r>
        <w:separator/>
      </w:r>
    </w:p>
  </w:endnote>
  <w:endnote w:type="continuationSeparator" w:id="0">
    <w:p w:rsidR="00E00A30" w:rsidRDefault="00E0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4D" w:rsidRPr="003E58AE" w:rsidRDefault="00620A4D" w:rsidP="003100F4">
    <w:pPr>
      <w:pStyle w:val="Footer"/>
      <w:rPr>
        <w:rFonts w:cs="Arial"/>
        <w:sz w:val="17"/>
        <w:szCs w:val="17"/>
      </w:rPr>
    </w:pPr>
  </w:p>
  <w:p w:rsidR="00620A4D" w:rsidRPr="003E58AE" w:rsidRDefault="00620A4D" w:rsidP="003100F4">
    <w:pPr>
      <w:pStyle w:val="Footer"/>
      <w:rPr>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4D" w:rsidRDefault="00620A4D" w:rsidP="00282FC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620A4D" w:rsidTr="000E2675">
      <w:trPr>
        <w:cantSplit/>
        <w:trHeight w:hRule="exact" w:val="50"/>
      </w:trPr>
      <w:tc>
        <w:tcPr>
          <w:tcW w:w="9242" w:type="dxa"/>
        </w:tcPr>
        <w:p w:rsidR="00620A4D" w:rsidRDefault="00620A4D" w:rsidP="00282FC2"/>
      </w:tc>
    </w:tr>
  </w:tbl>
  <w:p w:rsidR="00620A4D" w:rsidRPr="00BB3079" w:rsidRDefault="00620A4D" w:rsidP="00282FC2">
    <w:pPr>
      <w:pStyle w:val="Footereven"/>
    </w:pPr>
    <w:r>
      <w:rPr>
        <w:rFonts w:eastAsia="Times"/>
      </w:rPr>
      <w:fldChar w:fldCharType="begin"/>
    </w:r>
    <w:r>
      <w:rPr>
        <w:rFonts w:eastAsia="Times"/>
      </w:rPr>
      <w:instrText xml:space="preserve"> PAGE </w:instrText>
    </w:r>
    <w:r>
      <w:rPr>
        <w:rFonts w:eastAsia="Times"/>
      </w:rPr>
      <w:fldChar w:fldCharType="separate"/>
    </w:r>
    <w:r>
      <w:rPr>
        <w:rFonts w:eastAsia="Times"/>
        <w:noProof/>
      </w:rPr>
      <w:t>4</w:t>
    </w:r>
    <w:r>
      <w:rPr>
        <w:rFonts w:eastAsia="Times"/>
      </w:rPr>
      <w:fldChar w:fldCharType="end"/>
    </w:r>
    <w:r>
      <w:rPr>
        <w:rFonts w:eastAsia="Times"/>
      </w:rPr>
      <w:tab/>
      <w:t>Administrator and Publisher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30" w:rsidRDefault="00E00A30">
      <w:r>
        <w:separator/>
      </w:r>
    </w:p>
  </w:footnote>
  <w:footnote w:type="continuationSeparator" w:id="0">
    <w:p w:rsidR="00E00A30" w:rsidRDefault="00E0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4D" w:rsidRPr="003E58AE" w:rsidRDefault="00620A4D" w:rsidP="009544A7">
    <w:pPr>
      <w:pStyle w:val="Header"/>
      <w:spacing w:before="0" w:after="0"/>
      <w:ind w:left="0"/>
      <w:rPr>
        <w:rFonts w:cs="Arial"/>
        <w:szCs w:val="19"/>
        <w:lang w:val="pt-BR"/>
      </w:rPr>
    </w:pPr>
    <w:r>
      <w:rPr>
        <w:rFonts w:cs="Arial"/>
        <w:noProof/>
        <w:szCs w:val="19"/>
        <w:lang w:eastAsia="en-GB"/>
      </w:rPr>
      <w:drawing>
        <wp:anchor distT="0" distB="0" distL="114300" distR="114300" simplePos="0" relativeHeight="251663360" behindDoc="1" locked="0" layoutInCell="1" allowOverlap="1" wp14:anchorId="7802A133" wp14:editId="17EF1632">
          <wp:simplePos x="0" y="0"/>
          <wp:positionH relativeFrom="column">
            <wp:posOffset>2863215</wp:posOffset>
          </wp:positionH>
          <wp:positionV relativeFrom="paragraph">
            <wp:posOffset>-226060</wp:posOffset>
          </wp:positionV>
          <wp:extent cx="3543300" cy="2404110"/>
          <wp:effectExtent l="0" t="0" r="0" b="0"/>
          <wp:wrapNone/>
          <wp:docPr id="3" name="Picture 3"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P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2404110"/>
                  </a:xfrm>
                  <a:prstGeom prst="rect">
                    <a:avLst/>
                  </a:prstGeom>
                  <a:noFill/>
                </pic:spPr>
              </pic:pic>
            </a:graphicData>
          </a:graphic>
        </wp:anchor>
      </w:drawing>
    </w:r>
    <w:r>
      <w:rPr>
        <w:rFonts w:cs="Arial"/>
        <w:noProof/>
        <w:szCs w:val="19"/>
      </w:rPr>
      <w:t>Copenhagen 2013</w:t>
    </w:r>
    <w:r w:rsidRPr="003E58AE">
      <w:rPr>
        <w:rFonts w:cs="Arial"/>
        <w:szCs w:val="19"/>
        <w:lang w:val="pt-BR"/>
      </w:rPr>
      <w:t xml:space="preserve"> SMPG</w:t>
    </w:r>
  </w:p>
  <w:p w:rsidR="00620A4D" w:rsidRPr="003E58AE" w:rsidRDefault="00620A4D" w:rsidP="009544A7">
    <w:pPr>
      <w:pStyle w:val="Header"/>
      <w:spacing w:before="0"/>
      <w:ind w:left="0"/>
      <w:rPr>
        <w:rFonts w:cs="Arial"/>
        <w:szCs w:val="19"/>
        <w:lang w:val="pt-BR"/>
      </w:rPr>
    </w:pPr>
    <w:r w:rsidRPr="003E58AE">
      <w:rPr>
        <w:rFonts w:cs="Arial"/>
        <w:szCs w:val="19"/>
        <w:lang w:val="pt-BR"/>
      </w:rPr>
      <w:t>Investment Funds Working Group Minutes</w:t>
    </w:r>
    <w:r>
      <w:rPr>
        <w:rFonts w:cs="Arial"/>
        <w:szCs w:val="19"/>
        <w:lang w:val="pt-BR"/>
      </w:rPr>
      <w:t xml:space="preserve"> V0.1</w:t>
    </w:r>
  </w:p>
  <w:p w:rsidR="00620A4D" w:rsidRPr="003E58AE" w:rsidRDefault="00620A4D">
    <w:pPr>
      <w:pStyle w:val="Header"/>
      <w:rPr>
        <w:sz w:val="23"/>
        <w:szCs w:val="23"/>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4D" w:rsidRDefault="00620A4D" w:rsidP="00282FC2">
    <w:pPr>
      <w:pStyle w:val="Headereven"/>
    </w:pPr>
    <w:r>
      <w:t>MyStandards Administrator and Publisher Information</w:t>
    </w:r>
    <w:r>
      <w:tab/>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620A4D" w:rsidTr="000E2675">
      <w:trPr>
        <w:cantSplit/>
        <w:trHeight w:hRule="exact" w:val="50"/>
      </w:trPr>
      <w:tc>
        <w:tcPr>
          <w:tcW w:w="9242" w:type="dxa"/>
        </w:tcPr>
        <w:p w:rsidR="00620A4D" w:rsidRDefault="00620A4D">
          <w:pPr>
            <w:pStyle w:val="Headereveninstrucpages"/>
          </w:pPr>
        </w:p>
      </w:tc>
    </w:tr>
  </w:tbl>
  <w:p w:rsidR="00620A4D" w:rsidRDefault="00620A4D" w:rsidP="00282FC2">
    <w:pPr>
      <w:pStyle w:val="Headereve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4D" w:rsidRPr="003E58AE" w:rsidRDefault="00620A4D" w:rsidP="009544A7">
    <w:pPr>
      <w:pStyle w:val="Header"/>
      <w:spacing w:before="0" w:after="0"/>
      <w:ind w:left="0"/>
      <w:rPr>
        <w:rFonts w:cs="Arial"/>
        <w:szCs w:val="19"/>
        <w:lang w:val="pt-BR"/>
      </w:rPr>
    </w:pPr>
    <w:r>
      <w:rPr>
        <w:rFonts w:cs="Arial"/>
        <w:noProof/>
        <w:szCs w:val="19"/>
      </w:rPr>
      <w:t>Copenhagen 2013</w:t>
    </w:r>
    <w:r w:rsidRPr="003E58AE">
      <w:rPr>
        <w:rFonts w:cs="Arial"/>
        <w:szCs w:val="19"/>
        <w:lang w:val="pt-BR"/>
      </w:rPr>
      <w:t xml:space="preserve"> SMPG</w:t>
    </w:r>
  </w:p>
  <w:p w:rsidR="00620A4D" w:rsidRPr="009544A7" w:rsidRDefault="00620A4D" w:rsidP="009544A7">
    <w:pPr>
      <w:pStyle w:val="Header"/>
      <w:spacing w:before="0" w:after="0"/>
      <w:ind w:left="0"/>
      <w:rPr>
        <w:rFonts w:cs="Arial"/>
        <w:szCs w:val="19"/>
        <w:lang w:val="pt-BR"/>
      </w:rPr>
    </w:pPr>
    <w:r w:rsidRPr="003E58AE">
      <w:rPr>
        <w:rFonts w:cs="Arial"/>
        <w:szCs w:val="19"/>
        <w:lang w:val="pt-BR"/>
      </w:rPr>
      <w:t>Investment Funds Working Group Minutes</w:t>
    </w:r>
    <w:r>
      <w:rPr>
        <w:rFonts w:cs="Arial"/>
        <w:szCs w:val="19"/>
        <w:lang w:val="pt-BR"/>
      </w:rPr>
      <w:t xml:space="preserve"> V0.1</w:t>
    </w:r>
    <w:r>
      <w:tab/>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620A4D" w:rsidTr="00202218">
      <w:trPr>
        <w:cantSplit/>
        <w:trHeight w:hRule="exact" w:val="50"/>
      </w:trPr>
      <w:tc>
        <w:tcPr>
          <w:tcW w:w="9242" w:type="dxa"/>
        </w:tcPr>
        <w:p w:rsidR="00620A4D" w:rsidRDefault="00620A4D" w:rsidP="00B72471">
          <w:pPr>
            <w:pStyle w:val="Headereveninstrucpages"/>
          </w:pPr>
        </w:p>
      </w:tc>
    </w:tr>
  </w:tbl>
  <w:p w:rsidR="00620A4D" w:rsidRDefault="00620A4D" w:rsidP="00D81FE1">
    <w:pPr>
      <w:pStyle w:val="Headerod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4D" w:rsidRDefault="00620A4D" w:rsidP="00D81FE1">
    <w:pPr>
      <w:pStyle w:val="Headerodd"/>
    </w:pPr>
    <w:r>
      <w:tab/>
      <w:t>Minutes</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620A4D" w:rsidTr="008F15A3">
      <w:trPr>
        <w:cantSplit/>
        <w:trHeight w:hRule="exact" w:val="50"/>
      </w:trPr>
      <w:tc>
        <w:tcPr>
          <w:tcW w:w="9242" w:type="dxa"/>
        </w:tcPr>
        <w:p w:rsidR="00620A4D" w:rsidRDefault="00620A4D">
          <w:pPr>
            <w:pStyle w:val="Headereveninstrucpages"/>
          </w:pPr>
        </w:p>
      </w:tc>
    </w:tr>
  </w:tbl>
  <w:p w:rsidR="00620A4D" w:rsidRDefault="00620A4D" w:rsidP="00D81FE1">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7E6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E2F8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32D2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D40F06"/>
    <w:lvl w:ilvl="0">
      <w:start w:val="1"/>
      <w:numFmt w:val="lowerLetter"/>
      <w:pStyle w:val="ListNumber2"/>
      <w:lvlText w:val="%1."/>
      <w:lvlJc w:val="left"/>
      <w:pPr>
        <w:tabs>
          <w:tab w:val="num" w:pos="1985"/>
        </w:tabs>
        <w:ind w:left="1985" w:hanging="426"/>
      </w:pPr>
      <w:rPr>
        <w:rFonts w:hint="default"/>
      </w:rPr>
    </w:lvl>
  </w:abstractNum>
  <w:abstractNum w:abstractNumId="4">
    <w:nsid w:val="FFFFFF80"/>
    <w:multiLevelType w:val="singleLevel"/>
    <w:tmpl w:val="2DBA87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BC49F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68C0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38571A"/>
    <w:lvl w:ilvl="0">
      <w:start w:val="1"/>
      <w:numFmt w:val="bullet"/>
      <w:pStyle w:val="ListBullet2"/>
      <w:lvlText w:val=""/>
      <w:lvlJc w:val="left"/>
      <w:pPr>
        <w:tabs>
          <w:tab w:val="num" w:pos="1985"/>
        </w:tabs>
        <w:ind w:left="1985" w:hanging="426"/>
      </w:pPr>
      <w:rPr>
        <w:rFonts w:ascii="Symbol" w:hAnsi="Symbol" w:hint="default"/>
      </w:rPr>
    </w:lvl>
  </w:abstractNum>
  <w:abstractNum w:abstractNumId="8">
    <w:nsid w:val="FFFFFF88"/>
    <w:multiLevelType w:val="singleLevel"/>
    <w:tmpl w:val="E1EE2A28"/>
    <w:lvl w:ilvl="0">
      <w:start w:val="1"/>
      <w:numFmt w:val="decimal"/>
      <w:pStyle w:val="ListNumber"/>
      <w:lvlText w:val="%1."/>
      <w:lvlJc w:val="left"/>
      <w:pPr>
        <w:tabs>
          <w:tab w:val="num" w:pos="1559"/>
        </w:tabs>
        <w:ind w:left="1559" w:hanging="425"/>
      </w:pPr>
      <w:rPr>
        <w:rFonts w:hint="default"/>
      </w:rPr>
    </w:lvl>
  </w:abstractNum>
  <w:abstractNum w:abstractNumId="9">
    <w:nsid w:val="FFFFFF89"/>
    <w:multiLevelType w:val="singleLevel"/>
    <w:tmpl w:val="C59A5A04"/>
    <w:lvl w:ilvl="0">
      <w:start w:val="1"/>
      <w:numFmt w:val="bullet"/>
      <w:pStyle w:val="ListBullet"/>
      <w:lvlText w:val=""/>
      <w:lvlJc w:val="left"/>
      <w:pPr>
        <w:tabs>
          <w:tab w:val="num" w:pos="1559"/>
        </w:tabs>
        <w:ind w:left="1559" w:hanging="425"/>
      </w:pPr>
      <w:rPr>
        <w:rFonts w:ascii="Symbol" w:hAnsi="Symbol" w:hint="default"/>
        <w:sz w:val="20"/>
      </w:rPr>
    </w:lvl>
  </w:abstractNum>
  <w:abstractNum w:abstractNumId="10">
    <w:nsid w:val="00BF5DEC"/>
    <w:multiLevelType w:val="hybridMultilevel"/>
    <w:tmpl w:val="C694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7971B2"/>
    <w:multiLevelType w:val="multilevel"/>
    <w:tmpl w:val="7BF61F02"/>
    <w:lvl w:ilvl="0">
      <w:start w:val="1"/>
      <w:numFmt w:val="decimal"/>
      <w:pStyle w:val="Heading1"/>
      <w:lvlText w:val="%1"/>
      <w:lvlJc w:val="left"/>
      <w:pPr>
        <w:tabs>
          <w:tab w:val="num" w:pos="6264"/>
        </w:tabs>
        <w:ind w:left="6264" w:hanging="1134"/>
      </w:pPr>
      <w:rPr>
        <w:rFonts w:hint="default"/>
      </w:rPr>
    </w:lvl>
    <w:lvl w:ilvl="1">
      <w:start w:val="1"/>
      <w:numFmt w:val="decimal"/>
      <w:pStyle w:val="Heading2"/>
      <w:lvlText w:val="%1.%2"/>
      <w:lvlJc w:val="left"/>
      <w:pPr>
        <w:tabs>
          <w:tab w:val="num" w:pos="3654"/>
        </w:tabs>
        <w:ind w:left="365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none"/>
      <w:pStyle w:val="Heading4"/>
      <w:lvlText w:val=""/>
      <w:lvlJc w:val="left"/>
      <w:pPr>
        <w:tabs>
          <w:tab w:val="num" w:pos="1134"/>
        </w:tabs>
        <w:ind w:left="1134" w:hanging="1134"/>
      </w:pPr>
      <w:rPr>
        <w:rFonts w:hint="default"/>
      </w:rPr>
    </w:lvl>
    <w:lvl w:ilvl="4">
      <w:start w:val="1"/>
      <w:numFmt w:val="none"/>
      <w:lvlText w:val=""/>
      <w:lvlJc w:val="left"/>
      <w:pPr>
        <w:tabs>
          <w:tab w:val="num" w:pos="0"/>
        </w:tabs>
        <w:ind w:left="-567" w:firstLine="0"/>
      </w:pPr>
      <w:rPr>
        <w:rFonts w:hint="default"/>
      </w:rPr>
    </w:lvl>
    <w:lvl w:ilvl="5">
      <w:start w:val="1"/>
      <w:numFmt w:val="none"/>
      <w:lvlText w:val=""/>
      <w:lvlJc w:val="left"/>
      <w:pPr>
        <w:tabs>
          <w:tab w:val="num" w:pos="0"/>
        </w:tabs>
        <w:ind w:left="-567" w:firstLine="0"/>
      </w:pPr>
      <w:rPr>
        <w:rFonts w:hint="default"/>
      </w:rPr>
    </w:lvl>
    <w:lvl w:ilvl="6">
      <w:start w:val="1"/>
      <w:numFmt w:val="none"/>
      <w:lvlText w:val=""/>
      <w:lvlJc w:val="left"/>
      <w:pPr>
        <w:tabs>
          <w:tab w:val="num" w:pos="0"/>
        </w:tabs>
        <w:ind w:left="-567" w:firstLine="0"/>
      </w:pPr>
      <w:rPr>
        <w:rFonts w:hint="default"/>
      </w:rPr>
    </w:lvl>
    <w:lvl w:ilvl="7">
      <w:start w:val="1"/>
      <w:numFmt w:val="none"/>
      <w:lvlText w:val=""/>
      <w:lvlJc w:val="left"/>
      <w:pPr>
        <w:tabs>
          <w:tab w:val="num" w:pos="0"/>
        </w:tabs>
        <w:ind w:left="-567" w:firstLine="0"/>
      </w:pPr>
      <w:rPr>
        <w:rFonts w:hint="default"/>
      </w:rPr>
    </w:lvl>
    <w:lvl w:ilvl="8">
      <w:start w:val="1"/>
      <w:numFmt w:val="none"/>
      <w:lvlText w:val=""/>
      <w:lvlJc w:val="left"/>
      <w:pPr>
        <w:tabs>
          <w:tab w:val="num" w:pos="0"/>
        </w:tabs>
        <w:ind w:left="-567" w:firstLine="0"/>
      </w:pPr>
      <w:rPr>
        <w:rFonts w:hint="default"/>
      </w:rPr>
    </w:lvl>
  </w:abstractNum>
  <w:abstractNum w:abstractNumId="12">
    <w:nsid w:val="1F6D540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392456B"/>
    <w:multiLevelType w:val="hybridMultilevel"/>
    <w:tmpl w:val="94865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F37DA8"/>
    <w:multiLevelType w:val="hybridMultilevel"/>
    <w:tmpl w:val="6FF6C6DA"/>
    <w:lvl w:ilvl="0" w:tplc="338CCB66">
      <w:start w:val="1"/>
      <w:numFmt w:val="decimal"/>
      <w:pStyle w:val="InstructionsListNumb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16">
    <w:nsid w:val="3C8A2D00"/>
    <w:multiLevelType w:val="hybridMultilevel"/>
    <w:tmpl w:val="B6C8B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E0B75"/>
    <w:multiLevelType w:val="hybridMultilevel"/>
    <w:tmpl w:val="59601AB6"/>
    <w:lvl w:ilvl="0" w:tplc="08528A0C">
      <w:start w:val="1"/>
      <w:numFmt w:val="lowerLetter"/>
      <w:pStyle w:val="InstructionsListNumber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nsid w:val="4E7E709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8D104B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6CE40E5"/>
    <w:multiLevelType w:val="multilevel"/>
    <w:tmpl w:val="B8763C5A"/>
    <w:lvl w:ilvl="0">
      <w:start w:val="1"/>
      <w:numFmt w:val="decimal"/>
      <w:pStyle w:val="InstructionsHeading1"/>
      <w:lvlText w:val="%1"/>
      <w:lvlJc w:val="left"/>
      <w:pPr>
        <w:tabs>
          <w:tab w:val="num" w:pos="1134"/>
        </w:tabs>
        <w:ind w:left="1134" w:hanging="1134"/>
      </w:pPr>
      <w:rPr>
        <w:rFonts w:hint="default"/>
      </w:rPr>
    </w:lvl>
    <w:lvl w:ilvl="1">
      <w:start w:val="1"/>
      <w:numFmt w:val="decimal"/>
      <w:pStyle w:val="Instructions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tabs>
          <w:tab w:val="num" w:pos="1134"/>
        </w:tabs>
        <w:ind w:left="1134" w:hanging="1134"/>
      </w:pPr>
      <w:rPr>
        <w:rFonts w:hint="default"/>
      </w:rPr>
    </w:lvl>
    <w:lvl w:ilvl="4">
      <w:start w:val="1"/>
      <w:numFmt w:val="none"/>
      <w:lvlText w:val=""/>
      <w:lvlJc w:val="left"/>
      <w:pPr>
        <w:tabs>
          <w:tab w:val="num" w:pos="0"/>
        </w:tabs>
        <w:ind w:left="-567" w:firstLine="0"/>
      </w:pPr>
      <w:rPr>
        <w:rFonts w:hint="default"/>
      </w:rPr>
    </w:lvl>
    <w:lvl w:ilvl="5">
      <w:start w:val="1"/>
      <w:numFmt w:val="none"/>
      <w:lvlText w:val=""/>
      <w:lvlJc w:val="left"/>
      <w:pPr>
        <w:tabs>
          <w:tab w:val="num" w:pos="0"/>
        </w:tabs>
        <w:ind w:left="-567" w:firstLine="0"/>
      </w:pPr>
      <w:rPr>
        <w:rFonts w:hint="default"/>
      </w:rPr>
    </w:lvl>
    <w:lvl w:ilvl="6">
      <w:start w:val="1"/>
      <w:numFmt w:val="none"/>
      <w:lvlText w:val=""/>
      <w:lvlJc w:val="left"/>
      <w:pPr>
        <w:tabs>
          <w:tab w:val="num" w:pos="0"/>
        </w:tabs>
        <w:ind w:left="-567" w:firstLine="0"/>
      </w:pPr>
      <w:rPr>
        <w:rFonts w:hint="default"/>
      </w:rPr>
    </w:lvl>
    <w:lvl w:ilvl="7">
      <w:start w:val="1"/>
      <w:numFmt w:val="none"/>
      <w:lvlText w:val=""/>
      <w:lvlJc w:val="left"/>
      <w:pPr>
        <w:tabs>
          <w:tab w:val="num" w:pos="0"/>
        </w:tabs>
        <w:ind w:left="-567" w:firstLine="0"/>
      </w:pPr>
      <w:rPr>
        <w:rFonts w:hint="default"/>
      </w:rPr>
    </w:lvl>
    <w:lvl w:ilvl="8">
      <w:start w:val="1"/>
      <w:numFmt w:val="none"/>
      <w:lvlText w:val=""/>
      <w:lvlJc w:val="left"/>
      <w:pPr>
        <w:tabs>
          <w:tab w:val="num" w:pos="0"/>
        </w:tabs>
        <w:ind w:left="-567" w:firstLine="0"/>
      </w:pPr>
      <w:rPr>
        <w:rFonts w:hint="default"/>
      </w:rPr>
    </w:lvl>
  </w:abstractNum>
  <w:abstractNum w:abstractNumId="22">
    <w:nsid w:val="671E36D5"/>
    <w:multiLevelType w:val="multilevel"/>
    <w:tmpl w:val="473C5208"/>
    <w:lvl w:ilvl="0">
      <w:start w:val="1"/>
      <w:numFmt w:val="none"/>
      <w:pStyle w:val="Warning"/>
      <w:lvlText w:val="Warning"/>
      <w:lvlJc w:val="left"/>
      <w:pPr>
        <w:tabs>
          <w:tab w:val="num" w:pos="2098"/>
        </w:tabs>
        <w:ind w:left="2098" w:hanging="964"/>
      </w:pPr>
      <w:rPr>
        <w:rFonts w:ascii="Arial" w:hAnsi="Arial" w:hint="default"/>
        <w:b/>
        <w:i w:val="0"/>
        <w:sz w:val="20"/>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upperLetter"/>
      <w:lvlText w:val="%6"/>
      <w:lvlJc w:val="left"/>
      <w:pPr>
        <w:tabs>
          <w:tab w:val="num" w:pos="2286"/>
        </w:tabs>
        <w:ind w:left="2286" w:hanging="1152"/>
      </w:pPr>
      <w:rPr>
        <w:rFonts w:hint="default"/>
      </w:rPr>
    </w:lvl>
    <w:lvl w:ilvl="6">
      <w:start w:val="1"/>
      <w:numFmt w:val="upperLetter"/>
      <w:lvlText w:val="Appendix %7"/>
      <w:lvlJc w:val="left"/>
      <w:pPr>
        <w:tabs>
          <w:tab w:val="num" w:pos="3294"/>
        </w:tabs>
        <w:ind w:left="2430" w:hanging="1296"/>
      </w:pPr>
      <w:rPr>
        <w:rFonts w:ascii="Arial" w:hAnsi="Arial" w:hint="default"/>
        <w:b/>
        <w:i w:val="0"/>
        <w:sz w:val="40"/>
      </w:rPr>
    </w:lvl>
    <w:lvl w:ilvl="7">
      <w:start w:val="1"/>
      <w:numFmt w:val="decimal"/>
      <w:lvlText w:val="%7.%8"/>
      <w:lvlJc w:val="left"/>
      <w:pPr>
        <w:tabs>
          <w:tab w:val="num" w:pos="2574"/>
        </w:tabs>
        <w:ind w:left="2574" w:hanging="1440"/>
      </w:pPr>
      <w:rPr>
        <w:rFonts w:ascii="Arial" w:hAnsi="Arial" w:hint="default"/>
        <w:b/>
        <w:i w:val="0"/>
        <w:sz w:val="36"/>
      </w:rPr>
    </w:lvl>
    <w:lvl w:ilvl="8">
      <w:start w:val="1"/>
      <w:numFmt w:val="decimal"/>
      <w:lvlText w:val="%7.%8.%9"/>
      <w:lvlJc w:val="left"/>
      <w:pPr>
        <w:tabs>
          <w:tab w:val="num" w:pos="2718"/>
        </w:tabs>
        <w:ind w:left="2718" w:hanging="1584"/>
      </w:pPr>
      <w:rPr>
        <w:rFonts w:hint="default"/>
      </w:rPr>
    </w:lvl>
  </w:abstractNum>
  <w:abstractNum w:abstractNumId="23">
    <w:nsid w:val="67672E54"/>
    <w:multiLevelType w:val="hybridMultilevel"/>
    <w:tmpl w:val="EFB49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6CDF0583"/>
    <w:multiLevelType w:val="hybridMultilevel"/>
    <w:tmpl w:val="44467EE4"/>
    <w:lvl w:ilvl="0" w:tplc="F932A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40F64"/>
    <w:multiLevelType w:val="multilevel"/>
    <w:tmpl w:val="241A43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9C37601"/>
    <w:multiLevelType w:val="hybridMultilevel"/>
    <w:tmpl w:val="A016F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A4A3830"/>
    <w:multiLevelType w:val="singleLevel"/>
    <w:tmpl w:val="DBF4C0A4"/>
    <w:lvl w:ilvl="0">
      <w:start w:val="1"/>
      <w:numFmt w:val="none"/>
      <w:pStyle w:val="Tip"/>
      <w:lvlText w:val="Tip"/>
      <w:lvlJc w:val="left"/>
      <w:pPr>
        <w:tabs>
          <w:tab w:val="num" w:pos="2098"/>
        </w:tabs>
        <w:ind w:left="2098" w:hanging="964"/>
      </w:pPr>
      <w:rPr>
        <w:rFonts w:hint="default"/>
        <w:b/>
        <w:i w:val="0"/>
      </w:rPr>
    </w:lvl>
  </w:abstractNum>
  <w:abstractNum w:abstractNumId="28">
    <w:nsid w:val="7AFA0C93"/>
    <w:multiLevelType w:val="singleLevel"/>
    <w:tmpl w:val="325C7A4E"/>
    <w:lvl w:ilvl="0">
      <w:start w:val="1"/>
      <w:numFmt w:val="decimal"/>
      <w:pStyle w:val="TableNumber"/>
      <w:lvlText w:val="%1."/>
      <w:lvlJc w:val="left"/>
      <w:pPr>
        <w:tabs>
          <w:tab w:val="num" w:pos="284"/>
        </w:tabs>
        <w:ind w:left="284" w:hanging="284"/>
      </w:pPr>
      <w:rPr>
        <w:rFonts w:hint="default"/>
      </w:rPr>
    </w:lvl>
  </w:abstractNum>
  <w:abstractNum w:abstractNumId="29">
    <w:nsid w:val="7E706285"/>
    <w:multiLevelType w:val="multilevel"/>
    <w:tmpl w:val="84B0C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F2F049B"/>
    <w:multiLevelType w:val="multilevel"/>
    <w:tmpl w:val="B022BCE6"/>
    <w:lvl w:ilvl="0">
      <w:start w:val="1"/>
      <w:numFmt w:val="upperLetter"/>
      <w:pStyle w:val="Append"/>
      <w:suff w:val="nothing"/>
      <w:lvlText w:val="Appendix %1"/>
      <w:lvlJc w:val="left"/>
      <w:pPr>
        <w:ind w:left="0" w:firstLine="0"/>
      </w:pPr>
      <w:rPr>
        <w:rFonts w:hint="default"/>
      </w:rPr>
    </w:lvl>
    <w:lvl w:ilvl="1">
      <w:start w:val="1"/>
      <w:numFmt w:val="decimal"/>
      <w:pStyle w:val="Append1"/>
      <w:lvlText w:val="%1.%2"/>
      <w:lvlJc w:val="left"/>
      <w:pPr>
        <w:tabs>
          <w:tab w:val="num" w:pos="1134"/>
        </w:tabs>
        <w:ind w:left="1134" w:hanging="1134"/>
      </w:pPr>
      <w:rPr>
        <w:rFonts w:hint="default"/>
      </w:rPr>
    </w:lvl>
    <w:lvl w:ilvl="2">
      <w:start w:val="1"/>
      <w:numFmt w:val="decimal"/>
      <w:pStyle w:val="Append2"/>
      <w:lvlText w:val="%1.%2.%3"/>
      <w:lvlJc w:val="left"/>
      <w:pPr>
        <w:tabs>
          <w:tab w:val="num" w:pos="1134"/>
        </w:tabs>
        <w:ind w:left="1134" w:hanging="1134"/>
      </w:pPr>
      <w:rPr>
        <w:rFonts w:hint="default"/>
      </w:rPr>
    </w:lvl>
    <w:lvl w:ilvl="3">
      <w:start w:val="1"/>
      <w:numFmt w:val="decimal"/>
      <w:pStyle w:val="Append3"/>
      <w:lvlText w:val="%1.%2.%3.%4"/>
      <w:lvlJc w:val="left"/>
      <w:pPr>
        <w:tabs>
          <w:tab w:val="num" w:pos="1134"/>
        </w:tabs>
        <w:ind w:left="1134" w:hanging="113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7"/>
  </w:num>
  <w:num w:numId="2">
    <w:abstractNumId w:val="22"/>
  </w:num>
  <w:num w:numId="3">
    <w:abstractNumId w:val="15"/>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2"/>
  </w:num>
  <w:num w:numId="12">
    <w:abstractNumId w:val="1"/>
  </w:num>
  <w:num w:numId="13">
    <w:abstractNumId w:val="0"/>
  </w:num>
  <w:num w:numId="14">
    <w:abstractNumId w:val="20"/>
  </w:num>
  <w:num w:numId="15">
    <w:abstractNumId w:val="19"/>
  </w:num>
  <w:num w:numId="16">
    <w:abstractNumId w:val="12"/>
  </w:num>
  <w:num w:numId="17">
    <w:abstractNumId w:val="18"/>
  </w:num>
  <w:num w:numId="18">
    <w:abstractNumId w:val="30"/>
  </w:num>
  <w:num w:numId="19">
    <w:abstractNumId w:val="11"/>
  </w:num>
  <w:num w:numId="20">
    <w:abstractNumId w:val="14"/>
  </w:num>
  <w:num w:numId="21">
    <w:abstractNumId w:val="3"/>
  </w:num>
  <w:num w:numId="22">
    <w:abstractNumId w:val="17"/>
  </w:num>
  <w:num w:numId="23">
    <w:abstractNumId w:val="21"/>
  </w:num>
  <w:num w:numId="24">
    <w:abstractNumId w:val="16"/>
  </w:num>
  <w:num w:numId="25">
    <w:abstractNumId w:val="24"/>
  </w:num>
  <w:num w:numId="26">
    <w:abstractNumId w:val="10"/>
  </w:num>
  <w:num w:numId="27">
    <w:abstractNumId w:val="25"/>
  </w:num>
  <w:num w:numId="28">
    <w:abstractNumId w:val="29"/>
  </w:num>
  <w:num w:numId="29">
    <w:abstractNumId w:val="13"/>
  </w:num>
  <w:num w:numId="30">
    <w:abstractNumId w:val="23"/>
  </w:num>
  <w:num w:numId="3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8" w:dllVersion="513" w:checkStyle="1"/>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144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EA"/>
    <w:rsid w:val="000018AE"/>
    <w:rsid w:val="0000191D"/>
    <w:rsid w:val="00001AC8"/>
    <w:rsid w:val="00002508"/>
    <w:rsid w:val="00002EE3"/>
    <w:rsid w:val="0000764E"/>
    <w:rsid w:val="00010608"/>
    <w:rsid w:val="00012387"/>
    <w:rsid w:val="00021790"/>
    <w:rsid w:val="00022175"/>
    <w:rsid w:val="00022528"/>
    <w:rsid w:val="00022654"/>
    <w:rsid w:val="00025307"/>
    <w:rsid w:val="00026E88"/>
    <w:rsid w:val="00027AC9"/>
    <w:rsid w:val="00030BC2"/>
    <w:rsid w:val="00033355"/>
    <w:rsid w:val="00034FC2"/>
    <w:rsid w:val="000353A8"/>
    <w:rsid w:val="0004007E"/>
    <w:rsid w:val="00042D6E"/>
    <w:rsid w:val="00043FDC"/>
    <w:rsid w:val="00050400"/>
    <w:rsid w:val="00050F1F"/>
    <w:rsid w:val="000633ED"/>
    <w:rsid w:val="000670DE"/>
    <w:rsid w:val="00071606"/>
    <w:rsid w:val="00074109"/>
    <w:rsid w:val="0007640E"/>
    <w:rsid w:val="000775D4"/>
    <w:rsid w:val="000906F7"/>
    <w:rsid w:val="00091D45"/>
    <w:rsid w:val="00093C79"/>
    <w:rsid w:val="00095D15"/>
    <w:rsid w:val="0009782C"/>
    <w:rsid w:val="00097D7D"/>
    <w:rsid w:val="000A1167"/>
    <w:rsid w:val="000A15E5"/>
    <w:rsid w:val="000A2910"/>
    <w:rsid w:val="000A3DE9"/>
    <w:rsid w:val="000A6454"/>
    <w:rsid w:val="000B1881"/>
    <w:rsid w:val="000B3AB0"/>
    <w:rsid w:val="000C16D5"/>
    <w:rsid w:val="000D23EE"/>
    <w:rsid w:val="000D2EA0"/>
    <w:rsid w:val="000D3FDA"/>
    <w:rsid w:val="000D5FC4"/>
    <w:rsid w:val="000E2675"/>
    <w:rsid w:val="000E4BA5"/>
    <w:rsid w:val="000E5626"/>
    <w:rsid w:val="000F6459"/>
    <w:rsid w:val="000F67FE"/>
    <w:rsid w:val="000F7583"/>
    <w:rsid w:val="000F7FE0"/>
    <w:rsid w:val="0010237A"/>
    <w:rsid w:val="0011062C"/>
    <w:rsid w:val="001114C4"/>
    <w:rsid w:val="00117C30"/>
    <w:rsid w:val="001207BE"/>
    <w:rsid w:val="00123518"/>
    <w:rsid w:val="00133F0B"/>
    <w:rsid w:val="00137EB4"/>
    <w:rsid w:val="00140528"/>
    <w:rsid w:val="00147F37"/>
    <w:rsid w:val="00157433"/>
    <w:rsid w:val="0016109B"/>
    <w:rsid w:val="00162FD0"/>
    <w:rsid w:val="00165005"/>
    <w:rsid w:val="001703A8"/>
    <w:rsid w:val="00172CE3"/>
    <w:rsid w:val="0017372E"/>
    <w:rsid w:val="00173B9A"/>
    <w:rsid w:val="001834B7"/>
    <w:rsid w:val="001876E4"/>
    <w:rsid w:val="00195758"/>
    <w:rsid w:val="00197EC5"/>
    <w:rsid w:val="001A3F87"/>
    <w:rsid w:val="001A534B"/>
    <w:rsid w:val="001B07CA"/>
    <w:rsid w:val="001B1D98"/>
    <w:rsid w:val="001B35B8"/>
    <w:rsid w:val="001B6B99"/>
    <w:rsid w:val="001C1507"/>
    <w:rsid w:val="001C23B2"/>
    <w:rsid w:val="001C280A"/>
    <w:rsid w:val="001C5B21"/>
    <w:rsid w:val="001C6F08"/>
    <w:rsid w:val="001D553E"/>
    <w:rsid w:val="001D7165"/>
    <w:rsid w:val="001E3462"/>
    <w:rsid w:val="001E3726"/>
    <w:rsid w:val="001E3863"/>
    <w:rsid w:val="001E7ECC"/>
    <w:rsid w:val="001F0B75"/>
    <w:rsid w:val="001F140C"/>
    <w:rsid w:val="001F2FEC"/>
    <w:rsid w:val="001F3010"/>
    <w:rsid w:val="001F424B"/>
    <w:rsid w:val="001F5B47"/>
    <w:rsid w:val="001F6498"/>
    <w:rsid w:val="001F7E57"/>
    <w:rsid w:val="00200C0C"/>
    <w:rsid w:val="00201F40"/>
    <w:rsid w:val="00202204"/>
    <w:rsid w:val="00202218"/>
    <w:rsid w:val="00203EB9"/>
    <w:rsid w:val="0020455A"/>
    <w:rsid w:val="00204C7B"/>
    <w:rsid w:val="00215351"/>
    <w:rsid w:val="002173B7"/>
    <w:rsid w:val="0021752D"/>
    <w:rsid w:val="0021786C"/>
    <w:rsid w:val="00221C92"/>
    <w:rsid w:val="002240CE"/>
    <w:rsid w:val="00225DE5"/>
    <w:rsid w:val="00232752"/>
    <w:rsid w:val="00235F45"/>
    <w:rsid w:val="0023645B"/>
    <w:rsid w:val="00237847"/>
    <w:rsid w:val="00241336"/>
    <w:rsid w:val="00242263"/>
    <w:rsid w:val="00243E68"/>
    <w:rsid w:val="00246684"/>
    <w:rsid w:val="00246AF9"/>
    <w:rsid w:val="00246C22"/>
    <w:rsid w:val="002509E5"/>
    <w:rsid w:val="00251978"/>
    <w:rsid w:val="002555E2"/>
    <w:rsid w:val="00256B53"/>
    <w:rsid w:val="00256BEE"/>
    <w:rsid w:val="00256D1B"/>
    <w:rsid w:val="00266D9F"/>
    <w:rsid w:val="0027357E"/>
    <w:rsid w:val="00273F9F"/>
    <w:rsid w:val="00280B82"/>
    <w:rsid w:val="00281D72"/>
    <w:rsid w:val="00282F88"/>
    <w:rsid w:val="00282FC2"/>
    <w:rsid w:val="00287177"/>
    <w:rsid w:val="0029451C"/>
    <w:rsid w:val="002948BD"/>
    <w:rsid w:val="002A32C6"/>
    <w:rsid w:val="002A36B3"/>
    <w:rsid w:val="002A46D9"/>
    <w:rsid w:val="002A6C1D"/>
    <w:rsid w:val="002A755B"/>
    <w:rsid w:val="002A7935"/>
    <w:rsid w:val="002B2737"/>
    <w:rsid w:val="002B48DB"/>
    <w:rsid w:val="002B675E"/>
    <w:rsid w:val="002C2471"/>
    <w:rsid w:val="002C2BE7"/>
    <w:rsid w:val="002C5A84"/>
    <w:rsid w:val="002C7D74"/>
    <w:rsid w:val="002D0E51"/>
    <w:rsid w:val="002D26C0"/>
    <w:rsid w:val="002D4D2B"/>
    <w:rsid w:val="002D5A98"/>
    <w:rsid w:val="002D61FC"/>
    <w:rsid w:val="002D672B"/>
    <w:rsid w:val="002E3D1D"/>
    <w:rsid w:val="002E418E"/>
    <w:rsid w:val="002E4358"/>
    <w:rsid w:val="002E78D3"/>
    <w:rsid w:val="002E7BC4"/>
    <w:rsid w:val="002F0ECF"/>
    <w:rsid w:val="002F3BA5"/>
    <w:rsid w:val="002F6D51"/>
    <w:rsid w:val="002F70BE"/>
    <w:rsid w:val="003000FE"/>
    <w:rsid w:val="003025D4"/>
    <w:rsid w:val="003032A8"/>
    <w:rsid w:val="00303914"/>
    <w:rsid w:val="0030591A"/>
    <w:rsid w:val="00306EDE"/>
    <w:rsid w:val="00307BA0"/>
    <w:rsid w:val="00307F6D"/>
    <w:rsid w:val="003100F4"/>
    <w:rsid w:val="0031155C"/>
    <w:rsid w:val="00313FFC"/>
    <w:rsid w:val="00323B78"/>
    <w:rsid w:val="00324F5F"/>
    <w:rsid w:val="0032539D"/>
    <w:rsid w:val="00330CA0"/>
    <w:rsid w:val="003330E1"/>
    <w:rsid w:val="0033406B"/>
    <w:rsid w:val="0034072D"/>
    <w:rsid w:val="003411DF"/>
    <w:rsid w:val="003468E7"/>
    <w:rsid w:val="003474FF"/>
    <w:rsid w:val="00351220"/>
    <w:rsid w:val="00353850"/>
    <w:rsid w:val="0035486C"/>
    <w:rsid w:val="003570EE"/>
    <w:rsid w:val="0035712F"/>
    <w:rsid w:val="00357DAF"/>
    <w:rsid w:val="0036065A"/>
    <w:rsid w:val="00362218"/>
    <w:rsid w:val="00362D1B"/>
    <w:rsid w:val="00363C13"/>
    <w:rsid w:val="0036477C"/>
    <w:rsid w:val="003653C3"/>
    <w:rsid w:val="00366BC7"/>
    <w:rsid w:val="00371083"/>
    <w:rsid w:val="00372530"/>
    <w:rsid w:val="003739B1"/>
    <w:rsid w:val="00374A50"/>
    <w:rsid w:val="00376B38"/>
    <w:rsid w:val="00381204"/>
    <w:rsid w:val="00381BDC"/>
    <w:rsid w:val="003820EC"/>
    <w:rsid w:val="00383536"/>
    <w:rsid w:val="00390C64"/>
    <w:rsid w:val="003910D0"/>
    <w:rsid w:val="003A0AE4"/>
    <w:rsid w:val="003A1824"/>
    <w:rsid w:val="003A253C"/>
    <w:rsid w:val="003A2A43"/>
    <w:rsid w:val="003A40EC"/>
    <w:rsid w:val="003A5548"/>
    <w:rsid w:val="003A7434"/>
    <w:rsid w:val="003B029B"/>
    <w:rsid w:val="003B0FA1"/>
    <w:rsid w:val="003B1846"/>
    <w:rsid w:val="003B3916"/>
    <w:rsid w:val="003B3B10"/>
    <w:rsid w:val="003C5953"/>
    <w:rsid w:val="003C7885"/>
    <w:rsid w:val="003C79F3"/>
    <w:rsid w:val="003D16CA"/>
    <w:rsid w:val="003D54C2"/>
    <w:rsid w:val="003D5C0E"/>
    <w:rsid w:val="003D7590"/>
    <w:rsid w:val="003E4526"/>
    <w:rsid w:val="003E4C38"/>
    <w:rsid w:val="003E5171"/>
    <w:rsid w:val="003F1544"/>
    <w:rsid w:val="003F2691"/>
    <w:rsid w:val="003F3047"/>
    <w:rsid w:val="003F4CE9"/>
    <w:rsid w:val="00400887"/>
    <w:rsid w:val="0040411A"/>
    <w:rsid w:val="004044CF"/>
    <w:rsid w:val="00404F55"/>
    <w:rsid w:val="00407CD4"/>
    <w:rsid w:val="00410CEE"/>
    <w:rsid w:val="00416EB7"/>
    <w:rsid w:val="004226B0"/>
    <w:rsid w:val="00423208"/>
    <w:rsid w:val="0042596A"/>
    <w:rsid w:val="0042620B"/>
    <w:rsid w:val="00427DE3"/>
    <w:rsid w:val="00431339"/>
    <w:rsid w:val="00432917"/>
    <w:rsid w:val="00432F27"/>
    <w:rsid w:val="00440216"/>
    <w:rsid w:val="00442913"/>
    <w:rsid w:val="004445E7"/>
    <w:rsid w:val="004449D1"/>
    <w:rsid w:val="00445638"/>
    <w:rsid w:val="00445A24"/>
    <w:rsid w:val="0045140F"/>
    <w:rsid w:val="0045413D"/>
    <w:rsid w:val="004542CA"/>
    <w:rsid w:val="00461E97"/>
    <w:rsid w:val="00462302"/>
    <w:rsid w:val="0046271E"/>
    <w:rsid w:val="00467622"/>
    <w:rsid w:val="00470D45"/>
    <w:rsid w:val="00472E54"/>
    <w:rsid w:val="004751B5"/>
    <w:rsid w:val="004756C3"/>
    <w:rsid w:val="00475D1D"/>
    <w:rsid w:val="004813B6"/>
    <w:rsid w:val="004816F7"/>
    <w:rsid w:val="00481DCB"/>
    <w:rsid w:val="00482E64"/>
    <w:rsid w:val="00484C78"/>
    <w:rsid w:val="00485E19"/>
    <w:rsid w:val="004909DE"/>
    <w:rsid w:val="004918B6"/>
    <w:rsid w:val="00492D44"/>
    <w:rsid w:val="004937A1"/>
    <w:rsid w:val="00493BE1"/>
    <w:rsid w:val="00493F2F"/>
    <w:rsid w:val="004A5404"/>
    <w:rsid w:val="004A7D37"/>
    <w:rsid w:val="004A7F3C"/>
    <w:rsid w:val="004B0ADF"/>
    <w:rsid w:val="004B1CBA"/>
    <w:rsid w:val="004B2F1F"/>
    <w:rsid w:val="004B306C"/>
    <w:rsid w:val="004B37B4"/>
    <w:rsid w:val="004B4842"/>
    <w:rsid w:val="004B6255"/>
    <w:rsid w:val="004B6B39"/>
    <w:rsid w:val="004B6E52"/>
    <w:rsid w:val="004B73DE"/>
    <w:rsid w:val="004B78A3"/>
    <w:rsid w:val="004C4B0B"/>
    <w:rsid w:val="004C7075"/>
    <w:rsid w:val="004D0B65"/>
    <w:rsid w:val="004E00D4"/>
    <w:rsid w:val="004E2775"/>
    <w:rsid w:val="004E35C0"/>
    <w:rsid w:val="004E508A"/>
    <w:rsid w:val="004E5194"/>
    <w:rsid w:val="004F3A73"/>
    <w:rsid w:val="004F4D25"/>
    <w:rsid w:val="004F717E"/>
    <w:rsid w:val="004F7F9F"/>
    <w:rsid w:val="0050132A"/>
    <w:rsid w:val="0050332A"/>
    <w:rsid w:val="00504C0E"/>
    <w:rsid w:val="005158B4"/>
    <w:rsid w:val="00515B5E"/>
    <w:rsid w:val="00516B57"/>
    <w:rsid w:val="00517AD5"/>
    <w:rsid w:val="005243D5"/>
    <w:rsid w:val="00530429"/>
    <w:rsid w:val="00530C79"/>
    <w:rsid w:val="005362BF"/>
    <w:rsid w:val="005414BF"/>
    <w:rsid w:val="00542BA6"/>
    <w:rsid w:val="00543CAD"/>
    <w:rsid w:val="00546D8D"/>
    <w:rsid w:val="0055343F"/>
    <w:rsid w:val="005556AF"/>
    <w:rsid w:val="005627F5"/>
    <w:rsid w:val="005633B5"/>
    <w:rsid w:val="00566678"/>
    <w:rsid w:val="005674B6"/>
    <w:rsid w:val="00575EF8"/>
    <w:rsid w:val="00576403"/>
    <w:rsid w:val="00582A31"/>
    <w:rsid w:val="0058710E"/>
    <w:rsid w:val="00587518"/>
    <w:rsid w:val="00590B92"/>
    <w:rsid w:val="00593492"/>
    <w:rsid w:val="005944B7"/>
    <w:rsid w:val="0059725E"/>
    <w:rsid w:val="005A1FD7"/>
    <w:rsid w:val="005A40F4"/>
    <w:rsid w:val="005A5116"/>
    <w:rsid w:val="005B264A"/>
    <w:rsid w:val="005B39A5"/>
    <w:rsid w:val="005B5EAE"/>
    <w:rsid w:val="005C079E"/>
    <w:rsid w:val="005C4C2A"/>
    <w:rsid w:val="005D090A"/>
    <w:rsid w:val="005D0EDB"/>
    <w:rsid w:val="005D2228"/>
    <w:rsid w:val="005D6EE8"/>
    <w:rsid w:val="005E10B6"/>
    <w:rsid w:val="005E29C6"/>
    <w:rsid w:val="005E3064"/>
    <w:rsid w:val="005E5087"/>
    <w:rsid w:val="005E59C1"/>
    <w:rsid w:val="005E6393"/>
    <w:rsid w:val="005E66BF"/>
    <w:rsid w:val="005F0FBB"/>
    <w:rsid w:val="005F2A35"/>
    <w:rsid w:val="005F5943"/>
    <w:rsid w:val="0060053A"/>
    <w:rsid w:val="006006EA"/>
    <w:rsid w:val="00601CA1"/>
    <w:rsid w:val="00604AC4"/>
    <w:rsid w:val="0061046B"/>
    <w:rsid w:val="00612AEB"/>
    <w:rsid w:val="00617B2D"/>
    <w:rsid w:val="00620A4D"/>
    <w:rsid w:val="006278ED"/>
    <w:rsid w:val="00632B27"/>
    <w:rsid w:val="006334EB"/>
    <w:rsid w:val="00633D49"/>
    <w:rsid w:val="006350A5"/>
    <w:rsid w:val="0063697A"/>
    <w:rsid w:val="00647DBD"/>
    <w:rsid w:val="006503BE"/>
    <w:rsid w:val="00651196"/>
    <w:rsid w:val="006563CE"/>
    <w:rsid w:val="00656D67"/>
    <w:rsid w:val="00661526"/>
    <w:rsid w:val="00662173"/>
    <w:rsid w:val="00663557"/>
    <w:rsid w:val="00666291"/>
    <w:rsid w:val="00667A04"/>
    <w:rsid w:val="006709FF"/>
    <w:rsid w:val="00670DE8"/>
    <w:rsid w:val="00673030"/>
    <w:rsid w:val="00673863"/>
    <w:rsid w:val="00674C06"/>
    <w:rsid w:val="00680EF2"/>
    <w:rsid w:val="00682B58"/>
    <w:rsid w:val="00682DD9"/>
    <w:rsid w:val="006853A8"/>
    <w:rsid w:val="00685CCF"/>
    <w:rsid w:val="006864CC"/>
    <w:rsid w:val="00687344"/>
    <w:rsid w:val="00693042"/>
    <w:rsid w:val="00696E65"/>
    <w:rsid w:val="00696E8D"/>
    <w:rsid w:val="006A33D6"/>
    <w:rsid w:val="006B1C58"/>
    <w:rsid w:val="006B1E11"/>
    <w:rsid w:val="006B2756"/>
    <w:rsid w:val="006B32DD"/>
    <w:rsid w:val="006B3644"/>
    <w:rsid w:val="006B37FC"/>
    <w:rsid w:val="006B6BE6"/>
    <w:rsid w:val="006C268B"/>
    <w:rsid w:val="006C6663"/>
    <w:rsid w:val="006C6987"/>
    <w:rsid w:val="006D0A4F"/>
    <w:rsid w:val="006D13D0"/>
    <w:rsid w:val="006D4842"/>
    <w:rsid w:val="006D5ACE"/>
    <w:rsid w:val="006D64DA"/>
    <w:rsid w:val="006D7090"/>
    <w:rsid w:val="006D7340"/>
    <w:rsid w:val="006E1B82"/>
    <w:rsid w:val="006E4C47"/>
    <w:rsid w:val="006E4C48"/>
    <w:rsid w:val="006F0A55"/>
    <w:rsid w:val="006F13F9"/>
    <w:rsid w:val="006F201D"/>
    <w:rsid w:val="006F34DD"/>
    <w:rsid w:val="006F63EC"/>
    <w:rsid w:val="007002FE"/>
    <w:rsid w:val="00704A94"/>
    <w:rsid w:val="00706662"/>
    <w:rsid w:val="007072E7"/>
    <w:rsid w:val="0071144A"/>
    <w:rsid w:val="00711D2A"/>
    <w:rsid w:val="00712617"/>
    <w:rsid w:val="007162F9"/>
    <w:rsid w:val="007170E8"/>
    <w:rsid w:val="0072185D"/>
    <w:rsid w:val="00722D3C"/>
    <w:rsid w:val="00723099"/>
    <w:rsid w:val="007340D7"/>
    <w:rsid w:val="007354F6"/>
    <w:rsid w:val="007359D3"/>
    <w:rsid w:val="0073697C"/>
    <w:rsid w:val="00737136"/>
    <w:rsid w:val="00737C61"/>
    <w:rsid w:val="007420BE"/>
    <w:rsid w:val="00744B09"/>
    <w:rsid w:val="00747951"/>
    <w:rsid w:val="007518D7"/>
    <w:rsid w:val="00753AA3"/>
    <w:rsid w:val="00757122"/>
    <w:rsid w:val="00757B92"/>
    <w:rsid w:val="0076027E"/>
    <w:rsid w:val="00760B52"/>
    <w:rsid w:val="00761471"/>
    <w:rsid w:val="00761E1A"/>
    <w:rsid w:val="00763A6E"/>
    <w:rsid w:val="0076456D"/>
    <w:rsid w:val="007653E8"/>
    <w:rsid w:val="00765AA0"/>
    <w:rsid w:val="00766590"/>
    <w:rsid w:val="00766BFA"/>
    <w:rsid w:val="00770477"/>
    <w:rsid w:val="00773D22"/>
    <w:rsid w:val="0077552C"/>
    <w:rsid w:val="00775598"/>
    <w:rsid w:val="00775E06"/>
    <w:rsid w:val="007766C6"/>
    <w:rsid w:val="00777D2A"/>
    <w:rsid w:val="00783A2C"/>
    <w:rsid w:val="00784D42"/>
    <w:rsid w:val="00786023"/>
    <w:rsid w:val="00786C08"/>
    <w:rsid w:val="007903E9"/>
    <w:rsid w:val="00790B1E"/>
    <w:rsid w:val="00794E29"/>
    <w:rsid w:val="007953C5"/>
    <w:rsid w:val="00797A2E"/>
    <w:rsid w:val="007A1E85"/>
    <w:rsid w:val="007A2E1D"/>
    <w:rsid w:val="007A51C0"/>
    <w:rsid w:val="007A5EB3"/>
    <w:rsid w:val="007A7151"/>
    <w:rsid w:val="007A7468"/>
    <w:rsid w:val="007B36D1"/>
    <w:rsid w:val="007B61B4"/>
    <w:rsid w:val="007B667D"/>
    <w:rsid w:val="007B687B"/>
    <w:rsid w:val="007C12BA"/>
    <w:rsid w:val="007C7B1D"/>
    <w:rsid w:val="007D2941"/>
    <w:rsid w:val="007E1A04"/>
    <w:rsid w:val="007E2C9B"/>
    <w:rsid w:val="007E395D"/>
    <w:rsid w:val="007F1A37"/>
    <w:rsid w:val="007F2A1A"/>
    <w:rsid w:val="007F5DFB"/>
    <w:rsid w:val="00800C40"/>
    <w:rsid w:val="00801093"/>
    <w:rsid w:val="00802CDA"/>
    <w:rsid w:val="00805B42"/>
    <w:rsid w:val="00806BF2"/>
    <w:rsid w:val="00807BE8"/>
    <w:rsid w:val="00816B6F"/>
    <w:rsid w:val="00817035"/>
    <w:rsid w:val="00817706"/>
    <w:rsid w:val="008210AA"/>
    <w:rsid w:val="0082134C"/>
    <w:rsid w:val="0082487E"/>
    <w:rsid w:val="0082523E"/>
    <w:rsid w:val="008328F7"/>
    <w:rsid w:val="0083492A"/>
    <w:rsid w:val="00841ED0"/>
    <w:rsid w:val="008422D0"/>
    <w:rsid w:val="00843867"/>
    <w:rsid w:val="00844927"/>
    <w:rsid w:val="00845A30"/>
    <w:rsid w:val="00850E5A"/>
    <w:rsid w:val="00855762"/>
    <w:rsid w:val="00855B93"/>
    <w:rsid w:val="00855F7B"/>
    <w:rsid w:val="0086747D"/>
    <w:rsid w:val="008676A8"/>
    <w:rsid w:val="00867923"/>
    <w:rsid w:val="00867BCC"/>
    <w:rsid w:val="0087013A"/>
    <w:rsid w:val="008721B3"/>
    <w:rsid w:val="00872BA1"/>
    <w:rsid w:val="008778B5"/>
    <w:rsid w:val="00877FC6"/>
    <w:rsid w:val="008824F5"/>
    <w:rsid w:val="00883E82"/>
    <w:rsid w:val="008864D9"/>
    <w:rsid w:val="00887512"/>
    <w:rsid w:val="00890E0D"/>
    <w:rsid w:val="0089267E"/>
    <w:rsid w:val="00896B55"/>
    <w:rsid w:val="00896C2D"/>
    <w:rsid w:val="00896C7D"/>
    <w:rsid w:val="008A1EDA"/>
    <w:rsid w:val="008A2A61"/>
    <w:rsid w:val="008A2ACA"/>
    <w:rsid w:val="008A3651"/>
    <w:rsid w:val="008A5447"/>
    <w:rsid w:val="008A60F9"/>
    <w:rsid w:val="008A6BF7"/>
    <w:rsid w:val="008A75CF"/>
    <w:rsid w:val="008B3CF8"/>
    <w:rsid w:val="008B44EC"/>
    <w:rsid w:val="008B718A"/>
    <w:rsid w:val="008B78B6"/>
    <w:rsid w:val="008B7C89"/>
    <w:rsid w:val="008C16FB"/>
    <w:rsid w:val="008C1818"/>
    <w:rsid w:val="008C36F7"/>
    <w:rsid w:val="008C3F75"/>
    <w:rsid w:val="008C55C8"/>
    <w:rsid w:val="008D62F1"/>
    <w:rsid w:val="008E5B31"/>
    <w:rsid w:val="008F15A3"/>
    <w:rsid w:val="008F1878"/>
    <w:rsid w:val="008F2426"/>
    <w:rsid w:val="008F72B6"/>
    <w:rsid w:val="00900F6B"/>
    <w:rsid w:val="009022AC"/>
    <w:rsid w:val="0091391D"/>
    <w:rsid w:val="00915205"/>
    <w:rsid w:val="00920C62"/>
    <w:rsid w:val="0092643F"/>
    <w:rsid w:val="00934F51"/>
    <w:rsid w:val="00935ED6"/>
    <w:rsid w:val="00935F9D"/>
    <w:rsid w:val="0093666B"/>
    <w:rsid w:val="00937AB0"/>
    <w:rsid w:val="009401D9"/>
    <w:rsid w:val="009420FB"/>
    <w:rsid w:val="009423D4"/>
    <w:rsid w:val="00944A30"/>
    <w:rsid w:val="00944BD8"/>
    <w:rsid w:val="0094540D"/>
    <w:rsid w:val="009456DC"/>
    <w:rsid w:val="009462D4"/>
    <w:rsid w:val="00946353"/>
    <w:rsid w:val="00946F34"/>
    <w:rsid w:val="0095072B"/>
    <w:rsid w:val="00952754"/>
    <w:rsid w:val="009530E5"/>
    <w:rsid w:val="009539B7"/>
    <w:rsid w:val="009544A7"/>
    <w:rsid w:val="00955638"/>
    <w:rsid w:val="00960A6B"/>
    <w:rsid w:val="00962286"/>
    <w:rsid w:val="00970DC8"/>
    <w:rsid w:val="00970E17"/>
    <w:rsid w:val="00972871"/>
    <w:rsid w:val="00975EA8"/>
    <w:rsid w:val="009808FE"/>
    <w:rsid w:val="009822C9"/>
    <w:rsid w:val="00987FBF"/>
    <w:rsid w:val="00991250"/>
    <w:rsid w:val="00992272"/>
    <w:rsid w:val="009928B3"/>
    <w:rsid w:val="00992D89"/>
    <w:rsid w:val="0099388A"/>
    <w:rsid w:val="009A0BF3"/>
    <w:rsid w:val="009A3C17"/>
    <w:rsid w:val="009B233A"/>
    <w:rsid w:val="009B7229"/>
    <w:rsid w:val="009B731D"/>
    <w:rsid w:val="009C186B"/>
    <w:rsid w:val="009C3882"/>
    <w:rsid w:val="009D1817"/>
    <w:rsid w:val="009D23B9"/>
    <w:rsid w:val="009D3701"/>
    <w:rsid w:val="009E1DF1"/>
    <w:rsid w:val="009E399D"/>
    <w:rsid w:val="009E4D25"/>
    <w:rsid w:val="009E5DDB"/>
    <w:rsid w:val="009F4165"/>
    <w:rsid w:val="009F520D"/>
    <w:rsid w:val="009F7EC9"/>
    <w:rsid w:val="00A0016F"/>
    <w:rsid w:val="00A12679"/>
    <w:rsid w:val="00A13C61"/>
    <w:rsid w:val="00A145AC"/>
    <w:rsid w:val="00A1729A"/>
    <w:rsid w:val="00A204C0"/>
    <w:rsid w:val="00A2482C"/>
    <w:rsid w:val="00A3151E"/>
    <w:rsid w:val="00A327F0"/>
    <w:rsid w:val="00A37F60"/>
    <w:rsid w:val="00A40A2C"/>
    <w:rsid w:val="00A421CC"/>
    <w:rsid w:val="00A42BB2"/>
    <w:rsid w:val="00A444E1"/>
    <w:rsid w:val="00A45E56"/>
    <w:rsid w:val="00A47C7E"/>
    <w:rsid w:val="00A47D35"/>
    <w:rsid w:val="00A51A1F"/>
    <w:rsid w:val="00A53497"/>
    <w:rsid w:val="00A551E4"/>
    <w:rsid w:val="00A570C8"/>
    <w:rsid w:val="00A60AE6"/>
    <w:rsid w:val="00A622E9"/>
    <w:rsid w:val="00A66281"/>
    <w:rsid w:val="00A66C17"/>
    <w:rsid w:val="00A67FDB"/>
    <w:rsid w:val="00A70858"/>
    <w:rsid w:val="00A71578"/>
    <w:rsid w:val="00A71D2B"/>
    <w:rsid w:val="00A74E35"/>
    <w:rsid w:val="00A75B3B"/>
    <w:rsid w:val="00A7655C"/>
    <w:rsid w:val="00A861A7"/>
    <w:rsid w:val="00A900BF"/>
    <w:rsid w:val="00A9044F"/>
    <w:rsid w:val="00A91C7F"/>
    <w:rsid w:val="00A91EA0"/>
    <w:rsid w:val="00A92973"/>
    <w:rsid w:val="00A92B92"/>
    <w:rsid w:val="00A93222"/>
    <w:rsid w:val="00A94FFA"/>
    <w:rsid w:val="00A9519A"/>
    <w:rsid w:val="00AA665D"/>
    <w:rsid w:val="00AA6CDC"/>
    <w:rsid w:val="00AA6F86"/>
    <w:rsid w:val="00AB0C62"/>
    <w:rsid w:val="00AB3B80"/>
    <w:rsid w:val="00AB752D"/>
    <w:rsid w:val="00AC0BF4"/>
    <w:rsid w:val="00AC6E83"/>
    <w:rsid w:val="00AD0071"/>
    <w:rsid w:val="00AD1573"/>
    <w:rsid w:val="00AD1C0F"/>
    <w:rsid w:val="00AD69E0"/>
    <w:rsid w:val="00AE6D85"/>
    <w:rsid w:val="00AF28ED"/>
    <w:rsid w:val="00AF2D24"/>
    <w:rsid w:val="00AF379F"/>
    <w:rsid w:val="00AF750D"/>
    <w:rsid w:val="00AF7FC0"/>
    <w:rsid w:val="00B003E3"/>
    <w:rsid w:val="00B01F7F"/>
    <w:rsid w:val="00B028B6"/>
    <w:rsid w:val="00B069FF"/>
    <w:rsid w:val="00B11021"/>
    <w:rsid w:val="00B1188A"/>
    <w:rsid w:val="00B1406C"/>
    <w:rsid w:val="00B147B7"/>
    <w:rsid w:val="00B17815"/>
    <w:rsid w:val="00B20278"/>
    <w:rsid w:val="00B20C12"/>
    <w:rsid w:val="00B2345C"/>
    <w:rsid w:val="00B26455"/>
    <w:rsid w:val="00B26B6C"/>
    <w:rsid w:val="00B27049"/>
    <w:rsid w:val="00B329AF"/>
    <w:rsid w:val="00B35902"/>
    <w:rsid w:val="00B3644A"/>
    <w:rsid w:val="00B36D0D"/>
    <w:rsid w:val="00B373C9"/>
    <w:rsid w:val="00B40D1A"/>
    <w:rsid w:val="00B415AD"/>
    <w:rsid w:val="00B423A5"/>
    <w:rsid w:val="00B42C79"/>
    <w:rsid w:val="00B4320D"/>
    <w:rsid w:val="00B43F5F"/>
    <w:rsid w:val="00B4779F"/>
    <w:rsid w:val="00B477F7"/>
    <w:rsid w:val="00B52338"/>
    <w:rsid w:val="00B5361E"/>
    <w:rsid w:val="00B5377B"/>
    <w:rsid w:val="00B72471"/>
    <w:rsid w:val="00B72A17"/>
    <w:rsid w:val="00B75165"/>
    <w:rsid w:val="00B75C6C"/>
    <w:rsid w:val="00B76F56"/>
    <w:rsid w:val="00B825EE"/>
    <w:rsid w:val="00B84464"/>
    <w:rsid w:val="00B84A23"/>
    <w:rsid w:val="00B85D30"/>
    <w:rsid w:val="00B86CCF"/>
    <w:rsid w:val="00B96664"/>
    <w:rsid w:val="00B97C1B"/>
    <w:rsid w:val="00BA3BCC"/>
    <w:rsid w:val="00BA6B69"/>
    <w:rsid w:val="00BB1915"/>
    <w:rsid w:val="00BB2113"/>
    <w:rsid w:val="00BB3079"/>
    <w:rsid w:val="00BB492D"/>
    <w:rsid w:val="00BB69A0"/>
    <w:rsid w:val="00BC0163"/>
    <w:rsid w:val="00BC2715"/>
    <w:rsid w:val="00BC276B"/>
    <w:rsid w:val="00BC6362"/>
    <w:rsid w:val="00BC6895"/>
    <w:rsid w:val="00BC7B34"/>
    <w:rsid w:val="00BD04C6"/>
    <w:rsid w:val="00BD4A38"/>
    <w:rsid w:val="00BD5076"/>
    <w:rsid w:val="00BE30FC"/>
    <w:rsid w:val="00BE50A6"/>
    <w:rsid w:val="00BE5EB1"/>
    <w:rsid w:val="00BE6BFF"/>
    <w:rsid w:val="00BE7691"/>
    <w:rsid w:val="00BF287C"/>
    <w:rsid w:val="00BF2C6C"/>
    <w:rsid w:val="00BF64D4"/>
    <w:rsid w:val="00BF72E6"/>
    <w:rsid w:val="00BF7801"/>
    <w:rsid w:val="00C000C7"/>
    <w:rsid w:val="00C04DF9"/>
    <w:rsid w:val="00C050ED"/>
    <w:rsid w:val="00C108FD"/>
    <w:rsid w:val="00C10E2B"/>
    <w:rsid w:val="00C12BF4"/>
    <w:rsid w:val="00C21A79"/>
    <w:rsid w:val="00C221C1"/>
    <w:rsid w:val="00C22215"/>
    <w:rsid w:val="00C22E64"/>
    <w:rsid w:val="00C23D2F"/>
    <w:rsid w:val="00C27D3B"/>
    <w:rsid w:val="00C303D0"/>
    <w:rsid w:val="00C304F9"/>
    <w:rsid w:val="00C31B59"/>
    <w:rsid w:val="00C35063"/>
    <w:rsid w:val="00C37A50"/>
    <w:rsid w:val="00C447E4"/>
    <w:rsid w:val="00C4531A"/>
    <w:rsid w:val="00C45A13"/>
    <w:rsid w:val="00C45EC9"/>
    <w:rsid w:val="00C46637"/>
    <w:rsid w:val="00C506F4"/>
    <w:rsid w:val="00C52794"/>
    <w:rsid w:val="00C536AC"/>
    <w:rsid w:val="00C563FD"/>
    <w:rsid w:val="00C61FD7"/>
    <w:rsid w:val="00C64C54"/>
    <w:rsid w:val="00C6555B"/>
    <w:rsid w:val="00C657B5"/>
    <w:rsid w:val="00C65997"/>
    <w:rsid w:val="00C702F6"/>
    <w:rsid w:val="00C72934"/>
    <w:rsid w:val="00C72996"/>
    <w:rsid w:val="00C77425"/>
    <w:rsid w:val="00C77C4E"/>
    <w:rsid w:val="00C77FD1"/>
    <w:rsid w:val="00C80B37"/>
    <w:rsid w:val="00C86288"/>
    <w:rsid w:val="00C875A8"/>
    <w:rsid w:val="00C96A49"/>
    <w:rsid w:val="00CA0DEB"/>
    <w:rsid w:val="00CA0DF6"/>
    <w:rsid w:val="00CA71D0"/>
    <w:rsid w:val="00CB18FD"/>
    <w:rsid w:val="00CB1DD1"/>
    <w:rsid w:val="00CB32D0"/>
    <w:rsid w:val="00CB47D9"/>
    <w:rsid w:val="00CB6AAD"/>
    <w:rsid w:val="00CB74F3"/>
    <w:rsid w:val="00CC076B"/>
    <w:rsid w:val="00CC08B1"/>
    <w:rsid w:val="00CC5004"/>
    <w:rsid w:val="00CC597C"/>
    <w:rsid w:val="00CC6A9D"/>
    <w:rsid w:val="00CD5B96"/>
    <w:rsid w:val="00CD7BC7"/>
    <w:rsid w:val="00CD7ED5"/>
    <w:rsid w:val="00CE19E2"/>
    <w:rsid w:val="00CE29F4"/>
    <w:rsid w:val="00CE4527"/>
    <w:rsid w:val="00CE7368"/>
    <w:rsid w:val="00CF160D"/>
    <w:rsid w:val="00CF1861"/>
    <w:rsid w:val="00CF38B6"/>
    <w:rsid w:val="00D0782B"/>
    <w:rsid w:val="00D12167"/>
    <w:rsid w:val="00D15115"/>
    <w:rsid w:val="00D15F92"/>
    <w:rsid w:val="00D22F48"/>
    <w:rsid w:val="00D232E4"/>
    <w:rsid w:val="00D2611F"/>
    <w:rsid w:val="00D30E9D"/>
    <w:rsid w:val="00D33CDE"/>
    <w:rsid w:val="00D34C83"/>
    <w:rsid w:val="00D37953"/>
    <w:rsid w:val="00D41978"/>
    <w:rsid w:val="00D42088"/>
    <w:rsid w:val="00D42CD3"/>
    <w:rsid w:val="00D43DBF"/>
    <w:rsid w:val="00D43DC3"/>
    <w:rsid w:val="00D46B59"/>
    <w:rsid w:val="00D5175B"/>
    <w:rsid w:val="00D5196A"/>
    <w:rsid w:val="00D53134"/>
    <w:rsid w:val="00D553F4"/>
    <w:rsid w:val="00D55597"/>
    <w:rsid w:val="00D5567E"/>
    <w:rsid w:val="00D55E4D"/>
    <w:rsid w:val="00D560F2"/>
    <w:rsid w:val="00D6161D"/>
    <w:rsid w:val="00D617E4"/>
    <w:rsid w:val="00D61A12"/>
    <w:rsid w:val="00D63D2D"/>
    <w:rsid w:val="00D6612D"/>
    <w:rsid w:val="00D664ED"/>
    <w:rsid w:val="00D66925"/>
    <w:rsid w:val="00D67D4F"/>
    <w:rsid w:val="00D757FE"/>
    <w:rsid w:val="00D763CF"/>
    <w:rsid w:val="00D803D5"/>
    <w:rsid w:val="00D81825"/>
    <w:rsid w:val="00D81C39"/>
    <w:rsid w:val="00D81FE1"/>
    <w:rsid w:val="00D87C25"/>
    <w:rsid w:val="00D90981"/>
    <w:rsid w:val="00D90A4D"/>
    <w:rsid w:val="00D9144D"/>
    <w:rsid w:val="00D9412E"/>
    <w:rsid w:val="00D941B4"/>
    <w:rsid w:val="00D95F05"/>
    <w:rsid w:val="00D96C13"/>
    <w:rsid w:val="00DA1825"/>
    <w:rsid w:val="00DA5F03"/>
    <w:rsid w:val="00DA7757"/>
    <w:rsid w:val="00DB4641"/>
    <w:rsid w:val="00DB5AF7"/>
    <w:rsid w:val="00DD3313"/>
    <w:rsid w:val="00DD62CC"/>
    <w:rsid w:val="00DE3174"/>
    <w:rsid w:val="00DE48C3"/>
    <w:rsid w:val="00DE4A03"/>
    <w:rsid w:val="00DE5553"/>
    <w:rsid w:val="00DE5676"/>
    <w:rsid w:val="00DF2E28"/>
    <w:rsid w:val="00DF7E9B"/>
    <w:rsid w:val="00E00A30"/>
    <w:rsid w:val="00E06927"/>
    <w:rsid w:val="00E0775B"/>
    <w:rsid w:val="00E12F4F"/>
    <w:rsid w:val="00E13737"/>
    <w:rsid w:val="00E16503"/>
    <w:rsid w:val="00E17FCD"/>
    <w:rsid w:val="00E2151E"/>
    <w:rsid w:val="00E22C3E"/>
    <w:rsid w:val="00E253B9"/>
    <w:rsid w:val="00E26643"/>
    <w:rsid w:val="00E274B1"/>
    <w:rsid w:val="00E30148"/>
    <w:rsid w:val="00E312EA"/>
    <w:rsid w:val="00E31330"/>
    <w:rsid w:val="00E32DF2"/>
    <w:rsid w:val="00E339BC"/>
    <w:rsid w:val="00E35AF2"/>
    <w:rsid w:val="00E36226"/>
    <w:rsid w:val="00E367F9"/>
    <w:rsid w:val="00E37DE4"/>
    <w:rsid w:val="00E41C88"/>
    <w:rsid w:val="00E42455"/>
    <w:rsid w:val="00E43A1C"/>
    <w:rsid w:val="00E46DA5"/>
    <w:rsid w:val="00E51EF1"/>
    <w:rsid w:val="00E52E0F"/>
    <w:rsid w:val="00E54815"/>
    <w:rsid w:val="00E5681E"/>
    <w:rsid w:val="00E572C5"/>
    <w:rsid w:val="00E6264E"/>
    <w:rsid w:val="00E62B26"/>
    <w:rsid w:val="00E63BDB"/>
    <w:rsid w:val="00E63F38"/>
    <w:rsid w:val="00E63F4F"/>
    <w:rsid w:val="00E64091"/>
    <w:rsid w:val="00E6554C"/>
    <w:rsid w:val="00E65E6C"/>
    <w:rsid w:val="00E66462"/>
    <w:rsid w:val="00E67A66"/>
    <w:rsid w:val="00E67BCD"/>
    <w:rsid w:val="00E67D08"/>
    <w:rsid w:val="00E70120"/>
    <w:rsid w:val="00E721B9"/>
    <w:rsid w:val="00E72F3B"/>
    <w:rsid w:val="00E7323A"/>
    <w:rsid w:val="00E75CF1"/>
    <w:rsid w:val="00E77072"/>
    <w:rsid w:val="00E81C72"/>
    <w:rsid w:val="00E82360"/>
    <w:rsid w:val="00E83FD8"/>
    <w:rsid w:val="00E84B16"/>
    <w:rsid w:val="00E874D6"/>
    <w:rsid w:val="00E92F3F"/>
    <w:rsid w:val="00E94BFA"/>
    <w:rsid w:val="00E955A7"/>
    <w:rsid w:val="00E95BBF"/>
    <w:rsid w:val="00EA02C3"/>
    <w:rsid w:val="00EA31AE"/>
    <w:rsid w:val="00EB107D"/>
    <w:rsid w:val="00EB3CC7"/>
    <w:rsid w:val="00EB633D"/>
    <w:rsid w:val="00EB769F"/>
    <w:rsid w:val="00EC0566"/>
    <w:rsid w:val="00EC124E"/>
    <w:rsid w:val="00EC28C4"/>
    <w:rsid w:val="00EC30C0"/>
    <w:rsid w:val="00EC3C78"/>
    <w:rsid w:val="00EC40FA"/>
    <w:rsid w:val="00EC5B7E"/>
    <w:rsid w:val="00EC671A"/>
    <w:rsid w:val="00EC714D"/>
    <w:rsid w:val="00EC7F9C"/>
    <w:rsid w:val="00ED0BE8"/>
    <w:rsid w:val="00ED3275"/>
    <w:rsid w:val="00ED3852"/>
    <w:rsid w:val="00ED3F1B"/>
    <w:rsid w:val="00ED4BA0"/>
    <w:rsid w:val="00ED5BA8"/>
    <w:rsid w:val="00ED6AE7"/>
    <w:rsid w:val="00ED7D67"/>
    <w:rsid w:val="00EE13C5"/>
    <w:rsid w:val="00EE14E9"/>
    <w:rsid w:val="00EE2986"/>
    <w:rsid w:val="00EE35F8"/>
    <w:rsid w:val="00EE3697"/>
    <w:rsid w:val="00EE5EBB"/>
    <w:rsid w:val="00EF0999"/>
    <w:rsid w:val="00EF0C84"/>
    <w:rsid w:val="00EF215E"/>
    <w:rsid w:val="00EF2508"/>
    <w:rsid w:val="00EF6AB2"/>
    <w:rsid w:val="00EF71A1"/>
    <w:rsid w:val="00F003C4"/>
    <w:rsid w:val="00F00755"/>
    <w:rsid w:val="00F00930"/>
    <w:rsid w:val="00F0247D"/>
    <w:rsid w:val="00F024FC"/>
    <w:rsid w:val="00F0361A"/>
    <w:rsid w:val="00F11C27"/>
    <w:rsid w:val="00F155B3"/>
    <w:rsid w:val="00F24A1C"/>
    <w:rsid w:val="00F24D83"/>
    <w:rsid w:val="00F259C7"/>
    <w:rsid w:val="00F25A65"/>
    <w:rsid w:val="00F27724"/>
    <w:rsid w:val="00F30BB8"/>
    <w:rsid w:val="00F30E99"/>
    <w:rsid w:val="00F3345A"/>
    <w:rsid w:val="00F35804"/>
    <w:rsid w:val="00F400F1"/>
    <w:rsid w:val="00F423E3"/>
    <w:rsid w:val="00F44567"/>
    <w:rsid w:val="00F462E3"/>
    <w:rsid w:val="00F514E4"/>
    <w:rsid w:val="00F532B8"/>
    <w:rsid w:val="00F569FE"/>
    <w:rsid w:val="00F60469"/>
    <w:rsid w:val="00F70BAD"/>
    <w:rsid w:val="00F729CC"/>
    <w:rsid w:val="00F73268"/>
    <w:rsid w:val="00F743FD"/>
    <w:rsid w:val="00F74C2B"/>
    <w:rsid w:val="00F81E21"/>
    <w:rsid w:val="00F83B23"/>
    <w:rsid w:val="00F842ED"/>
    <w:rsid w:val="00F84AC3"/>
    <w:rsid w:val="00F84C89"/>
    <w:rsid w:val="00F85F2F"/>
    <w:rsid w:val="00F873B2"/>
    <w:rsid w:val="00F9593F"/>
    <w:rsid w:val="00FA1473"/>
    <w:rsid w:val="00FA18EA"/>
    <w:rsid w:val="00FA2B3C"/>
    <w:rsid w:val="00FA3F55"/>
    <w:rsid w:val="00FA5048"/>
    <w:rsid w:val="00FA65F6"/>
    <w:rsid w:val="00FA7090"/>
    <w:rsid w:val="00FB0A89"/>
    <w:rsid w:val="00FB32BA"/>
    <w:rsid w:val="00FB3FD3"/>
    <w:rsid w:val="00FB6FB4"/>
    <w:rsid w:val="00FC0CED"/>
    <w:rsid w:val="00FC4C9D"/>
    <w:rsid w:val="00FC5DA1"/>
    <w:rsid w:val="00FC6296"/>
    <w:rsid w:val="00FC6D03"/>
    <w:rsid w:val="00FD6ED2"/>
    <w:rsid w:val="00FE0B37"/>
    <w:rsid w:val="00FE0EC9"/>
    <w:rsid w:val="00FE5052"/>
    <w:rsid w:val="00FF2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5" w:semiHidden="1"/>
    <w:lsdException w:name="toc 6" w:semiHidden="1"/>
    <w:lsdException w:name="toc 7" w:semiHidden="1"/>
    <w:lsdException w:name="toc 8" w:semiHidden="1"/>
    <w:lsdException w:name="footer" w:uiPriority="99"/>
    <w:lsdException w:name="caption" w:qFormat="1"/>
    <w:lsdException w:name="table of figures" w:semiHidden="1"/>
    <w:lsdException w:name="endnote reference" w:semiHidden="1"/>
    <w:lsdException w:name="endnote text" w:semiHidden="1"/>
    <w:lsdException w:name="table of authorities" w:semiHidden="1"/>
    <w:lsdException w:name="toa heading" w:semiHidden="1"/>
    <w:lsdException w:name="Title" w:qFormat="1"/>
    <w:lsdException w:name="Body Text" w:semiHidden="1"/>
    <w:lsdException w:name="Body Text Indent"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0F67FE"/>
    <w:pPr>
      <w:suppressAutoHyphens/>
      <w:spacing w:before="120" w:after="120"/>
      <w:ind w:left="1134"/>
    </w:pPr>
    <w:rPr>
      <w:rFonts w:ascii="Arial" w:hAnsi="Arial"/>
      <w:lang w:val="en-GB"/>
    </w:rPr>
  </w:style>
  <w:style w:type="paragraph" w:styleId="Heading1">
    <w:name w:val="heading 1"/>
    <w:next w:val="Normal"/>
    <w:qFormat/>
    <w:rsid w:val="003100F4"/>
    <w:pPr>
      <w:keepNext/>
      <w:numPr>
        <w:numId w:val="19"/>
      </w:numPr>
      <w:tabs>
        <w:tab w:val="clear" w:pos="6264"/>
        <w:tab w:val="num" w:pos="1134"/>
      </w:tabs>
      <w:spacing w:before="360"/>
      <w:ind w:left="720" w:hanging="720"/>
      <w:outlineLvl w:val="0"/>
    </w:pPr>
    <w:rPr>
      <w:rFonts w:ascii="Arial" w:hAnsi="Arial"/>
      <w:b/>
      <w:kern w:val="28"/>
      <w:sz w:val="28"/>
      <w:lang w:val="en-GB"/>
    </w:rPr>
  </w:style>
  <w:style w:type="paragraph" w:styleId="Heading2">
    <w:name w:val="heading 2"/>
    <w:basedOn w:val="Heading1"/>
    <w:next w:val="Normal"/>
    <w:qFormat/>
    <w:rsid w:val="003100F4"/>
    <w:pPr>
      <w:numPr>
        <w:ilvl w:val="1"/>
      </w:numPr>
      <w:tabs>
        <w:tab w:val="clear" w:pos="3654"/>
        <w:tab w:val="num" w:pos="7614"/>
      </w:tabs>
      <w:spacing w:before="240" w:after="60"/>
      <w:ind w:left="720" w:hanging="720"/>
      <w:outlineLvl w:val="1"/>
    </w:pPr>
    <w:rPr>
      <w:sz w:val="22"/>
    </w:rPr>
  </w:style>
  <w:style w:type="paragraph" w:styleId="Heading3">
    <w:name w:val="heading 3"/>
    <w:basedOn w:val="Heading2"/>
    <w:next w:val="Normal"/>
    <w:qFormat/>
    <w:rsid w:val="00E26643"/>
    <w:pPr>
      <w:numPr>
        <w:ilvl w:val="2"/>
      </w:numPr>
      <w:spacing w:before="160"/>
      <w:ind w:left="720" w:hanging="720"/>
      <w:outlineLvl w:val="2"/>
    </w:pPr>
    <w:rPr>
      <w:sz w:val="20"/>
    </w:rPr>
  </w:style>
  <w:style w:type="paragraph" w:styleId="Heading4">
    <w:name w:val="heading 4"/>
    <w:basedOn w:val="Heading3"/>
    <w:next w:val="Normal"/>
    <w:qFormat/>
    <w:rsid w:val="003D7590"/>
    <w:pPr>
      <w:numPr>
        <w:ilvl w:val="3"/>
      </w:numPr>
      <w:spacing w:before="120" w:after="0"/>
      <w:outlineLvl w:val="3"/>
    </w:pPr>
    <w:rPr>
      <w:sz w:val="24"/>
    </w:rPr>
  </w:style>
  <w:style w:type="paragraph" w:styleId="Heading5">
    <w:name w:val="heading 5"/>
    <w:aliases w:val="Heading 5 DO NOT USE"/>
    <w:basedOn w:val="Normal"/>
    <w:next w:val="Normal"/>
    <w:semiHidden/>
    <w:qFormat/>
    <w:rsid w:val="00A327F0"/>
    <w:pPr>
      <w:spacing w:before="240" w:after="60"/>
      <w:ind w:left="0"/>
      <w:outlineLvl w:val="4"/>
    </w:pPr>
    <w:rPr>
      <w:sz w:val="22"/>
    </w:rPr>
  </w:style>
  <w:style w:type="paragraph" w:styleId="Heading6">
    <w:name w:val="heading 6"/>
    <w:aliases w:val="Heading 6 DO NOT USE"/>
    <w:basedOn w:val="Normal"/>
    <w:next w:val="Normal"/>
    <w:semiHidden/>
    <w:qFormat/>
    <w:rsid w:val="00A327F0"/>
    <w:pPr>
      <w:spacing w:before="240" w:after="60"/>
      <w:ind w:left="0"/>
      <w:outlineLvl w:val="5"/>
    </w:pPr>
    <w:rPr>
      <w:i/>
      <w:sz w:val="22"/>
    </w:rPr>
  </w:style>
  <w:style w:type="paragraph" w:styleId="Heading7">
    <w:name w:val="heading 7"/>
    <w:aliases w:val="Heading 7 DO NOT USE"/>
    <w:basedOn w:val="Normal"/>
    <w:next w:val="Normal"/>
    <w:semiHidden/>
    <w:qFormat/>
    <w:rsid w:val="00A327F0"/>
    <w:pPr>
      <w:keepNext/>
      <w:spacing w:before="240" w:after="240"/>
      <w:ind w:left="0"/>
      <w:outlineLvl w:val="6"/>
    </w:pPr>
    <w:rPr>
      <w:b/>
      <w:sz w:val="40"/>
    </w:rPr>
  </w:style>
  <w:style w:type="paragraph" w:styleId="Heading8">
    <w:name w:val="heading 8"/>
    <w:aliases w:val="Heading 8 DO NOT USE"/>
    <w:basedOn w:val="Normal"/>
    <w:next w:val="Normal"/>
    <w:semiHidden/>
    <w:qFormat/>
    <w:rsid w:val="00A327F0"/>
    <w:pPr>
      <w:keepNext/>
      <w:spacing w:before="240" w:after="60"/>
      <w:ind w:left="0"/>
      <w:outlineLvl w:val="7"/>
    </w:pPr>
    <w:rPr>
      <w:b/>
      <w:sz w:val="36"/>
    </w:rPr>
  </w:style>
  <w:style w:type="paragraph" w:styleId="Heading9">
    <w:name w:val="heading 9"/>
    <w:aliases w:val="Heading 9 DO NOT USE"/>
    <w:basedOn w:val="Normal"/>
    <w:next w:val="Normal"/>
    <w:semiHidden/>
    <w:qFormat/>
    <w:rsid w:val="00A327F0"/>
    <w:pPr>
      <w:spacing w:before="240" w:after="60"/>
      <w:ind w:left="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rsid w:val="001C280A"/>
    <w:pPr>
      <w:spacing w:before="1880" w:after="0"/>
      <w:ind w:left="0"/>
    </w:pPr>
    <w:rPr>
      <w:rFonts w:eastAsia="Times New Roman"/>
      <w:sz w:val="40"/>
      <w:szCs w:val="48"/>
    </w:rPr>
  </w:style>
  <w:style w:type="paragraph" w:customStyle="1" w:styleId="SWIFTNetversion">
    <w:name w:val="SWIFTNet version"/>
    <w:basedOn w:val="Normal"/>
    <w:next w:val="DocumentTitle"/>
    <w:rsid w:val="001C280A"/>
    <w:pPr>
      <w:spacing w:before="300" w:after="0"/>
      <w:ind w:left="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1C280A"/>
    <w:pPr>
      <w:tabs>
        <w:tab w:val="left" w:pos="1701"/>
        <w:tab w:val="right" w:leader="dot" w:pos="9242"/>
      </w:tabs>
      <w:spacing w:before="20" w:after="20"/>
      <w:ind w:left="1701" w:hanging="567"/>
    </w:pPr>
    <w:rPr>
      <w:noProof/>
    </w:rPr>
  </w:style>
  <w:style w:type="paragraph" w:styleId="TOC4">
    <w:name w:val="toc 4"/>
    <w:basedOn w:val="Normal"/>
    <w:next w:val="Normal"/>
    <w:autoRedefine/>
    <w:semiHidden/>
    <w:rsid w:val="001C280A"/>
    <w:pPr>
      <w:tabs>
        <w:tab w:val="left" w:pos="2552"/>
        <w:tab w:val="right" w:leader="dot" w:pos="8505"/>
      </w:tabs>
      <w:spacing w:before="60" w:after="60"/>
      <w:ind w:left="2552" w:hanging="851"/>
    </w:pPr>
    <w:rPr>
      <w:noProof/>
    </w:rPr>
  </w:style>
  <w:style w:type="paragraph" w:customStyle="1" w:styleId="IntroHeading">
    <w:name w:val="Intro Heading"/>
    <w:basedOn w:val="Heading"/>
    <w:next w:val="Normal"/>
    <w:rsid w:val="0092643F"/>
    <w:pPr>
      <w:spacing w:before="480" w:after="120"/>
    </w:pPr>
    <w:rPr>
      <w:sz w:val="36"/>
    </w:rPr>
  </w:style>
  <w:style w:type="paragraph" w:customStyle="1" w:styleId="Warning">
    <w:name w:val="Warning"/>
    <w:basedOn w:val="Note"/>
    <w:next w:val="Normal"/>
    <w:rsid w:val="001C280A"/>
    <w:pPr>
      <w:numPr>
        <w:numId w:val="2"/>
      </w:numPr>
    </w:pPr>
    <w:rPr>
      <w:snapToGrid w:val="0"/>
      <w:lang w:val="en-US"/>
    </w:rPr>
  </w:style>
  <w:style w:type="paragraph" w:customStyle="1" w:styleId="Note">
    <w:name w:val="Note"/>
    <w:basedOn w:val="Normal"/>
    <w:next w:val="Normal"/>
    <w:rsid w:val="001C280A"/>
    <w:pPr>
      <w:keepLines/>
      <w:numPr>
        <w:numId w:val="17"/>
      </w:numPr>
      <w:pBdr>
        <w:top w:val="single" w:sz="2" w:space="4" w:color="333333"/>
        <w:bottom w:val="single" w:sz="2" w:space="4" w:color="333333"/>
      </w:pBdr>
    </w:pPr>
  </w:style>
  <w:style w:type="paragraph" w:customStyle="1" w:styleId="Headereveninstrucpages">
    <w:name w:val="Header even instruc pages"/>
    <w:next w:val="Headeroddinstrucpages"/>
    <w:link w:val="HeadereveninstrucpagesCharChar"/>
    <w:rsid w:val="00C31B59"/>
    <w:pPr>
      <w:pBdr>
        <w:bottom w:val="single" w:sz="4" w:space="1" w:color="auto"/>
      </w:pBdr>
      <w:tabs>
        <w:tab w:val="right" w:pos="9242"/>
      </w:tabs>
      <w:spacing w:after="40"/>
    </w:pPr>
    <w:rPr>
      <w:rFonts w:ascii="Arial" w:eastAsia="Times New Roman" w:hAnsi="Arial"/>
      <w:sz w:val="16"/>
      <w:lang w:val="en-GB"/>
    </w:rPr>
  </w:style>
  <w:style w:type="paragraph" w:customStyle="1" w:styleId="Footereveninstrucpages">
    <w:name w:val="Footer even instruc pages"/>
    <w:next w:val="Footerodd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customStyle="1" w:styleId="Headeroddinstrucpages">
    <w:name w:val="Header odd instruc pages"/>
    <w:next w:val="Headereveninstrucpages"/>
    <w:rsid w:val="00C31B59"/>
    <w:pPr>
      <w:pBdr>
        <w:bottom w:val="single" w:sz="4" w:space="1" w:color="auto"/>
      </w:pBdr>
      <w:tabs>
        <w:tab w:val="right" w:pos="9242"/>
      </w:tabs>
      <w:spacing w:after="40"/>
    </w:pPr>
    <w:rPr>
      <w:rFonts w:ascii="Arial" w:hAnsi="Arial"/>
      <w:sz w:val="16"/>
      <w:lang w:val="en-GB"/>
    </w:rPr>
  </w:style>
  <w:style w:type="paragraph" w:styleId="IndexHeading">
    <w:name w:val="index heading"/>
    <w:basedOn w:val="Normal"/>
    <w:next w:val="Index1"/>
    <w:semiHidden/>
    <w:rsid w:val="001C280A"/>
    <w:pPr>
      <w:suppressAutoHyphens w:val="0"/>
      <w:ind w:left="0"/>
    </w:pPr>
    <w:rPr>
      <w:rFonts w:eastAsia="Times New Roman"/>
      <w:b/>
    </w:rPr>
  </w:style>
  <w:style w:type="paragraph" w:styleId="Index1">
    <w:name w:val="index 1"/>
    <w:basedOn w:val="Normal"/>
    <w:next w:val="Index2"/>
    <w:autoRedefine/>
    <w:semiHidden/>
    <w:rsid w:val="001C280A"/>
    <w:pPr>
      <w:suppressAutoHyphens w:val="0"/>
      <w:spacing w:before="0" w:after="0"/>
      <w:ind w:left="200" w:hanging="200"/>
    </w:pPr>
    <w:rPr>
      <w:rFonts w:eastAsia="Times New Roman"/>
    </w:rPr>
  </w:style>
  <w:style w:type="paragraph" w:styleId="Index2">
    <w:name w:val="index 2"/>
    <w:basedOn w:val="Index1"/>
    <w:semiHidden/>
    <w:rsid w:val="001C280A"/>
    <w:pPr>
      <w:ind w:left="426" w:hanging="142"/>
    </w:pPr>
  </w:style>
  <w:style w:type="paragraph" w:customStyle="1" w:styleId="TableText">
    <w:name w:val="Table Text"/>
    <w:basedOn w:val="Normal"/>
    <w:rsid w:val="001C280A"/>
    <w:pPr>
      <w:spacing w:before="60" w:after="40"/>
      <w:ind w:left="0"/>
    </w:pPr>
    <w:rPr>
      <w:iCs/>
      <w:sz w:val="18"/>
    </w:rPr>
  </w:style>
  <w:style w:type="paragraph" w:customStyle="1" w:styleId="BlockLabel">
    <w:name w:val="Block Label"/>
    <w:basedOn w:val="Normal"/>
    <w:next w:val="Normal"/>
    <w:rsid w:val="001C280A"/>
    <w:pPr>
      <w:keepNext/>
      <w:spacing w:before="160" w:after="40"/>
      <w:ind w:left="567"/>
    </w:pPr>
    <w:rPr>
      <w:b/>
      <w:snapToGrid w:val="0"/>
    </w:rPr>
  </w:style>
  <w:style w:type="paragraph" w:styleId="ListContinue2">
    <w:name w:val="List Continue 2"/>
    <w:basedOn w:val="ListContinue"/>
    <w:next w:val="ListNumber"/>
    <w:rsid w:val="001C280A"/>
    <w:pPr>
      <w:ind w:left="1985"/>
    </w:pPr>
  </w:style>
  <w:style w:type="paragraph" w:customStyle="1" w:styleId="Footeroddinstrucpages">
    <w:name w:val="Footer odd instruc pages"/>
    <w:next w:val="Footereven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styleId="ListNumber2">
    <w:name w:val="List Number 2"/>
    <w:basedOn w:val="Normal"/>
    <w:rsid w:val="001C280A"/>
    <w:pPr>
      <w:numPr>
        <w:numId w:val="21"/>
      </w:numPr>
      <w:spacing w:before="0" w:after="60"/>
    </w:pPr>
  </w:style>
  <w:style w:type="character" w:styleId="Strong">
    <w:name w:val="Strong"/>
    <w:basedOn w:val="DefaultParagraphFont"/>
    <w:qFormat/>
    <w:rsid w:val="001C280A"/>
    <w:rPr>
      <w:b/>
      <w:bCs/>
    </w:rPr>
  </w:style>
  <w:style w:type="paragraph" w:customStyle="1" w:styleId="Append1">
    <w:name w:val="Append 1"/>
    <w:basedOn w:val="Heading2"/>
    <w:next w:val="Normal"/>
    <w:rsid w:val="003D7590"/>
    <w:pPr>
      <w:keepLines/>
      <w:numPr>
        <w:numId w:val="18"/>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rsid w:val="001C280A"/>
    <w:pPr>
      <w:numPr>
        <w:numId w:val="3"/>
      </w:numPr>
      <w:spacing w:before="40"/>
    </w:pPr>
  </w:style>
  <w:style w:type="paragraph" w:customStyle="1" w:styleId="TableHeading">
    <w:name w:val="Table Heading"/>
    <w:basedOn w:val="TableText"/>
    <w:next w:val="TableText"/>
    <w:rsid w:val="001C280A"/>
    <w:pPr>
      <w:spacing w:before="80" w:after="60"/>
    </w:pPr>
    <w:rPr>
      <w:b/>
      <w:iCs w:val="0"/>
      <w:snapToGrid w:val="0"/>
      <w:kern w:val="28"/>
    </w:rPr>
  </w:style>
  <w:style w:type="paragraph" w:customStyle="1" w:styleId="Headerodd">
    <w:name w:val="Header odd"/>
    <w:next w:val="Headereven"/>
    <w:rsid w:val="00E721B9"/>
    <w:pPr>
      <w:tabs>
        <w:tab w:val="right" w:pos="9242"/>
      </w:tabs>
      <w:spacing w:after="40"/>
    </w:pPr>
    <w:rPr>
      <w:rFonts w:ascii="Arial" w:eastAsia="Times New Roman" w:hAnsi="Arial"/>
      <w:sz w:val="16"/>
      <w:lang w:val="en-GB"/>
    </w:rPr>
  </w:style>
  <w:style w:type="paragraph" w:styleId="EndnoteText">
    <w:name w:val="endnote text"/>
    <w:basedOn w:val="Normal"/>
    <w:link w:val="EndnoteTextChar"/>
    <w:semiHidden/>
    <w:rsid w:val="00805B42"/>
    <w:pPr>
      <w:spacing w:before="0" w:after="0"/>
    </w:pPr>
  </w:style>
  <w:style w:type="character" w:customStyle="1" w:styleId="Syntax">
    <w:name w:val="Syntax"/>
    <w:basedOn w:val="DefaultParagraphFont"/>
    <w:rsid w:val="001C280A"/>
    <w:rPr>
      <w:rFonts w:ascii="Courier" w:hAnsi="Courier"/>
      <w:sz w:val="18"/>
    </w:rPr>
  </w:style>
  <w:style w:type="paragraph" w:customStyle="1" w:styleId="Tip">
    <w:name w:val="Tip"/>
    <w:basedOn w:val="Note"/>
    <w:next w:val="Normal"/>
    <w:rsid w:val="001C280A"/>
    <w:pPr>
      <w:numPr>
        <w:numId w:val="1"/>
      </w:numPr>
    </w:pPr>
  </w:style>
  <w:style w:type="paragraph" w:customStyle="1" w:styleId="TableNumber">
    <w:name w:val="Table Number"/>
    <w:basedOn w:val="TableText"/>
    <w:rsid w:val="001C280A"/>
    <w:pPr>
      <w:numPr>
        <w:numId w:val="4"/>
      </w:numPr>
      <w:spacing w:before="40"/>
    </w:pPr>
  </w:style>
  <w:style w:type="paragraph" w:customStyle="1" w:styleId="Append2">
    <w:name w:val="Append 2"/>
    <w:basedOn w:val="Heading3"/>
    <w:next w:val="Normal"/>
    <w:rsid w:val="003D7590"/>
    <w:pPr>
      <w:keepLines/>
      <w:numPr>
        <w:numId w:val="18"/>
      </w:numPr>
    </w:pPr>
    <w:rPr>
      <w:rFonts w:eastAsia="Times New Roman"/>
      <w:color w:val="000000"/>
      <w:kern w:val="0"/>
    </w:rPr>
  </w:style>
  <w:style w:type="paragraph" w:customStyle="1" w:styleId="Append3">
    <w:name w:val="Append 3"/>
    <w:basedOn w:val="Heading4"/>
    <w:next w:val="Normal"/>
    <w:rsid w:val="003D7590"/>
    <w:pPr>
      <w:keepLines/>
      <w:numPr>
        <w:numId w:val="18"/>
      </w:numPr>
    </w:pPr>
    <w:rPr>
      <w:rFonts w:eastAsia="Times New Roman"/>
      <w:color w:val="000000"/>
    </w:rPr>
  </w:style>
  <w:style w:type="character" w:customStyle="1" w:styleId="EndnoteTextChar">
    <w:name w:val="Endnote Text Char"/>
    <w:basedOn w:val="DefaultParagraphFont"/>
    <w:link w:val="EndnoteText"/>
    <w:semiHidden/>
    <w:rsid w:val="00805B42"/>
    <w:rPr>
      <w:rFonts w:ascii="Arial" w:hAnsi="Arial"/>
      <w:lang w:val="en-GB"/>
    </w:rPr>
  </w:style>
  <w:style w:type="character" w:customStyle="1" w:styleId="ListBulletChar">
    <w:name w:val="List Bullet Char"/>
    <w:basedOn w:val="DefaultParagraphFont"/>
    <w:link w:val="ListBullet"/>
    <w:rsid w:val="001C280A"/>
    <w:rPr>
      <w:rFonts w:ascii="Arial" w:hAnsi="Arial"/>
      <w:kern w:val="28"/>
      <w:sz w:val="19"/>
      <w:lang w:val="en-GB"/>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rsid w:val="001C280A"/>
    <w:rPr>
      <w:i/>
    </w:rPr>
  </w:style>
  <w:style w:type="paragraph" w:customStyle="1" w:styleId="Index">
    <w:name w:val="Index"/>
    <w:basedOn w:val="Normal"/>
    <w:semiHidden/>
    <w:rsid w:val="001C280A"/>
  </w:style>
  <w:style w:type="paragraph" w:styleId="DocumentMap">
    <w:name w:val="Document Map"/>
    <w:basedOn w:val="Normal"/>
    <w:semiHidden/>
    <w:rsid w:val="001C280A"/>
    <w:pPr>
      <w:shd w:val="clear" w:color="auto" w:fill="000080"/>
    </w:pPr>
    <w:rPr>
      <w:rFonts w:ascii="Tahoma" w:hAnsi="Tahoma" w:cs="Tahoma"/>
    </w:rPr>
  </w:style>
  <w:style w:type="paragraph" w:customStyle="1" w:styleId="ProductFamily">
    <w:name w:val="Product Family"/>
    <w:basedOn w:val="Normal"/>
    <w:next w:val="ProductName"/>
    <w:rsid w:val="001C280A"/>
    <w:pPr>
      <w:spacing w:before="1000" w:after="0"/>
      <w:ind w:left="0"/>
    </w:pPr>
    <w:rPr>
      <w:rFonts w:eastAsia="Times New Roman"/>
      <w:sz w:val="32"/>
      <w:szCs w:val="32"/>
    </w:rPr>
  </w:style>
  <w:style w:type="paragraph" w:customStyle="1" w:styleId="Productvariant">
    <w:name w:val="Product variant"/>
    <w:basedOn w:val="Normal"/>
    <w:rsid w:val="001C280A"/>
    <w:pPr>
      <w:spacing w:before="240" w:after="0"/>
      <w:ind w:left="0"/>
    </w:pPr>
    <w:rPr>
      <w:sz w:val="28"/>
    </w:rPr>
  </w:style>
  <w:style w:type="paragraph" w:styleId="MacroText">
    <w:name w:val="macro"/>
    <w:semiHidden/>
    <w:rsid w:val="001C280A"/>
    <w:pPr>
      <w:tabs>
        <w:tab w:val="left" w:pos="480"/>
        <w:tab w:val="left" w:pos="960"/>
        <w:tab w:val="left" w:pos="1440"/>
        <w:tab w:val="left" w:pos="1920"/>
        <w:tab w:val="left" w:pos="2400"/>
        <w:tab w:val="left" w:pos="2880"/>
        <w:tab w:val="left" w:pos="3360"/>
        <w:tab w:val="left" w:pos="3840"/>
        <w:tab w:val="left" w:pos="4320"/>
      </w:tabs>
      <w:suppressAutoHyphens/>
      <w:spacing w:before="120" w:after="120"/>
      <w:ind w:left="851"/>
    </w:pPr>
    <w:rPr>
      <w:rFonts w:ascii="Courier New" w:hAnsi="Courier New" w:cs="Courier New"/>
      <w:lang w:val="en-GB"/>
    </w:rPr>
  </w:style>
  <w:style w:type="paragraph" w:styleId="Caption">
    <w:name w:val="caption"/>
    <w:basedOn w:val="Normal"/>
    <w:next w:val="Normal"/>
    <w:semiHidden/>
    <w:qFormat/>
    <w:rsid w:val="001C280A"/>
    <w:pPr>
      <w:tabs>
        <w:tab w:val="left" w:pos="1134"/>
      </w:tabs>
      <w:suppressAutoHyphens w:val="0"/>
      <w:spacing w:before="40" w:after="60"/>
      <w:ind w:left="1559"/>
    </w:pPr>
    <w:rPr>
      <w:bCs/>
      <w:i/>
      <w:snapToGrid w:val="0"/>
      <w:kern w:val="28"/>
      <w:sz w:val="18"/>
    </w:rPr>
  </w:style>
  <w:style w:type="character" w:styleId="Hyperlink">
    <w:name w:val="Hyperlink"/>
    <w:basedOn w:val="DefaultParagraphFont"/>
    <w:uiPriority w:val="99"/>
    <w:rsid w:val="001C280A"/>
    <w:rPr>
      <w:color w:val="0000FF"/>
      <w:u w:val="single"/>
    </w:rPr>
  </w:style>
  <w:style w:type="character" w:styleId="FollowedHyperlink">
    <w:name w:val="FollowedHyperlink"/>
    <w:basedOn w:val="DefaultParagraphFont"/>
    <w:semiHidden/>
    <w:rsid w:val="001C280A"/>
    <w:rPr>
      <w:color w:val="800080"/>
      <w:u w:val="single"/>
    </w:rPr>
  </w:style>
  <w:style w:type="character" w:customStyle="1" w:styleId="Bold">
    <w:name w:val="Bold"/>
    <w:basedOn w:val="DefaultParagraphFon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pPr>
      <w:spacing w:after="0"/>
      <w:ind w:left="0"/>
    </w:pPr>
    <w:rPr>
      <w:sz w:val="18"/>
    </w:rPr>
  </w:style>
  <w:style w:type="character" w:styleId="CommentReference">
    <w:name w:val="annotation reference"/>
    <w:basedOn w:val="DefaultParagraphFont"/>
    <w:semiHidden/>
    <w:rsid w:val="001C280A"/>
    <w:rPr>
      <w:sz w:val="16"/>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rsid w:val="001C280A"/>
    <w:pPr>
      <w:tabs>
        <w:tab w:val="center" w:pos="4320"/>
        <w:tab w:val="right" w:pos="8640"/>
      </w:tabs>
    </w:pPr>
  </w:style>
  <w:style w:type="character" w:customStyle="1" w:styleId="HeadereveninstrucpagesCharChar">
    <w:name w:val="Header even instruc pages Char Char"/>
    <w:basedOn w:val="DefaultParagraphFont"/>
    <w:link w:val="Headereveninstrucpages"/>
    <w:rsid w:val="00C31B59"/>
    <w:rPr>
      <w:rFonts w:ascii="Arial" w:hAnsi="Arial"/>
      <w:sz w:val="16"/>
      <w:lang w:val="en-GB" w:eastAsia="en-US" w:bidi="ar-SA"/>
    </w:rPr>
  </w:style>
  <w:style w:type="paragraph" w:customStyle="1" w:styleId="QMODocumentTitle">
    <w:name w:val="QMO_Document Title"/>
    <w:basedOn w:val="DocumentTitle"/>
    <w:rsid w:val="001C280A"/>
    <w:pPr>
      <w:spacing w:before="600" w:after="360"/>
    </w:pPr>
    <w:rPr>
      <w:b/>
      <w:sz w:val="60"/>
    </w:rPr>
  </w:style>
  <w:style w:type="paragraph" w:customStyle="1" w:styleId="BeforeList">
    <w:name w:val="Before List"/>
    <w:basedOn w:val="Normal"/>
    <w:next w:val="ListBullet"/>
    <w:rsid w:val="001C280A"/>
    <w:pPr>
      <w:spacing w:after="60"/>
    </w:pPr>
    <w:rPr>
      <w:kern w:val="28"/>
    </w:rPr>
  </w:style>
  <w:style w:type="character" w:styleId="EndnoteReference">
    <w:name w:val="endnote reference"/>
    <w:basedOn w:val="DefaultParagraphFont"/>
    <w:semiHidden/>
    <w:rsid w:val="00805B42"/>
    <w:rPr>
      <w:vertAlign w:val="superscript"/>
    </w:rPr>
  </w:style>
  <w:style w:type="numbering" w:styleId="111111">
    <w:name w:val="Outline List 2"/>
    <w:basedOn w:val="NoList"/>
    <w:semiHidden/>
    <w:rsid w:val="001C280A"/>
    <w:pPr>
      <w:numPr>
        <w:numId w:val="14"/>
      </w:numPr>
    </w:pPr>
  </w:style>
  <w:style w:type="paragraph" w:styleId="TOC9">
    <w:name w:val="toc 9"/>
    <w:basedOn w:val="Normal"/>
    <w:next w:val="Normal"/>
    <w:autoRedefine/>
    <w:semiHidden/>
    <w:rsid w:val="00647DBD"/>
    <w:pPr>
      <w:ind w:left="1520"/>
    </w:pPr>
  </w:style>
  <w:style w:type="paragraph" w:styleId="Footer">
    <w:name w:val="footer"/>
    <w:basedOn w:val="Normal"/>
    <w:link w:val="FooterChar"/>
    <w:uiPriority w:val="99"/>
    <w:rsid w:val="001C280A"/>
    <w:pPr>
      <w:tabs>
        <w:tab w:val="center" w:pos="4320"/>
        <w:tab w:val="right" w:pos="8640"/>
      </w:tabs>
    </w:pPr>
  </w:style>
  <w:style w:type="paragraph" w:styleId="BalloonText">
    <w:name w:val="Balloon Text"/>
    <w:basedOn w:val="Normal"/>
    <w:semiHidden/>
    <w:rsid w:val="001C280A"/>
    <w:rPr>
      <w:rFonts w:ascii="Tahoma" w:hAnsi="Tahoma" w:cs="Tahoma"/>
      <w:sz w:val="16"/>
      <w:szCs w:val="16"/>
    </w:rPr>
  </w:style>
  <w:style w:type="numbering" w:styleId="1ai">
    <w:name w:val="Outline List 1"/>
    <w:basedOn w:val="NoList"/>
    <w:semiHidden/>
    <w:rsid w:val="001C280A"/>
    <w:pPr>
      <w:numPr>
        <w:numId w:val="15"/>
      </w:numPr>
    </w:pPr>
  </w:style>
  <w:style w:type="paragraph" w:styleId="CommentText">
    <w:name w:val="annotation text"/>
    <w:basedOn w:val="Normal"/>
    <w:semiHidden/>
    <w:rsid w:val="001C280A"/>
  </w:style>
  <w:style w:type="paragraph" w:styleId="CommentSubject">
    <w:name w:val="annotation subject"/>
    <w:basedOn w:val="CommentText"/>
    <w:next w:val="CommentText"/>
    <w:semiHidden/>
    <w:rsid w:val="001C280A"/>
    <w:rPr>
      <w:b/>
      <w:bCs/>
    </w:rPr>
  </w:style>
  <w:style w:type="numbering" w:styleId="ArticleSection">
    <w:name w:val="Outline List 3"/>
    <w:basedOn w:val="NoList"/>
    <w:semiHidden/>
    <w:rsid w:val="001C280A"/>
    <w:pPr>
      <w:numPr>
        <w:numId w:val="16"/>
      </w:numPr>
    </w:pPr>
  </w:style>
  <w:style w:type="paragraph" w:styleId="BlockText">
    <w:name w:val="Block Text"/>
    <w:basedOn w:val="Normal"/>
    <w:semiHidden/>
    <w:rsid w:val="001C280A"/>
    <w:pPr>
      <w:ind w:left="1440" w:right="1440"/>
    </w:pPr>
  </w:style>
  <w:style w:type="paragraph" w:customStyle="1" w:styleId="Footerodd">
    <w:name w:val="Footer odd"/>
    <w:next w:val="Footereven"/>
    <w:rsid w:val="00E721B9"/>
    <w:pPr>
      <w:tabs>
        <w:tab w:val="right" w:pos="9242"/>
      </w:tabs>
      <w:spacing w:after="40"/>
    </w:pPr>
    <w:rPr>
      <w:rFonts w:ascii="Arial" w:eastAsia="Times New Roman" w:hAnsi="Arial"/>
      <w:sz w:val="16"/>
      <w:lang w:val="en-GB"/>
    </w:rPr>
  </w:style>
  <w:style w:type="paragraph" w:customStyle="1" w:styleId="Headereven">
    <w:name w:val="Header even"/>
    <w:next w:val="Headerodd"/>
    <w:rsid w:val="00C96A49"/>
    <w:pPr>
      <w:tabs>
        <w:tab w:val="right" w:pos="9242"/>
      </w:tabs>
      <w:spacing w:after="40"/>
    </w:pPr>
    <w:rPr>
      <w:rFonts w:ascii="Arial" w:eastAsia="Times New Roman" w:hAnsi="Arial"/>
      <w:sz w:val="16"/>
      <w:lang w:val="en-GB"/>
    </w:rPr>
  </w:style>
  <w:style w:type="paragraph" w:customStyle="1" w:styleId="Footereven">
    <w:name w:val="Footer even"/>
    <w:next w:val="Footerodd"/>
    <w:rsid w:val="00617B2D"/>
    <w:pPr>
      <w:tabs>
        <w:tab w:val="right" w:pos="9242"/>
      </w:tabs>
      <w:spacing w:after="40"/>
    </w:pPr>
    <w:rPr>
      <w:rFonts w:ascii="Arial" w:eastAsia="Times New Roman" w:hAnsi="Arial"/>
      <w:sz w:val="16"/>
      <w:lang w:val="en-GB"/>
    </w:rPr>
  </w:style>
  <w:style w:type="paragraph" w:customStyle="1" w:styleId="Append">
    <w:name w:val="Append"/>
    <w:basedOn w:val="Heading"/>
    <w:next w:val="Normal"/>
    <w:rsid w:val="003D7590"/>
    <w:pPr>
      <w:keepLines/>
      <w:numPr>
        <w:numId w:val="18"/>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rFonts w:ascii="Arial" w:hAnsi="Arial"/>
      <w:sz w:val="16"/>
      <w:lang w:val="en-GB"/>
    </w:rPr>
  </w:style>
  <w:style w:type="paragraph" w:customStyle="1" w:styleId="Footeroddlandscape">
    <w:name w:val="Footer odd landscape"/>
    <w:rsid w:val="00CA0DF6"/>
    <w:pPr>
      <w:tabs>
        <w:tab w:val="right" w:pos="13608"/>
      </w:tabs>
      <w:spacing w:after="40"/>
    </w:pPr>
    <w:rPr>
      <w:rFonts w:ascii="Arial" w:hAnsi="Arial"/>
      <w:sz w:val="16"/>
      <w:lang w:val="en-GB"/>
    </w:rPr>
  </w:style>
  <w:style w:type="paragraph" w:customStyle="1" w:styleId="Headerevenlandscape">
    <w:name w:val="Header even landscape"/>
    <w:next w:val="Normal"/>
    <w:rsid w:val="00CA0DF6"/>
    <w:pPr>
      <w:tabs>
        <w:tab w:val="right" w:pos="13608"/>
      </w:tabs>
      <w:spacing w:after="40"/>
    </w:pPr>
    <w:rPr>
      <w:rFonts w:ascii="Arial" w:eastAsia="Times New Roman" w:hAnsi="Arial"/>
      <w:sz w:val="16"/>
      <w:lang w:val="en-GB"/>
    </w:rPr>
  </w:style>
  <w:style w:type="paragraph" w:styleId="Closing">
    <w:name w:val="Closing"/>
    <w:basedOn w:val="Normal"/>
    <w:semiHidden/>
    <w:rsid w:val="001C280A"/>
    <w:pPr>
      <w:ind w:left="4252"/>
    </w:pPr>
  </w:style>
  <w:style w:type="paragraph" w:styleId="Date">
    <w:name w:val="Date"/>
    <w:basedOn w:val="Normal"/>
    <w:next w:val="Normal"/>
    <w:semiHidden/>
    <w:rsid w:val="001C280A"/>
  </w:style>
  <w:style w:type="paragraph" w:styleId="E-mailSignature">
    <w:name w:val="E-mail Signature"/>
    <w:basedOn w:val="Normal"/>
    <w:semiHidden/>
    <w:rsid w:val="001C280A"/>
  </w:style>
  <w:style w:type="paragraph" w:styleId="EnvelopeAddress">
    <w:name w:val="envelope address"/>
    <w:basedOn w:val="Normal"/>
    <w:semiHidden/>
    <w:rsid w:val="001C280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C280A"/>
    <w:rPr>
      <w:rFonts w:cs="Arial"/>
    </w:rPr>
  </w:style>
  <w:style w:type="character" w:styleId="HTMLAcronym">
    <w:name w:val="HTML Acronym"/>
    <w:basedOn w:val="DefaultParagraphFont"/>
    <w:semiHidden/>
    <w:rsid w:val="001C280A"/>
  </w:style>
  <w:style w:type="paragraph" w:styleId="HTMLAddress">
    <w:name w:val="HTML Address"/>
    <w:basedOn w:val="Normal"/>
    <w:semiHidden/>
    <w:rsid w:val="001C280A"/>
    <w:rPr>
      <w:i/>
      <w:iCs/>
    </w:rPr>
  </w:style>
  <w:style w:type="character" w:styleId="HTMLCite">
    <w:name w:val="HTML Cite"/>
    <w:basedOn w:val="DefaultParagraphFont"/>
    <w:semiHidden/>
    <w:rsid w:val="001C280A"/>
    <w:rPr>
      <w:i/>
      <w:iCs/>
    </w:rPr>
  </w:style>
  <w:style w:type="character" w:styleId="HTMLCode">
    <w:name w:val="HTML Code"/>
    <w:basedOn w:val="DefaultParagraphFont"/>
    <w:semiHidden/>
    <w:rsid w:val="001C280A"/>
    <w:rPr>
      <w:rFonts w:ascii="Courier New" w:hAnsi="Courier New" w:cs="Courier New"/>
      <w:sz w:val="20"/>
      <w:szCs w:val="20"/>
    </w:rPr>
  </w:style>
  <w:style w:type="character" w:styleId="HTMLDefinition">
    <w:name w:val="HTML Definition"/>
    <w:basedOn w:val="DefaultParagraphFont"/>
    <w:semiHidden/>
    <w:rsid w:val="001C280A"/>
    <w:rPr>
      <w:i/>
      <w:iCs/>
    </w:rPr>
  </w:style>
  <w:style w:type="character" w:styleId="HTMLKeyboard">
    <w:name w:val="HTML Keyboard"/>
    <w:basedOn w:val="DefaultParagraphFont"/>
    <w:semiHidden/>
    <w:rsid w:val="001C280A"/>
    <w:rPr>
      <w:rFonts w:ascii="Courier New" w:hAnsi="Courier New" w:cs="Courier New"/>
      <w:sz w:val="20"/>
      <w:szCs w:val="20"/>
    </w:rPr>
  </w:style>
  <w:style w:type="paragraph" w:styleId="HTMLPreformatted">
    <w:name w:val="HTML Preformatted"/>
    <w:basedOn w:val="Normal"/>
    <w:semiHidden/>
    <w:rsid w:val="001C280A"/>
    <w:rPr>
      <w:rFonts w:ascii="Courier New" w:hAnsi="Courier New" w:cs="Courier New"/>
    </w:rPr>
  </w:style>
  <w:style w:type="character" w:styleId="HTMLSample">
    <w:name w:val="HTML Sample"/>
    <w:basedOn w:val="DefaultParagraphFont"/>
    <w:semiHidden/>
    <w:rsid w:val="001C280A"/>
    <w:rPr>
      <w:rFonts w:ascii="Courier New" w:hAnsi="Courier New" w:cs="Courier New"/>
    </w:rPr>
  </w:style>
  <w:style w:type="character" w:styleId="HTMLTypewriter">
    <w:name w:val="HTML Typewriter"/>
    <w:basedOn w:val="DefaultParagraphFont"/>
    <w:semiHidden/>
    <w:rsid w:val="001C280A"/>
    <w:rPr>
      <w:rFonts w:ascii="Courier New" w:hAnsi="Courier New" w:cs="Courier New"/>
      <w:sz w:val="20"/>
      <w:szCs w:val="20"/>
    </w:rPr>
  </w:style>
  <w:style w:type="character" w:styleId="HTMLVariable">
    <w:name w:val="HTML Variable"/>
    <w:basedOn w:val="DefaultParagraphFont"/>
    <w:semiHidden/>
    <w:rsid w:val="001C280A"/>
    <w:rPr>
      <w:i/>
      <w:iCs/>
    </w:rPr>
  </w:style>
  <w:style w:type="character" w:styleId="LineNumber">
    <w:name w:val="line number"/>
    <w:basedOn w:val="DefaultParagraphFont"/>
    <w:semiHidden/>
    <w:rsid w:val="001C280A"/>
  </w:style>
  <w:style w:type="paragraph" w:styleId="List">
    <w:name w:val="List"/>
    <w:basedOn w:val="Normal"/>
    <w:semiHidden/>
    <w:rsid w:val="001C280A"/>
    <w:pPr>
      <w:ind w:left="283" w:hanging="283"/>
    </w:pPr>
  </w:style>
  <w:style w:type="paragraph" w:styleId="List2">
    <w:name w:val="List 2"/>
    <w:basedOn w:val="Normal"/>
    <w:semiHidden/>
    <w:rsid w:val="001C280A"/>
    <w:pPr>
      <w:ind w:left="566" w:hanging="283"/>
    </w:pPr>
  </w:style>
  <w:style w:type="paragraph" w:styleId="List3">
    <w:name w:val="List 3"/>
    <w:basedOn w:val="Normal"/>
    <w:semiHidden/>
    <w:rsid w:val="001C280A"/>
    <w:pPr>
      <w:ind w:left="849" w:hanging="283"/>
    </w:pPr>
  </w:style>
  <w:style w:type="paragraph" w:styleId="List4">
    <w:name w:val="List 4"/>
    <w:basedOn w:val="Normal"/>
    <w:semiHidden/>
    <w:rsid w:val="001C280A"/>
    <w:pPr>
      <w:ind w:left="1132" w:hanging="283"/>
    </w:pPr>
  </w:style>
  <w:style w:type="paragraph" w:styleId="List5">
    <w:name w:val="List 5"/>
    <w:basedOn w:val="Normal"/>
    <w:semiHidden/>
    <w:rsid w:val="001C280A"/>
    <w:pPr>
      <w:ind w:left="1415" w:hanging="283"/>
    </w:pPr>
  </w:style>
  <w:style w:type="paragraph" w:styleId="ListBullet">
    <w:name w:val="List Bullet"/>
    <w:basedOn w:val="Normal"/>
    <w:link w:val="ListBulletChar"/>
    <w:rsid w:val="001C280A"/>
    <w:pPr>
      <w:numPr>
        <w:numId w:val="5"/>
      </w:numPr>
      <w:spacing w:before="60" w:after="60"/>
    </w:pPr>
    <w:rPr>
      <w:kern w:val="28"/>
    </w:rPr>
  </w:style>
  <w:style w:type="paragraph" w:styleId="ListBullet2">
    <w:name w:val="List Bullet 2"/>
    <w:basedOn w:val="Normal"/>
    <w:rsid w:val="001C280A"/>
    <w:pPr>
      <w:numPr>
        <w:numId w:val="6"/>
      </w:numPr>
      <w:spacing w:before="0" w:after="60"/>
    </w:pPr>
  </w:style>
  <w:style w:type="paragraph" w:styleId="ListBullet3">
    <w:name w:val="List Bullet 3"/>
    <w:basedOn w:val="Normal"/>
    <w:semiHidden/>
    <w:rsid w:val="001C280A"/>
    <w:pPr>
      <w:numPr>
        <w:numId w:val="7"/>
      </w:numPr>
    </w:pPr>
  </w:style>
  <w:style w:type="paragraph" w:styleId="ListBullet4">
    <w:name w:val="List Bullet 4"/>
    <w:basedOn w:val="Normal"/>
    <w:semiHidden/>
    <w:rsid w:val="001C280A"/>
    <w:pPr>
      <w:numPr>
        <w:numId w:val="8"/>
      </w:numPr>
    </w:pPr>
  </w:style>
  <w:style w:type="paragraph" w:styleId="ListBullet5">
    <w:name w:val="List Bullet 5"/>
    <w:basedOn w:val="Normal"/>
    <w:semiHidden/>
    <w:rsid w:val="001C280A"/>
    <w:pPr>
      <w:numPr>
        <w:numId w:val="9"/>
      </w:numPr>
    </w:pPr>
  </w:style>
  <w:style w:type="paragraph" w:styleId="ListContinue">
    <w:name w:val="List Continue"/>
    <w:basedOn w:val="Normal"/>
    <w:rsid w:val="001C280A"/>
    <w:pPr>
      <w:spacing w:before="40" w:after="60"/>
      <w:ind w:left="1559"/>
    </w:pPr>
  </w:style>
  <w:style w:type="paragraph" w:styleId="ListContinue3">
    <w:name w:val="List Continue 3"/>
    <w:basedOn w:val="Normal"/>
    <w:semiHidden/>
    <w:rsid w:val="001C280A"/>
    <w:pPr>
      <w:ind w:left="849"/>
    </w:pPr>
  </w:style>
  <w:style w:type="paragraph" w:styleId="ListContinue4">
    <w:name w:val="List Continue 4"/>
    <w:basedOn w:val="Normal"/>
    <w:semiHidden/>
    <w:rsid w:val="001C280A"/>
    <w:pPr>
      <w:ind w:left="1132"/>
    </w:pPr>
  </w:style>
  <w:style w:type="paragraph" w:styleId="ListContinue5">
    <w:name w:val="List Continue 5"/>
    <w:basedOn w:val="Normal"/>
    <w:semiHidden/>
    <w:rsid w:val="001C280A"/>
    <w:pPr>
      <w:ind w:left="1415"/>
    </w:pPr>
  </w:style>
  <w:style w:type="paragraph" w:styleId="ListNumber">
    <w:name w:val="List Number"/>
    <w:basedOn w:val="Normal"/>
    <w:rsid w:val="001C280A"/>
    <w:pPr>
      <w:numPr>
        <w:numId w:val="10"/>
      </w:numPr>
      <w:spacing w:after="60"/>
    </w:pPr>
  </w:style>
  <w:style w:type="paragraph" w:styleId="ListNumber3">
    <w:name w:val="List Number 3"/>
    <w:basedOn w:val="Normal"/>
    <w:semiHidden/>
    <w:rsid w:val="001C280A"/>
    <w:pPr>
      <w:numPr>
        <w:numId w:val="11"/>
      </w:numPr>
    </w:pPr>
  </w:style>
  <w:style w:type="paragraph" w:styleId="ListNumber4">
    <w:name w:val="List Number 4"/>
    <w:basedOn w:val="Normal"/>
    <w:semiHidden/>
    <w:rsid w:val="001C280A"/>
    <w:pPr>
      <w:numPr>
        <w:numId w:val="12"/>
      </w:numPr>
    </w:pPr>
  </w:style>
  <w:style w:type="paragraph" w:styleId="ListNumber5">
    <w:name w:val="List Number 5"/>
    <w:basedOn w:val="Normal"/>
    <w:semiHidden/>
    <w:rsid w:val="001C280A"/>
    <w:pPr>
      <w:numPr>
        <w:numId w:val="13"/>
      </w:numPr>
    </w:pPr>
  </w:style>
  <w:style w:type="paragraph" w:styleId="MessageHeader">
    <w:name w:val="Message Header"/>
    <w:basedOn w:val="Normal"/>
    <w:semiHidden/>
    <w:rsid w:val="001C280A"/>
    <w:pPr>
      <w:pBdr>
        <w:top w:val="single" w:sz="6" w:space="1" w:color="auto"/>
        <w:left w:val="single" w:sz="6" w:space="1" w:color="auto"/>
        <w:bottom w:val="single" w:sz="6" w:space="1" w:color="auto"/>
        <w:right w:val="single" w:sz="6" w:space="1" w:color="auto"/>
      </w:pBdr>
      <w:shd w:val="pct20" w:color="auto" w:fill="auto"/>
      <w:ind w:hanging="1134"/>
    </w:pPr>
    <w:rPr>
      <w:rFonts w:cs="Arial"/>
      <w:sz w:val="24"/>
      <w:szCs w:val="24"/>
    </w:rPr>
  </w:style>
  <w:style w:type="paragraph" w:styleId="NormalWeb">
    <w:name w:val="Normal (Web)"/>
    <w:basedOn w:val="Normal"/>
    <w:uiPriority w:val="99"/>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paragraph" w:styleId="Salutation">
    <w:name w:val="Salutation"/>
    <w:basedOn w:val="Normal"/>
    <w:next w:val="Normal"/>
    <w:semiHidden/>
    <w:rsid w:val="001C280A"/>
  </w:style>
  <w:style w:type="paragraph" w:styleId="Signature">
    <w:name w:val="Signature"/>
    <w:basedOn w:val="Normal"/>
    <w:semiHidden/>
    <w:rsid w:val="001C280A"/>
    <w:pPr>
      <w:ind w:left="4252"/>
    </w:pPr>
  </w:style>
  <w:style w:type="table" w:styleId="Table3Deffects1">
    <w:name w:val="Table 3D effects 1"/>
    <w:basedOn w:val="TableNormal"/>
    <w:semiHidden/>
    <w:rsid w:val="001C280A"/>
    <w:pPr>
      <w:suppressAutoHyphens/>
      <w:spacing w:before="120" w:after="120"/>
      <w:ind w:left="85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280A"/>
    <w:pPr>
      <w:suppressAutoHyphens/>
      <w:spacing w:before="120" w:after="120"/>
      <w:ind w:left="85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280A"/>
    <w:pPr>
      <w:suppressAutoHyphens/>
      <w:spacing w:before="120" w:after="120"/>
      <w:ind w:left="851"/>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280A"/>
    <w:pPr>
      <w:suppressAutoHyphens/>
      <w:spacing w:before="120" w:after="120"/>
      <w:ind w:left="85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uiPriority w:val="59"/>
    <w:rsid w:val="009462D4"/>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C280A"/>
    <w:pPr>
      <w:suppressAutoHyphens/>
      <w:spacing w:before="120" w:after="120"/>
      <w:ind w:left="85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ascii="Arial" w:eastAsia="Times New Roman" w:hAnsi="Arial"/>
      <w:sz w:val="16"/>
      <w:lang w:val="en-GB"/>
    </w:rPr>
  </w:style>
  <w:style w:type="paragraph" w:styleId="NoteHeading">
    <w:name w:val="Note Heading"/>
    <w:basedOn w:val="Normal"/>
    <w:next w:val="Normal"/>
    <w:semiHidden/>
    <w:rsid w:val="001C280A"/>
  </w:style>
  <w:style w:type="paragraph" w:customStyle="1" w:styleId="Heading">
    <w:name w:val="Heading"/>
    <w:basedOn w:val="Heading1"/>
    <w:rsid w:val="00C050ED"/>
    <w:pPr>
      <w:numPr>
        <w:numId w:val="0"/>
      </w:numPr>
    </w:pPr>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customStyle="1" w:styleId="TableTextinstrucpages">
    <w:name w:val="Table Text instruc pages"/>
    <w:basedOn w:val="Normal"/>
    <w:rsid w:val="00794E29"/>
    <w:pPr>
      <w:spacing w:before="60" w:after="40"/>
      <w:ind w:left="0"/>
    </w:pPr>
    <w:rPr>
      <w:iCs/>
    </w:rPr>
  </w:style>
  <w:style w:type="paragraph" w:customStyle="1" w:styleId="TableTextsmall">
    <w:name w:val="Table Text small"/>
    <w:basedOn w:val="Normal"/>
    <w:rsid w:val="00E6554C"/>
    <w:pPr>
      <w:spacing w:before="60" w:after="40"/>
      <w:ind w:left="-79" w:right="-79"/>
    </w:pPr>
    <w:rPr>
      <w:sz w:val="16"/>
    </w:rPr>
  </w:style>
  <w:style w:type="paragraph" w:customStyle="1" w:styleId="InstructionsBlockLabel">
    <w:name w:val="Instructions Block Label"/>
    <w:basedOn w:val="BlockLabel"/>
    <w:qFormat/>
    <w:rsid w:val="009D23B9"/>
    <w:rPr>
      <w:color w:val="0000FF"/>
    </w:rPr>
  </w:style>
  <w:style w:type="paragraph" w:customStyle="1" w:styleId="InstructionsHeading1">
    <w:name w:val="Instructions Heading 1"/>
    <w:next w:val="InstructionsNormal"/>
    <w:rsid w:val="00215351"/>
    <w:pPr>
      <w:keepNext/>
      <w:pageBreakBefore/>
      <w:numPr>
        <w:numId w:val="23"/>
      </w:numPr>
      <w:spacing w:before="240"/>
    </w:pPr>
    <w:rPr>
      <w:rFonts w:ascii="Arial" w:hAnsi="Arial"/>
      <w:b/>
      <w:color w:val="0000FF"/>
      <w:kern w:val="28"/>
      <w:sz w:val="40"/>
      <w:lang w:val="en-GB"/>
    </w:rPr>
  </w:style>
  <w:style w:type="paragraph" w:customStyle="1" w:styleId="InstructionsHeading2">
    <w:name w:val="Instructions Heading 2"/>
    <w:basedOn w:val="InstructionsHeading1"/>
    <w:next w:val="InstructionsNormal"/>
    <w:rsid w:val="00215351"/>
    <w:pPr>
      <w:pageBreakBefore w:val="0"/>
      <w:numPr>
        <w:ilvl w:val="1"/>
      </w:numPr>
      <w:spacing w:before="180" w:after="60"/>
      <w:outlineLvl w:val="1"/>
    </w:pPr>
    <w:rPr>
      <w:sz w:val="34"/>
    </w:rPr>
  </w:style>
  <w:style w:type="paragraph" w:customStyle="1" w:styleId="InstructionsListContinue">
    <w:name w:val="Instructions List Continue"/>
    <w:basedOn w:val="ListContinue"/>
    <w:qFormat/>
    <w:rsid w:val="009D23B9"/>
    <w:rPr>
      <w:color w:val="0000FF"/>
    </w:rPr>
  </w:style>
  <w:style w:type="paragraph" w:customStyle="1" w:styleId="InstructionsListContinue2">
    <w:name w:val="Instructions List Continue 2"/>
    <w:basedOn w:val="ListContinue2"/>
    <w:qFormat/>
    <w:rsid w:val="009D23B9"/>
    <w:rPr>
      <w:color w:val="0000FF"/>
    </w:rPr>
  </w:style>
  <w:style w:type="paragraph" w:customStyle="1" w:styleId="InstructionsListNumber">
    <w:name w:val="Instructions List Number"/>
    <w:rsid w:val="006563CE"/>
    <w:pPr>
      <w:numPr>
        <w:numId w:val="20"/>
      </w:numPr>
      <w:tabs>
        <w:tab w:val="left" w:pos="1559"/>
      </w:tabs>
      <w:suppressAutoHyphens/>
      <w:spacing w:before="120" w:after="60"/>
      <w:ind w:left="1559" w:hanging="425"/>
    </w:pPr>
    <w:rPr>
      <w:rFonts w:ascii="Arial" w:hAnsi="Arial"/>
      <w:color w:val="0000FF"/>
      <w:sz w:val="19"/>
      <w:lang w:val="en-GB"/>
    </w:rPr>
  </w:style>
  <w:style w:type="paragraph" w:customStyle="1" w:styleId="InstructionsListNumber2">
    <w:name w:val="Instructions List Number 2"/>
    <w:basedOn w:val="ListNumber2"/>
    <w:rsid w:val="006563CE"/>
    <w:pPr>
      <w:numPr>
        <w:numId w:val="22"/>
      </w:numPr>
      <w:tabs>
        <w:tab w:val="left" w:pos="1985"/>
      </w:tabs>
      <w:ind w:left="1984" w:hanging="425"/>
    </w:pPr>
    <w:rPr>
      <w:color w:val="0000FF"/>
    </w:rPr>
  </w:style>
  <w:style w:type="paragraph" w:customStyle="1" w:styleId="InstructionsNormal">
    <w:name w:val="Instructions Normal"/>
    <w:basedOn w:val="Normal"/>
    <w:qFormat/>
    <w:rsid w:val="009D23B9"/>
    <w:rPr>
      <w:color w:val="0000FF"/>
    </w:rPr>
  </w:style>
  <w:style w:type="paragraph" w:customStyle="1" w:styleId="InstructionsLabel">
    <w:name w:val="Instructions Label"/>
    <w:basedOn w:val="Label"/>
    <w:qFormat/>
    <w:rsid w:val="009D23B9"/>
    <w:rPr>
      <w:color w:val="0000FF"/>
    </w:rPr>
  </w:style>
  <w:style w:type="paragraph" w:styleId="ListParagraph">
    <w:name w:val="List Paragraph"/>
    <w:basedOn w:val="Normal"/>
    <w:uiPriority w:val="34"/>
    <w:qFormat/>
    <w:rsid w:val="007A51C0"/>
    <w:pPr>
      <w:ind w:left="720"/>
      <w:contextualSpacing/>
    </w:pPr>
  </w:style>
  <w:style w:type="paragraph" w:customStyle="1" w:styleId="InstructionsTableHeading">
    <w:name w:val="Instructions Table Heading"/>
    <w:basedOn w:val="TableHeading"/>
    <w:rsid w:val="00DA5F03"/>
    <w:rPr>
      <w:color w:val="0000FF"/>
    </w:rPr>
  </w:style>
  <w:style w:type="paragraph" w:customStyle="1" w:styleId="InstructionsTableText">
    <w:name w:val="Instructions Table Text"/>
    <w:basedOn w:val="TableText"/>
    <w:qFormat/>
    <w:rsid w:val="00DA5F03"/>
    <w:rPr>
      <w:color w:val="0000FF"/>
    </w:rPr>
  </w:style>
  <w:style w:type="paragraph" w:customStyle="1" w:styleId="InstructionsTip">
    <w:name w:val="Instructions Tip"/>
    <w:basedOn w:val="Tip"/>
    <w:qFormat/>
    <w:rsid w:val="00DA5F03"/>
    <w:pPr>
      <w:pBdr>
        <w:top w:val="single" w:sz="2" w:space="4" w:color="0000FF"/>
        <w:bottom w:val="single" w:sz="2" w:space="4" w:color="0000FF"/>
      </w:pBdr>
    </w:pPr>
    <w:rPr>
      <w:color w:val="0000FF"/>
    </w:rPr>
  </w:style>
  <w:style w:type="paragraph" w:customStyle="1" w:styleId="InstructionsWarning">
    <w:name w:val="Instructions Warning"/>
    <w:basedOn w:val="Warning"/>
    <w:rsid w:val="00DA5F03"/>
    <w:pPr>
      <w:pBdr>
        <w:top w:val="single" w:sz="2" w:space="4" w:color="0000FF"/>
        <w:bottom w:val="single" w:sz="2" w:space="4" w:color="0000FF"/>
      </w:pBdr>
    </w:pPr>
    <w:rPr>
      <w:b/>
      <w:color w:val="0000FF"/>
    </w:rPr>
  </w:style>
  <w:style w:type="paragraph" w:customStyle="1" w:styleId="InstructionsSyntax">
    <w:name w:val="Instructions Syntax"/>
    <w:basedOn w:val="Normal"/>
    <w:rsid w:val="00DA5F03"/>
    <w:pPr>
      <w:ind w:left="0"/>
    </w:pPr>
    <w:rPr>
      <w:iCs/>
      <w:color w:val="0000FF"/>
      <w:lang w:eastAsia="en-GB"/>
    </w:rPr>
  </w:style>
  <w:style w:type="paragraph" w:customStyle="1" w:styleId="InstructionsListBullet2">
    <w:name w:val="Instructions List Bullet 2"/>
    <w:basedOn w:val="ListBullet2"/>
    <w:rsid w:val="005F2A35"/>
    <w:rPr>
      <w:color w:val="0000FF"/>
    </w:rPr>
  </w:style>
  <w:style w:type="paragraph" w:customStyle="1" w:styleId="InstructionsNote">
    <w:name w:val="Instructions Note"/>
    <w:basedOn w:val="Note"/>
    <w:qFormat/>
    <w:rsid w:val="005C4C2A"/>
    <w:pPr>
      <w:pBdr>
        <w:top w:val="single" w:sz="2" w:space="4" w:color="0000FF"/>
        <w:bottom w:val="single" w:sz="2" w:space="4" w:color="0000FF"/>
      </w:pBdr>
    </w:pPr>
    <w:rPr>
      <w:color w:val="0000FF"/>
    </w:rPr>
  </w:style>
  <w:style w:type="paragraph" w:customStyle="1" w:styleId="InstructionsBeforeList">
    <w:name w:val="Instructions Before List"/>
    <w:basedOn w:val="BeforeList"/>
    <w:qFormat/>
    <w:rsid w:val="005C4C2A"/>
    <w:rPr>
      <w:color w:val="0000FF"/>
    </w:rPr>
  </w:style>
  <w:style w:type="paragraph" w:customStyle="1" w:styleId="InstructionsListBullet">
    <w:name w:val="Instructions List Bullet"/>
    <w:basedOn w:val="ListBullet"/>
    <w:qFormat/>
    <w:rsid w:val="005C4C2A"/>
    <w:rPr>
      <w:color w:val="0000FF"/>
    </w:rPr>
  </w:style>
  <w:style w:type="paragraph" w:customStyle="1" w:styleId="InstructionsNormal2">
    <w:name w:val="Instructions Normal 2"/>
    <w:basedOn w:val="InstructionsNormal"/>
    <w:rsid w:val="006853A8"/>
    <w:pPr>
      <w:spacing w:before="80" w:after="80"/>
      <w:ind w:left="0"/>
    </w:pPr>
  </w:style>
  <w:style w:type="table" w:customStyle="1" w:styleId="InstructionsTableGrid">
    <w:name w:val="Instructions Table Grid"/>
    <w:basedOn w:val="TableGrid"/>
    <w:uiPriority w:val="99"/>
    <w:rsid w:val="00B147B7"/>
    <w:rPr>
      <w:color w:val="0000FF"/>
    </w:rPr>
    <w:tblPr>
      <w:tblInd w:w="11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Copyrightheading">
    <w:name w:val="Copyright heading"/>
    <w:basedOn w:val="Normal"/>
    <w:next w:val="Normal"/>
    <w:rsid w:val="00E70120"/>
    <w:pPr>
      <w:tabs>
        <w:tab w:val="left" w:pos="0"/>
      </w:tabs>
      <w:suppressAutoHyphens w:val="0"/>
      <w:spacing w:before="180" w:after="60" w:line="288" w:lineRule="auto"/>
      <w:ind w:left="0"/>
      <w:jc w:val="both"/>
    </w:pPr>
    <w:rPr>
      <w:rFonts w:eastAsia="Times New Roman"/>
      <w:b/>
      <w:kern w:val="28"/>
    </w:rPr>
  </w:style>
  <w:style w:type="paragraph" w:customStyle="1" w:styleId="Copyrighttext">
    <w:name w:val="Copyright text"/>
    <w:rsid w:val="00E70120"/>
    <w:pPr>
      <w:spacing w:before="40" w:after="80"/>
    </w:pPr>
    <w:rPr>
      <w:rFonts w:ascii="Arial" w:hAnsi="Arial"/>
      <w:noProof/>
      <w:sz w:val="18"/>
      <w:szCs w:val="19"/>
      <w:lang w:val="en-GB"/>
    </w:rPr>
  </w:style>
  <w:style w:type="table" w:customStyle="1" w:styleId="TableGridNoBorder">
    <w:name w:val="Table Grid No Border"/>
    <w:basedOn w:val="TableGrid"/>
    <w:uiPriority w:val="99"/>
    <w:rsid w:val="004816F7"/>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B1188A"/>
  </w:style>
  <w:style w:type="paragraph" w:styleId="BodyText">
    <w:name w:val="Body Text"/>
    <w:basedOn w:val="Normal"/>
    <w:link w:val="BodyTextChar"/>
    <w:semiHidden/>
    <w:rsid w:val="00B1188A"/>
  </w:style>
  <w:style w:type="character" w:customStyle="1" w:styleId="BodyTextChar">
    <w:name w:val="Body Text Char"/>
    <w:basedOn w:val="DefaultParagraphFont"/>
    <w:link w:val="BodyText"/>
    <w:semiHidden/>
    <w:rsid w:val="00B1188A"/>
    <w:rPr>
      <w:rFonts w:ascii="Arial" w:hAnsi="Arial"/>
      <w:sz w:val="19"/>
      <w:lang w:val="en-GB"/>
    </w:rPr>
  </w:style>
  <w:style w:type="paragraph" w:styleId="BodyText2">
    <w:name w:val="Body Text 2"/>
    <w:basedOn w:val="Normal"/>
    <w:link w:val="BodyText2Char"/>
    <w:semiHidden/>
    <w:rsid w:val="00B1188A"/>
    <w:pPr>
      <w:spacing w:line="480" w:lineRule="auto"/>
    </w:pPr>
  </w:style>
  <w:style w:type="character" w:customStyle="1" w:styleId="BodyText2Char">
    <w:name w:val="Body Text 2 Char"/>
    <w:basedOn w:val="DefaultParagraphFont"/>
    <w:link w:val="BodyText2"/>
    <w:semiHidden/>
    <w:rsid w:val="00B1188A"/>
    <w:rPr>
      <w:rFonts w:ascii="Arial" w:hAnsi="Arial"/>
      <w:sz w:val="19"/>
      <w:lang w:val="en-GB"/>
    </w:rPr>
  </w:style>
  <w:style w:type="paragraph" w:styleId="BodyText3">
    <w:name w:val="Body Text 3"/>
    <w:basedOn w:val="Normal"/>
    <w:link w:val="BodyText3Char"/>
    <w:semiHidden/>
    <w:rsid w:val="00B1188A"/>
    <w:rPr>
      <w:sz w:val="16"/>
      <w:szCs w:val="16"/>
    </w:rPr>
  </w:style>
  <w:style w:type="character" w:customStyle="1" w:styleId="BodyText3Char">
    <w:name w:val="Body Text 3 Char"/>
    <w:basedOn w:val="DefaultParagraphFont"/>
    <w:link w:val="BodyText3"/>
    <w:semiHidden/>
    <w:rsid w:val="00B1188A"/>
    <w:rPr>
      <w:rFonts w:ascii="Arial" w:hAnsi="Arial"/>
      <w:sz w:val="16"/>
      <w:szCs w:val="16"/>
      <w:lang w:val="en-GB"/>
    </w:rPr>
  </w:style>
  <w:style w:type="paragraph" w:styleId="BodyTextFirstIndent">
    <w:name w:val="Body Text First Indent"/>
    <w:basedOn w:val="BodyText"/>
    <w:link w:val="BodyTextFirstIndentChar"/>
    <w:semiHidden/>
    <w:rsid w:val="00B1188A"/>
    <w:pPr>
      <w:ind w:firstLine="360"/>
    </w:pPr>
  </w:style>
  <w:style w:type="character" w:customStyle="1" w:styleId="BodyTextFirstIndentChar">
    <w:name w:val="Body Text First Indent Char"/>
    <w:basedOn w:val="BodyTextChar"/>
    <w:link w:val="BodyTextFirstIndent"/>
    <w:semiHidden/>
    <w:rsid w:val="00B1188A"/>
    <w:rPr>
      <w:rFonts w:ascii="Arial" w:hAnsi="Arial"/>
      <w:sz w:val="19"/>
      <w:lang w:val="en-GB"/>
    </w:rPr>
  </w:style>
  <w:style w:type="paragraph" w:styleId="BodyTextIndent">
    <w:name w:val="Body Text Indent"/>
    <w:basedOn w:val="Normal"/>
    <w:link w:val="BodyTextIndentChar"/>
    <w:semiHidden/>
    <w:rsid w:val="00B1188A"/>
    <w:pPr>
      <w:ind w:left="283"/>
    </w:pPr>
  </w:style>
  <w:style w:type="character" w:customStyle="1" w:styleId="BodyTextIndentChar">
    <w:name w:val="Body Text Indent Char"/>
    <w:basedOn w:val="DefaultParagraphFont"/>
    <w:link w:val="BodyTextIndent"/>
    <w:semiHidden/>
    <w:rsid w:val="00B1188A"/>
    <w:rPr>
      <w:rFonts w:ascii="Arial" w:hAnsi="Arial"/>
      <w:sz w:val="19"/>
      <w:lang w:val="en-GB"/>
    </w:rPr>
  </w:style>
  <w:style w:type="paragraph" w:styleId="BodyTextFirstIndent2">
    <w:name w:val="Body Text First Indent 2"/>
    <w:basedOn w:val="BodyTextIndent"/>
    <w:link w:val="BodyTextFirstIndent2Char"/>
    <w:semiHidden/>
    <w:rsid w:val="00B1188A"/>
    <w:pPr>
      <w:ind w:left="360" w:firstLine="360"/>
    </w:pPr>
  </w:style>
  <w:style w:type="character" w:customStyle="1" w:styleId="BodyTextFirstIndent2Char">
    <w:name w:val="Body Text First Indent 2 Char"/>
    <w:basedOn w:val="BodyTextIndentChar"/>
    <w:link w:val="BodyTextFirstIndent2"/>
    <w:semiHidden/>
    <w:rsid w:val="00B1188A"/>
    <w:rPr>
      <w:rFonts w:ascii="Arial" w:hAnsi="Arial"/>
      <w:sz w:val="19"/>
      <w:lang w:val="en-GB"/>
    </w:rPr>
  </w:style>
  <w:style w:type="paragraph" w:styleId="BodyTextIndent2">
    <w:name w:val="Body Text Indent 2"/>
    <w:basedOn w:val="Normal"/>
    <w:link w:val="BodyTextIndent2Char"/>
    <w:semiHidden/>
    <w:rsid w:val="00B1188A"/>
    <w:pPr>
      <w:spacing w:line="480" w:lineRule="auto"/>
      <w:ind w:left="283"/>
    </w:pPr>
  </w:style>
  <w:style w:type="character" w:customStyle="1" w:styleId="BodyTextIndent2Char">
    <w:name w:val="Body Text Indent 2 Char"/>
    <w:basedOn w:val="DefaultParagraphFont"/>
    <w:link w:val="BodyTextIndent2"/>
    <w:semiHidden/>
    <w:rsid w:val="00B1188A"/>
    <w:rPr>
      <w:rFonts w:ascii="Arial" w:hAnsi="Arial"/>
      <w:sz w:val="19"/>
      <w:lang w:val="en-GB"/>
    </w:rPr>
  </w:style>
  <w:style w:type="paragraph" w:styleId="BodyTextIndent3">
    <w:name w:val="Body Text Indent 3"/>
    <w:basedOn w:val="Normal"/>
    <w:link w:val="BodyTextIndent3Char"/>
    <w:semiHidden/>
    <w:rsid w:val="00B1188A"/>
    <w:pPr>
      <w:ind w:left="283"/>
    </w:pPr>
    <w:rPr>
      <w:sz w:val="16"/>
      <w:szCs w:val="16"/>
    </w:rPr>
  </w:style>
  <w:style w:type="character" w:customStyle="1" w:styleId="BodyTextIndent3Char">
    <w:name w:val="Body Text Indent 3 Char"/>
    <w:basedOn w:val="DefaultParagraphFont"/>
    <w:link w:val="BodyTextIndent3"/>
    <w:semiHidden/>
    <w:rsid w:val="00B1188A"/>
    <w:rPr>
      <w:rFonts w:ascii="Arial" w:hAnsi="Arial"/>
      <w:sz w:val="16"/>
      <w:szCs w:val="16"/>
      <w:lang w:val="en-GB"/>
    </w:rPr>
  </w:style>
  <w:style w:type="paragraph" w:styleId="Index3">
    <w:name w:val="index 3"/>
    <w:basedOn w:val="Normal"/>
    <w:next w:val="Normal"/>
    <w:autoRedefine/>
    <w:semiHidden/>
    <w:rsid w:val="00B1188A"/>
    <w:pPr>
      <w:spacing w:before="0" w:after="0"/>
      <w:ind w:left="570" w:hanging="190"/>
    </w:pPr>
  </w:style>
  <w:style w:type="paragraph" w:styleId="Index4">
    <w:name w:val="index 4"/>
    <w:basedOn w:val="Normal"/>
    <w:next w:val="Normal"/>
    <w:autoRedefine/>
    <w:semiHidden/>
    <w:rsid w:val="00B1188A"/>
    <w:pPr>
      <w:spacing w:before="0" w:after="0"/>
      <w:ind w:left="760" w:hanging="190"/>
    </w:pPr>
  </w:style>
  <w:style w:type="paragraph" w:styleId="Index5">
    <w:name w:val="index 5"/>
    <w:basedOn w:val="Normal"/>
    <w:next w:val="Normal"/>
    <w:autoRedefine/>
    <w:semiHidden/>
    <w:rsid w:val="00B1188A"/>
    <w:pPr>
      <w:spacing w:before="0" w:after="0"/>
      <w:ind w:left="950" w:hanging="190"/>
    </w:pPr>
  </w:style>
  <w:style w:type="paragraph" w:styleId="Index6">
    <w:name w:val="index 6"/>
    <w:basedOn w:val="Normal"/>
    <w:next w:val="Normal"/>
    <w:autoRedefine/>
    <w:semiHidden/>
    <w:rsid w:val="00B1188A"/>
    <w:pPr>
      <w:spacing w:before="0" w:after="0"/>
      <w:ind w:left="1140" w:hanging="190"/>
    </w:pPr>
  </w:style>
  <w:style w:type="paragraph" w:styleId="Index7">
    <w:name w:val="index 7"/>
    <w:basedOn w:val="Normal"/>
    <w:next w:val="Normal"/>
    <w:autoRedefine/>
    <w:semiHidden/>
    <w:rsid w:val="00B1188A"/>
    <w:pPr>
      <w:spacing w:before="0" w:after="0"/>
      <w:ind w:left="1330" w:hanging="190"/>
    </w:pPr>
  </w:style>
  <w:style w:type="paragraph" w:styleId="Index8">
    <w:name w:val="index 8"/>
    <w:basedOn w:val="Normal"/>
    <w:next w:val="Normal"/>
    <w:autoRedefine/>
    <w:semiHidden/>
    <w:rsid w:val="00B1188A"/>
    <w:pPr>
      <w:spacing w:before="0" w:after="0"/>
      <w:ind w:left="1520" w:hanging="190"/>
    </w:pPr>
  </w:style>
  <w:style w:type="paragraph" w:styleId="Index9">
    <w:name w:val="index 9"/>
    <w:basedOn w:val="Normal"/>
    <w:next w:val="Normal"/>
    <w:autoRedefine/>
    <w:semiHidden/>
    <w:rsid w:val="00B1188A"/>
    <w:pPr>
      <w:spacing w:before="0" w:after="0"/>
      <w:ind w:left="1710" w:hanging="190"/>
    </w:pPr>
  </w:style>
  <w:style w:type="paragraph" w:styleId="IntenseQuote">
    <w:name w:val="Intense Quote"/>
    <w:basedOn w:val="Normal"/>
    <w:next w:val="Normal"/>
    <w:link w:val="IntenseQuoteChar"/>
    <w:uiPriority w:val="30"/>
    <w:semiHidden/>
    <w:qFormat/>
    <w:rsid w:val="00B118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1188A"/>
    <w:rPr>
      <w:rFonts w:ascii="Arial" w:hAnsi="Arial"/>
      <w:b/>
      <w:bCs/>
      <w:i/>
      <w:iCs/>
      <w:color w:val="4F81BD" w:themeColor="accent1"/>
      <w:sz w:val="19"/>
      <w:lang w:val="en-GB"/>
    </w:rPr>
  </w:style>
  <w:style w:type="paragraph" w:styleId="NoSpacing">
    <w:name w:val="No Spacing"/>
    <w:uiPriority w:val="1"/>
    <w:semiHidden/>
    <w:qFormat/>
    <w:rsid w:val="00B1188A"/>
    <w:pPr>
      <w:suppressAutoHyphens/>
      <w:ind w:left="1134"/>
    </w:pPr>
    <w:rPr>
      <w:rFonts w:ascii="Arial" w:hAnsi="Arial"/>
      <w:sz w:val="19"/>
      <w:lang w:val="en-GB"/>
    </w:rPr>
  </w:style>
  <w:style w:type="paragraph" w:styleId="Quote">
    <w:name w:val="Quote"/>
    <w:basedOn w:val="Normal"/>
    <w:next w:val="Normal"/>
    <w:link w:val="QuoteChar"/>
    <w:uiPriority w:val="29"/>
    <w:semiHidden/>
    <w:qFormat/>
    <w:rsid w:val="00B1188A"/>
    <w:rPr>
      <w:i/>
      <w:iCs/>
      <w:color w:val="000000" w:themeColor="text1"/>
    </w:rPr>
  </w:style>
  <w:style w:type="character" w:customStyle="1" w:styleId="QuoteChar">
    <w:name w:val="Quote Char"/>
    <w:basedOn w:val="DefaultParagraphFont"/>
    <w:link w:val="Quote"/>
    <w:uiPriority w:val="29"/>
    <w:semiHidden/>
    <w:rsid w:val="00B1188A"/>
    <w:rPr>
      <w:rFonts w:ascii="Arial" w:hAnsi="Arial"/>
      <w:i/>
      <w:iCs/>
      <w:color w:val="000000" w:themeColor="text1"/>
      <w:sz w:val="19"/>
      <w:lang w:val="en-GB"/>
    </w:rPr>
  </w:style>
  <w:style w:type="paragraph" w:styleId="Subtitle">
    <w:name w:val="Subtitle"/>
    <w:basedOn w:val="Normal"/>
    <w:next w:val="Normal"/>
    <w:link w:val="SubtitleChar"/>
    <w:semiHidden/>
    <w:qFormat/>
    <w:rsid w:val="00B1188A"/>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B1188A"/>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semiHidden/>
    <w:rsid w:val="00B1188A"/>
    <w:pPr>
      <w:spacing w:after="0"/>
      <w:ind w:left="190" w:hanging="190"/>
    </w:pPr>
  </w:style>
  <w:style w:type="paragraph" w:styleId="TableofFigures">
    <w:name w:val="table of figures"/>
    <w:basedOn w:val="Normal"/>
    <w:next w:val="Normal"/>
    <w:semiHidden/>
    <w:rsid w:val="00B1188A"/>
    <w:pPr>
      <w:spacing w:after="0"/>
      <w:ind w:left="0"/>
    </w:pPr>
  </w:style>
  <w:style w:type="paragraph" w:styleId="Title">
    <w:name w:val="Title"/>
    <w:basedOn w:val="Normal"/>
    <w:next w:val="Normal"/>
    <w:link w:val="TitleChar"/>
    <w:qFormat/>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188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customStyle="1" w:styleId="mynormal">
    <w:name w:val="mynormal"/>
    <w:basedOn w:val="Normal"/>
    <w:link w:val="mynormalChar"/>
    <w:qFormat/>
    <w:rsid w:val="003820EC"/>
    <w:pPr>
      <w:suppressAutoHyphens w:val="0"/>
      <w:spacing w:after="0"/>
      <w:ind w:left="900"/>
    </w:pPr>
    <w:rPr>
      <w:rFonts w:eastAsiaTheme="minorHAnsi" w:cstheme="minorBidi"/>
      <w:szCs w:val="22"/>
    </w:rPr>
  </w:style>
  <w:style w:type="character" w:customStyle="1" w:styleId="mynormalChar">
    <w:name w:val="mynormal Char"/>
    <w:basedOn w:val="DefaultParagraphFont"/>
    <w:link w:val="mynormal"/>
    <w:rsid w:val="003820EC"/>
    <w:rPr>
      <w:rFonts w:ascii="Arial" w:eastAsiaTheme="minorHAnsi" w:hAnsi="Arial" w:cstheme="minorBidi"/>
      <w:szCs w:val="22"/>
      <w:lang w:val="en-GB"/>
    </w:rPr>
  </w:style>
  <w:style w:type="character" w:customStyle="1" w:styleId="FooterChar">
    <w:name w:val="Footer Char"/>
    <w:basedOn w:val="DefaultParagraphFont"/>
    <w:link w:val="Footer"/>
    <w:uiPriority w:val="99"/>
    <w:rsid w:val="00DE4A03"/>
    <w:rPr>
      <w:rFonts w:ascii="Arial" w:hAnsi="Arial"/>
      <w:sz w:val="19"/>
      <w:lang w:val="en-GB"/>
    </w:rPr>
  </w:style>
  <w:style w:type="paragraph" w:customStyle="1" w:styleId="Default">
    <w:name w:val="Default"/>
    <w:rsid w:val="00A67FDB"/>
    <w:pPr>
      <w:autoSpaceDE w:val="0"/>
      <w:autoSpaceDN w:val="0"/>
      <w:adjustRightInd w:val="0"/>
    </w:pPr>
    <w:rPr>
      <w:rFonts w:ascii="Times New Roman" w:hAnsi="Times New Roman"/>
      <w:color w:val="000000"/>
      <w:sz w:val="24"/>
      <w:szCs w:val="24"/>
      <w:lang w:eastAsia="en-GB"/>
    </w:rPr>
  </w:style>
  <w:style w:type="character" w:customStyle="1" w:styleId="label1">
    <w:name w:val="label1"/>
    <w:basedOn w:val="DefaultParagraphFont"/>
    <w:rsid w:val="001A3F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5" w:semiHidden="1"/>
    <w:lsdException w:name="toc 6" w:semiHidden="1"/>
    <w:lsdException w:name="toc 7" w:semiHidden="1"/>
    <w:lsdException w:name="toc 8" w:semiHidden="1"/>
    <w:lsdException w:name="footer" w:uiPriority="99"/>
    <w:lsdException w:name="caption" w:qFormat="1"/>
    <w:lsdException w:name="table of figures" w:semiHidden="1"/>
    <w:lsdException w:name="endnote reference" w:semiHidden="1"/>
    <w:lsdException w:name="endnote text" w:semiHidden="1"/>
    <w:lsdException w:name="table of authorities" w:semiHidden="1"/>
    <w:lsdException w:name="toa heading" w:semiHidden="1"/>
    <w:lsdException w:name="Title" w:qFormat="1"/>
    <w:lsdException w:name="Body Text" w:semiHidden="1"/>
    <w:lsdException w:name="Body Text Indent"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0F67FE"/>
    <w:pPr>
      <w:suppressAutoHyphens/>
      <w:spacing w:before="120" w:after="120"/>
      <w:ind w:left="1134"/>
    </w:pPr>
    <w:rPr>
      <w:rFonts w:ascii="Arial" w:hAnsi="Arial"/>
      <w:lang w:val="en-GB"/>
    </w:rPr>
  </w:style>
  <w:style w:type="paragraph" w:styleId="Heading1">
    <w:name w:val="heading 1"/>
    <w:next w:val="Normal"/>
    <w:qFormat/>
    <w:rsid w:val="003100F4"/>
    <w:pPr>
      <w:keepNext/>
      <w:numPr>
        <w:numId w:val="19"/>
      </w:numPr>
      <w:tabs>
        <w:tab w:val="clear" w:pos="6264"/>
        <w:tab w:val="num" w:pos="1134"/>
      </w:tabs>
      <w:spacing w:before="360"/>
      <w:ind w:left="720" w:hanging="720"/>
      <w:outlineLvl w:val="0"/>
    </w:pPr>
    <w:rPr>
      <w:rFonts w:ascii="Arial" w:hAnsi="Arial"/>
      <w:b/>
      <w:kern w:val="28"/>
      <w:sz w:val="28"/>
      <w:lang w:val="en-GB"/>
    </w:rPr>
  </w:style>
  <w:style w:type="paragraph" w:styleId="Heading2">
    <w:name w:val="heading 2"/>
    <w:basedOn w:val="Heading1"/>
    <w:next w:val="Normal"/>
    <w:qFormat/>
    <w:rsid w:val="003100F4"/>
    <w:pPr>
      <w:numPr>
        <w:ilvl w:val="1"/>
      </w:numPr>
      <w:tabs>
        <w:tab w:val="clear" w:pos="3654"/>
        <w:tab w:val="num" w:pos="7614"/>
      </w:tabs>
      <w:spacing w:before="240" w:after="60"/>
      <w:ind w:left="720" w:hanging="720"/>
      <w:outlineLvl w:val="1"/>
    </w:pPr>
    <w:rPr>
      <w:sz w:val="22"/>
    </w:rPr>
  </w:style>
  <w:style w:type="paragraph" w:styleId="Heading3">
    <w:name w:val="heading 3"/>
    <w:basedOn w:val="Heading2"/>
    <w:next w:val="Normal"/>
    <w:qFormat/>
    <w:rsid w:val="00E26643"/>
    <w:pPr>
      <w:numPr>
        <w:ilvl w:val="2"/>
      </w:numPr>
      <w:spacing w:before="160"/>
      <w:ind w:left="720" w:hanging="720"/>
      <w:outlineLvl w:val="2"/>
    </w:pPr>
    <w:rPr>
      <w:sz w:val="20"/>
    </w:rPr>
  </w:style>
  <w:style w:type="paragraph" w:styleId="Heading4">
    <w:name w:val="heading 4"/>
    <w:basedOn w:val="Heading3"/>
    <w:next w:val="Normal"/>
    <w:qFormat/>
    <w:rsid w:val="003D7590"/>
    <w:pPr>
      <w:numPr>
        <w:ilvl w:val="3"/>
      </w:numPr>
      <w:spacing w:before="120" w:after="0"/>
      <w:outlineLvl w:val="3"/>
    </w:pPr>
    <w:rPr>
      <w:sz w:val="24"/>
    </w:rPr>
  </w:style>
  <w:style w:type="paragraph" w:styleId="Heading5">
    <w:name w:val="heading 5"/>
    <w:aliases w:val="Heading 5 DO NOT USE"/>
    <w:basedOn w:val="Normal"/>
    <w:next w:val="Normal"/>
    <w:semiHidden/>
    <w:qFormat/>
    <w:rsid w:val="00A327F0"/>
    <w:pPr>
      <w:spacing w:before="240" w:after="60"/>
      <w:ind w:left="0"/>
      <w:outlineLvl w:val="4"/>
    </w:pPr>
    <w:rPr>
      <w:sz w:val="22"/>
    </w:rPr>
  </w:style>
  <w:style w:type="paragraph" w:styleId="Heading6">
    <w:name w:val="heading 6"/>
    <w:aliases w:val="Heading 6 DO NOT USE"/>
    <w:basedOn w:val="Normal"/>
    <w:next w:val="Normal"/>
    <w:semiHidden/>
    <w:qFormat/>
    <w:rsid w:val="00A327F0"/>
    <w:pPr>
      <w:spacing w:before="240" w:after="60"/>
      <w:ind w:left="0"/>
      <w:outlineLvl w:val="5"/>
    </w:pPr>
    <w:rPr>
      <w:i/>
      <w:sz w:val="22"/>
    </w:rPr>
  </w:style>
  <w:style w:type="paragraph" w:styleId="Heading7">
    <w:name w:val="heading 7"/>
    <w:aliases w:val="Heading 7 DO NOT USE"/>
    <w:basedOn w:val="Normal"/>
    <w:next w:val="Normal"/>
    <w:semiHidden/>
    <w:qFormat/>
    <w:rsid w:val="00A327F0"/>
    <w:pPr>
      <w:keepNext/>
      <w:spacing w:before="240" w:after="240"/>
      <w:ind w:left="0"/>
      <w:outlineLvl w:val="6"/>
    </w:pPr>
    <w:rPr>
      <w:b/>
      <w:sz w:val="40"/>
    </w:rPr>
  </w:style>
  <w:style w:type="paragraph" w:styleId="Heading8">
    <w:name w:val="heading 8"/>
    <w:aliases w:val="Heading 8 DO NOT USE"/>
    <w:basedOn w:val="Normal"/>
    <w:next w:val="Normal"/>
    <w:semiHidden/>
    <w:qFormat/>
    <w:rsid w:val="00A327F0"/>
    <w:pPr>
      <w:keepNext/>
      <w:spacing w:before="240" w:after="60"/>
      <w:ind w:left="0"/>
      <w:outlineLvl w:val="7"/>
    </w:pPr>
    <w:rPr>
      <w:b/>
      <w:sz w:val="36"/>
    </w:rPr>
  </w:style>
  <w:style w:type="paragraph" w:styleId="Heading9">
    <w:name w:val="heading 9"/>
    <w:aliases w:val="Heading 9 DO NOT USE"/>
    <w:basedOn w:val="Normal"/>
    <w:next w:val="Normal"/>
    <w:semiHidden/>
    <w:qFormat/>
    <w:rsid w:val="00A327F0"/>
    <w:pPr>
      <w:spacing w:before="240" w:after="60"/>
      <w:ind w:left="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rsid w:val="001C280A"/>
    <w:pPr>
      <w:spacing w:before="1880" w:after="0"/>
      <w:ind w:left="0"/>
    </w:pPr>
    <w:rPr>
      <w:rFonts w:eastAsia="Times New Roman"/>
      <w:sz w:val="40"/>
      <w:szCs w:val="48"/>
    </w:rPr>
  </w:style>
  <w:style w:type="paragraph" w:customStyle="1" w:styleId="SWIFTNetversion">
    <w:name w:val="SWIFTNet version"/>
    <w:basedOn w:val="Normal"/>
    <w:next w:val="DocumentTitle"/>
    <w:rsid w:val="001C280A"/>
    <w:pPr>
      <w:spacing w:before="300" w:after="0"/>
      <w:ind w:left="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1C280A"/>
    <w:pPr>
      <w:tabs>
        <w:tab w:val="left" w:pos="1701"/>
        <w:tab w:val="right" w:leader="dot" w:pos="9242"/>
      </w:tabs>
      <w:spacing w:before="20" w:after="20"/>
      <w:ind w:left="1701" w:hanging="567"/>
    </w:pPr>
    <w:rPr>
      <w:noProof/>
    </w:rPr>
  </w:style>
  <w:style w:type="paragraph" w:styleId="TOC4">
    <w:name w:val="toc 4"/>
    <w:basedOn w:val="Normal"/>
    <w:next w:val="Normal"/>
    <w:autoRedefine/>
    <w:semiHidden/>
    <w:rsid w:val="001C280A"/>
    <w:pPr>
      <w:tabs>
        <w:tab w:val="left" w:pos="2552"/>
        <w:tab w:val="right" w:leader="dot" w:pos="8505"/>
      </w:tabs>
      <w:spacing w:before="60" w:after="60"/>
      <w:ind w:left="2552" w:hanging="851"/>
    </w:pPr>
    <w:rPr>
      <w:noProof/>
    </w:rPr>
  </w:style>
  <w:style w:type="paragraph" w:customStyle="1" w:styleId="IntroHeading">
    <w:name w:val="Intro Heading"/>
    <w:basedOn w:val="Heading"/>
    <w:next w:val="Normal"/>
    <w:rsid w:val="0092643F"/>
    <w:pPr>
      <w:spacing w:before="480" w:after="120"/>
    </w:pPr>
    <w:rPr>
      <w:sz w:val="36"/>
    </w:rPr>
  </w:style>
  <w:style w:type="paragraph" w:customStyle="1" w:styleId="Warning">
    <w:name w:val="Warning"/>
    <w:basedOn w:val="Note"/>
    <w:next w:val="Normal"/>
    <w:rsid w:val="001C280A"/>
    <w:pPr>
      <w:numPr>
        <w:numId w:val="2"/>
      </w:numPr>
    </w:pPr>
    <w:rPr>
      <w:snapToGrid w:val="0"/>
      <w:lang w:val="en-US"/>
    </w:rPr>
  </w:style>
  <w:style w:type="paragraph" w:customStyle="1" w:styleId="Note">
    <w:name w:val="Note"/>
    <w:basedOn w:val="Normal"/>
    <w:next w:val="Normal"/>
    <w:rsid w:val="001C280A"/>
    <w:pPr>
      <w:keepLines/>
      <w:numPr>
        <w:numId w:val="17"/>
      </w:numPr>
      <w:pBdr>
        <w:top w:val="single" w:sz="2" w:space="4" w:color="333333"/>
        <w:bottom w:val="single" w:sz="2" w:space="4" w:color="333333"/>
      </w:pBdr>
    </w:pPr>
  </w:style>
  <w:style w:type="paragraph" w:customStyle="1" w:styleId="Headereveninstrucpages">
    <w:name w:val="Header even instruc pages"/>
    <w:next w:val="Headeroddinstrucpages"/>
    <w:link w:val="HeadereveninstrucpagesCharChar"/>
    <w:rsid w:val="00C31B59"/>
    <w:pPr>
      <w:pBdr>
        <w:bottom w:val="single" w:sz="4" w:space="1" w:color="auto"/>
      </w:pBdr>
      <w:tabs>
        <w:tab w:val="right" w:pos="9242"/>
      </w:tabs>
      <w:spacing w:after="40"/>
    </w:pPr>
    <w:rPr>
      <w:rFonts w:ascii="Arial" w:eastAsia="Times New Roman" w:hAnsi="Arial"/>
      <w:sz w:val="16"/>
      <w:lang w:val="en-GB"/>
    </w:rPr>
  </w:style>
  <w:style w:type="paragraph" w:customStyle="1" w:styleId="Footereveninstrucpages">
    <w:name w:val="Footer even instruc pages"/>
    <w:next w:val="Footerodd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customStyle="1" w:styleId="Headeroddinstrucpages">
    <w:name w:val="Header odd instruc pages"/>
    <w:next w:val="Headereveninstrucpages"/>
    <w:rsid w:val="00C31B59"/>
    <w:pPr>
      <w:pBdr>
        <w:bottom w:val="single" w:sz="4" w:space="1" w:color="auto"/>
      </w:pBdr>
      <w:tabs>
        <w:tab w:val="right" w:pos="9242"/>
      </w:tabs>
      <w:spacing w:after="40"/>
    </w:pPr>
    <w:rPr>
      <w:rFonts w:ascii="Arial" w:hAnsi="Arial"/>
      <w:sz w:val="16"/>
      <w:lang w:val="en-GB"/>
    </w:rPr>
  </w:style>
  <w:style w:type="paragraph" w:styleId="IndexHeading">
    <w:name w:val="index heading"/>
    <w:basedOn w:val="Normal"/>
    <w:next w:val="Index1"/>
    <w:semiHidden/>
    <w:rsid w:val="001C280A"/>
    <w:pPr>
      <w:suppressAutoHyphens w:val="0"/>
      <w:ind w:left="0"/>
    </w:pPr>
    <w:rPr>
      <w:rFonts w:eastAsia="Times New Roman"/>
      <w:b/>
    </w:rPr>
  </w:style>
  <w:style w:type="paragraph" w:styleId="Index1">
    <w:name w:val="index 1"/>
    <w:basedOn w:val="Normal"/>
    <w:next w:val="Index2"/>
    <w:autoRedefine/>
    <w:semiHidden/>
    <w:rsid w:val="001C280A"/>
    <w:pPr>
      <w:suppressAutoHyphens w:val="0"/>
      <w:spacing w:before="0" w:after="0"/>
      <w:ind w:left="200" w:hanging="200"/>
    </w:pPr>
    <w:rPr>
      <w:rFonts w:eastAsia="Times New Roman"/>
    </w:rPr>
  </w:style>
  <w:style w:type="paragraph" w:styleId="Index2">
    <w:name w:val="index 2"/>
    <w:basedOn w:val="Index1"/>
    <w:semiHidden/>
    <w:rsid w:val="001C280A"/>
    <w:pPr>
      <w:ind w:left="426" w:hanging="142"/>
    </w:pPr>
  </w:style>
  <w:style w:type="paragraph" w:customStyle="1" w:styleId="TableText">
    <w:name w:val="Table Text"/>
    <w:basedOn w:val="Normal"/>
    <w:rsid w:val="001C280A"/>
    <w:pPr>
      <w:spacing w:before="60" w:after="40"/>
      <w:ind w:left="0"/>
    </w:pPr>
    <w:rPr>
      <w:iCs/>
      <w:sz w:val="18"/>
    </w:rPr>
  </w:style>
  <w:style w:type="paragraph" w:customStyle="1" w:styleId="BlockLabel">
    <w:name w:val="Block Label"/>
    <w:basedOn w:val="Normal"/>
    <w:next w:val="Normal"/>
    <w:rsid w:val="001C280A"/>
    <w:pPr>
      <w:keepNext/>
      <w:spacing w:before="160" w:after="40"/>
      <w:ind w:left="567"/>
    </w:pPr>
    <w:rPr>
      <w:b/>
      <w:snapToGrid w:val="0"/>
    </w:rPr>
  </w:style>
  <w:style w:type="paragraph" w:styleId="ListContinue2">
    <w:name w:val="List Continue 2"/>
    <w:basedOn w:val="ListContinue"/>
    <w:next w:val="ListNumber"/>
    <w:rsid w:val="001C280A"/>
    <w:pPr>
      <w:ind w:left="1985"/>
    </w:pPr>
  </w:style>
  <w:style w:type="paragraph" w:customStyle="1" w:styleId="Footeroddinstrucpages">
    <w:name w:val="Footer odd instruc pages"/>
    <w:next w:val="Footereven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styleId="ListNumber2">
    <w:name w:val="List Number 2"/>
    <w:basedOn w:val="Normal"/>
    <w:rsid w:val="001C280A"/>
    <w:pPr>
      <w:numPr>
        <w:numId w:val="21"/>
      </w:numPr>
      <w:spacing w:before="0" w:after="60"/>
    </w:pPr>
  </w:style>
  <w:style w:type="character" w:styleId="Strong">
    <w:name w:val="Strong"/>
    <w:basedOn w:val="DefaultParagraphFont"/>
    <w:qFormat/>
    <w:rsid w:val="001C280A"/>
    <w:rPr>
      <w:b/>
      <w:bCs/>
    </w:rPr>
  </w:style>
  <w:style w:type="paragraph" w:customStyle="1" w:styleId="Append1">
    <w:name w:val="Append 1"/>
    <w:basedOn w:val="Heading2"/>
    <w:next w:val="Normal"/>
    <w:rsid w:val="003D7590"/>
    <w:pPr>
      <w:keepLines/>
      <w:numPr>
        <w:numId w:val="18"/>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rsid w:val="001C280A"/>
    <w:pPr>
      <w:numPr>
        <w:numId w:val="3"/>
      </w:numPr>
      <w:spacing w:before="40"/>
    </w:pPr>
  </w:style>
  <w:style w:type="paragraph" w:customStyle="1" w:styleId="TableHeading">
    <w:name w:val="Table Heading"/>
    <w:basedOn w:val="TableText"/>
    <w:next w:val="TableText"/>
    <w:rsid w:val="001C280A"/>
    <w:pPr>
      <w:spacing w:before="80" w:after="60"/>
    </w:pPr>
    <w:rPr>
      <w:b/>
      <w:iCs w:val="0"/>
      <w:snapToGrid w:val="0"/>
      <w:kern w:val="28"/>
    </w:rPr>
  </w:style>
  <w:style w:type="paragraph" w:customStyle="1" w:styleId="Headerodd">
    <w:name w:val="Header odd"/>
    <w:next w:val="Headereven"/>
    <w:rsid w:val="00E721B9"/>
    <w:pPr>
      <w:tabs>
        <w:tab w:val="right" w:pos="9242"/>
      </w:tabs>
      <w:spacing w:after="40"/>
    </w:pPr>
    <w:rPr>
      <w:rFonts w:ascii="Arial" w:eastAsia="Times New Roman" w:hAnsi="Arial"/>
      <w:sz w:val="16"/>
      <w:lang w:val="en-GB"/>
    </w:rPr>
  </w:style>
  <w:style w:type="paragraph" w:styleId="EndnoteText">
    <w:name w:val="endnote text"/>
    <w:basedOn w:val="Normal"/>
    <w:link w:val="EndnoteTextChar"/>
    <w:semiHidden/>
    <w:rsid w:val="00805B42"/>
    <w:pPr>
      <w:spacing w:before="0" w:after="0"/>
    </w:pPr>
  </w:style>
  <w:style w:type="character" w:customStyle="1" w:styleId="Syntax">
    <w:name w:val="Syntax"/>
    <w:basedOn w:val="DefaultParagraphFont"/>
    <w:rsid w:val="001C280A"/>
    <w:rPr>
      <w:rFonts w:ascii="Courier" w:hAnsi="Courier"/>
      <w:sz w:val="18"/>
    </w:rPr>
  </w:style>
  <w:style w:type="paragraph" w:customStyle="1" w:styleId="Tip">
    <w:name w:val="Tip"/>
    <w:basedOn w:val="Note"/>
    <w:next w:val="Normal"/>
    <w:rsid w:val="001C280A"/>
    <w:pPr>
      <w:numPr>
        <w:numId w:val="1"/>
      </w:numPr>
    </w:pPr>
  </w:style>
  <w:style w:type="paragraph" w:customStyle="1" w:styleId="TableNumber">
    <w:name w:val="Table Number"/>
    <w:basedOn w:val="TableText"/>
    <w:rsid w:val="001C280A"/>
    <w:pPr>
      <w:numPr>
        <w:numId w:val="4"/>
      </w:numPr>
      <w:spacing w:before="40"/>
    </w:pPr>
  </w:style>
  <w:style w:type="paragraph" w:customStyle="1" w:styleId="Append2">
    <w:name w:val="Append 2"/>
    <w:basedOn w:val="Heading3"/>
    <w:next w:val="Normal"/>
    <w:rsid w:val="003D7590"/>
    <w:pPr>
      <w:keepLines/>
      <w:numPr>
        <w:numId w:val="18"/>
      </w:numPr>
    </w:pPr>
    <w:rPr>
      <w:rFonts w:eastAsia="Times New Roman"/>
      <w:color w:val="000000"/>
      <w:kern w:val="0"/>
    </w:rPr>
  </w:style>
  <w:style w:type="paragraph" w:customStyle="1" w:styleId="Append3">
    <w:name w:val="Append 3"/>
    <w:basedOn w:val="Heading4"/>
    <w:next w:val="Normal"/>
    <w:rsid w:val="003D7590"/>
    <w:pPr>
      <w:keepLines/>
      <w:numPr>
        <w:numId w:val="18"/>
      </w:numPr>
    </w:pPr>
    <w:rPr>
      <w:rFonts w:eastAsia="Times New Roman"/>
      <w:color w:val="000000"/>
    </w:rPr>
  </w:style>
  <w:style w:type="character" w:customStyle="1" w:styleId="EndnoteTextChar">
    <w:name w:val="Endnote Text Char"/>
    <w:basedOn w:val="DefaultParagraphFont"/>
    <w:link w:val="EndnoteText"/>
    <w:semiHidden/>
    <w:rsid w:val="00805B42"/>
    <w:rPr>
      <w:rFonts w:ascii="Arial" w:hAnsi="Arial"/>
      <w:lang w:val="en-GB"/>
    </w:rPr>
  </w:style>
  <w:style w:type="character" w:customStyle="1" w:styleId="ListBulletChar">
    <w:name w:val="List Bullet Char"/>
    <w:basedOn w:val="DefaultParagraphFont"/>
    <w:link w:val="ListBullet"/>
    <w:rsid w:val="001C280A"/>
    <w:rPr>
      <w:rFonts w:ascii="Arial" w:hAnsi="Arial"/>
      <w:kern w:val="28"/>
      <w:sz w:val="19"/>
      <w:lang w:val="en-GB"/>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rsid w:val="001C280A"/>
    <w:rPr>
      <w:i/>
    </w:rPr>
  </w:style>
  <w:style w:type="paragraph" w:customStyle="1" w:styleId="Index">
    <w:name w:val="Index"/>
    <w:basedOn w:val="Normal"/>
    <w:semiHidden/>
    <w:rsid w:val="001C280A"/>
  </w:style>
  <w:style w:type="paragraph" w:styleId="DocumentMap">
    <w:name w:val="Document Map"/>
    <w:basedOn w:val="Normal"/>
    <w:semiHidden/>
    <w:rsid w:val="001C280A"/>
    <w:pPr>
      <w:shd w:val="clear" w:color="auto" w:fill="000080"/>
    </w:pPr>
    <w:rPr>
      <w:rFonts w:ascii="Tahoma" w:hAnsi="Tahoma" w:cs="Tahoma"/>
    </w:rPr>
  </w:style>
  <w:style w:type="paragraph" w:customStyle="1" w:styleId="ProductFamily">
    <w:name w:val="Product Family"/>
    <w:basedOn w:val="Normal"/>
    <w:next w:val="ProductName"/>
    <w:rsid w:val="001C280A"/>
    <w:pPr>
      <w:spacing w:before="1000" w:after="0"/>
      <w:ind w:left="0"/>
    </w:pPr>
    <w:rPr>
      <w:rFonts w:eastAsia="Times New Roman"/>
      <w:sz w:val="32"/>
      <w:szCs w:val="32"/>
    </w:rPr>
  </w:style>
  <w:style w:type="paragraph" w:customStyle="1" w:styleId="Productvariant">
    <w:name w:val="Product variant"/>
    <w:basedOn w:val="Normal"/>
    <w:rsid w:val="001C280A"/>
    <w:pPr>
      <w:spacing w:before="240" w:after="0"/>
      <w:ind w:left="0"/>
    </w:pPr>
    <w:rPr>
      <w:sz w:val="28"/>
    </w:rPr>
  </w:style>
  <w:style w:type="paragraph" w:styleId="MacroText">
    <w:name w:val="macro"/>
    <w:semiHidden/>
    <w:rsid w:val="001C280A"/>
    <w:pPr>
      <w:tabs>
        <w:tab w:val="left" w:pos="480"/>
        <w:tab w:val="left" w:pos="960"/>
        <w:tab w:val="left" w:pos="1440"/>
        <w:tab w:val="left" w:pos="1920"/>
        <w:tab w:val="left" w:pos="2400"/>
        <w:tab w:val="left" w:pos="2880"/>
        <w:tab w:val="left" w:pos="3360"/>
        <w:tab w:val="left" w:pos="3840"/>
        <w:tab w:val="left" w:pos="4320"/>
      </w:tabs>
      <w:suppressAutoHyphens/>
      <w:spacing w:before="120" w:after="120"/>
      <w:ind w:left="851"/>
    </w:pPr>
    <w:rPr>
      <w:rFonts w:ascii="Courier New" w:hAnsi="Courier New" w:cs="Courier New"/>
      <w:lang w:val="en-GB"/>
    </w:rPr>
  </w:style>
  <w:style w:type="paragraph" w:styleId="Caption">
    <w:name w:val="caption"/>
    <w:basedOn w:val="Normal"/>
    <w:next w:val="Normal"/>
    <w:semiHidden/>
    <w:qFormat/>
    <w:rsid w:val="001C280A"/>
    <w:pPr>
      <w:tabs>
        <w:tab w:val="left" w:pos="1134"/>
      </w:tabs>
      <w:suppressAutoHyphens w:val="0"/>
      <w:spacing w:before="40" w:after="60"/>
      <w:ind w:left="1559"/>
    </w:pPr>
    <w:rPr>
      <w:bCs/>
      <w:i/>
      <w:snapToGrid w:val="0"/>
      <w:kern w:val="28"/>
      <w:sz w:val="18"/>
    </w:rPr>
  </w:style>
  <w:style w:type="character" w:styleId="Hyperlink">
    <w:name w:val="Hyperlink"/>
    <w:basedOn w:val="DefaultParagraphFont"/>
    <w:uiPriority w:val="99"/>
    <w:rsid w:val="001C280A"/>
    <w:rPr>
      <w:color w:val="0000FF"/>
      <w:u w:val="single"/>
    </w:rPr>
  </w:style>
  <w:style w:type="character" w:styleId="FollowedHyperlink">
    <w:name w:val="FollowedHyperlink"/>
    <w:basedOn w:val="DefaultParagraphFont"/>
    <w:semiHidden/>
    <w:rsid w:val="001C280A"/>
    <w:rPr>
      <w:color w:val="800080"/>
      <w:u w:val="single"/>
    </w:rPr>
  </w:style>
  <w:style w:type="character" w:customStyle="1" w:styleId="Bold">
    <w:name w:val="Bold"/>
    <w:basedOn w:val="DefaultParagraphFon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pPr>
      <w:spacing w:after="0"/>
      <w:ind w:left="0"/>
    </w:pPr>
    <w:rPr>
      <w:sz w:val="18"/>
    </w:rPr>
  </w:style>
  <w:style w:type="character" w:styleId="CommentReference">
    <w:name w:val="annotation reference"/>
    <w:basedOn w:val="DefaultParagraphFont"/>
    <w:semiHidden/>
    <w:rsid w:val="001C280A"/>
    <w:rPr>
      <w:sz w:val="16"/>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rsid w:val="001C280A"/>
    <w:pPr>
      <w:tabs>
        <w:tab w:val="center" w:pos="4320"/>
        <w:tab w:val="right" w:pos="8640"/>
      </w:tabs>
    </w:pPr>
  </w:style>
  <w:style w:type="character" w:customStyle="1" w:styleId="HeadereveninstrucpagesCharChar">
    <w:name w:val="Header even instruc pages Char Char"/>
    <w:basedOn w:val="DefaultParagraphFont"/>
    <w:link w:val="Headereveninstrucpages"/>
    <w:rsid w:val="00C31B59"/>
    <w:rPr>
      <w:rFonts w:ascii="Arial" w:hAnsi="Arial"/>
      <w:sz w:val="16"/>
      <w:lang w:val="en-GB" w:eastAsia="en-US" w:bidi="ar-SA"/>
    </w:rPr>
  </w:style>
  <w:style w:type="paragraph" w:customStyle="1" w:styleId="QMODocumentTitle">
    <w:name w:val="QMO_Document Title"/>
    <w:basedOn w:val="DocumentTitle"/>
    <w:rsid w:val="001C280A"/>
    <w:pPr>
      <w:spacing w:before="600" w:after="360"/>
    </w:pPr>
    <w:rPr>
      <w:b/>
      <w:sz w:val="60"/>
    </w:rPr>
  </w:style>
  <w:style w:type="paragraph" w:customStyle="1" w:styleId="BeforeList">
    <w:name w:val="Before List"/>
    <w:basedOn w:val="Normal"/>
    <w:next w:val="ListBullet"/>
    <w:rsid w:val="001C280A"/>
    <w:pPr>
      <w:spacing w:after="60"/>
    </w:pPr>
    <w:rPr>
      <w:kern w:val="28"/>
    </w:rPr>
  </w:style>
  <w:style w:type="character" w:styleId="EndnoteReference">
    <w:name w:val="endnote reference"/>
    <w:basedOn w:val="DefaultParagraphFont"/>
    <w:semiHidden/>
    <w:rsid w:val="00805B42"/>
    <w:rPr>
      <w:vertAlign w:val="superscript"/>
    </w:rPr>
  </w:style>
  <w:style w:type="numbering" w:styleId="111111">
    <w:name w:val="Outline List 2"/>
    <w:basedOn w:val="NoList"/>
    <w:semiHidden/>
    <w:rsid w:val="001C280A"/>
    <w:pPr>
      <w:numPr>
        <w:numId w:val="14"/>
      </w:numPr>
    </w:pPr>
  </w:style>
  <w:style w:type="paragraph" w:styleId="TOC9">
    <w:name w:val="toc 9"/>
    <w:basedOn w:val="Normal"/>
    <w:next w:val="Normal"/>
    <w:autoRedefine/>
    <w:semiHidden/>
    <w:rsid w:val="00647DBD"/>
    <w:pPr>
      <w:ind w:left="1520"/>
    </w:pPr>
  </w:style>
  <w:style w:type="paragraph" w:styleId="Footer">
    <w:name w:val="footer"/>
    <w:basedOn w:val="Normal"/>
    <w:link w:val="FooterChar"/>
    <w:uiPriority w:val="99"/>
    <w:rsid w:val="001C280A"/>
    <w:pPr>
      <w:tabs>
        <w:tab w:val="center" w:pos="4320"/>
        <w:tab w:val="right" w:pos="8640"/>
      </w:tabs>
    </w:pPr>
  </w:style>
  <w:style w:type="paragraph" w:styleId="BalloonText">
    <w:name w:val="Balloon Text"/>
    <w:basedOn w:val="Normal"/>
    <w:semiHidden/>
    <w:rsid w:val="001C280A"/>
    <w:rPr>
      <w:rFonts w:ascii="Tahoma" w:hAnsi="Tahoma" w:cs="Tahoma"/>
      <w:sz w:val="16"/>
      <w:szCs w:val="16"/>
    </w:rPr>
  </w:style>
  <w:style w:type="numbering" w:styleId="1ai">
    <w:name w:val="Outline List 1"/>
    <w:basedOn w:val="NoList"/>
    <w:semiHidden/>
    <w:rsid w:val="001C280A"/>
    <w:pPr>
      <w:numPr>
        <w:numId w:val="15"/>
      </w:numPr>
    </w:pPr>
  </w:style>
  <w:style w:type="paragraph" w:styleId="CommentText">
    <w:name w:val="annotation text"/>
    <w:basedOn w:val="Normal"/>
    <w:semiHidden/>
    <w:rsid w:val="001C280A"/>
  </w:style>
  <w:style w:type="paragraph" w:styleId="CommentSubject">
    <w:name w:val="annotation subject"/>
    <w:basedOn w:val="CommentText"/>
    <w:next w:val="CommentText"/>
    <w:semiHidden/>
    <w:rsid w:val="001C280A"/>
    <w:rPr>
      <w:b/>
      <w:bCs/>
    </w:rPr>
  </w:style>
  <w:style w:type="numbering" w:styleId="ArticleSection">
    <w:name w:val="Outline List 3"/>
    <w:basedOn w:val="NoList"/>
    <w:semiHidden/>
    <w:rsid w:val="001C280A"/>
    <w:pPr>
      <w:numPr>
        <w:numId w:val="16"/>
      </w:numPr>
    </w:pPr>
  </w:style>
  <w:style w:type="paragraph" w:styleId="BlockText">
    <w:name w:val="Block Text"/>
    <w:basedOn w:val="Normal"/>
    <w:semiHidden/>
    <w:rsid w:val="001C280A"/>
    <w:pPr>
      <w:ind w:left="1440" w:right="1440"/>
    </w:pPr>
  </w:style>
  <w:style w:type="paragraph" w:customStyle="1" w:styleId="Footerodd">
    <w:name w:val="Footer odd"/>
    <w:next w:val="Footereven"/>
    <w:rsid w:val="00E721B9"/>
    <w:pPr>
      <w:tabs>
        <w:tab w:val="right" w:pos="9242"/>
      </w:tabs>
      <w:spacing w:after="40"/>
    </w:pPr>
    <w:rPr>
      <w:rFonts w:ascii="Arial" w:eastAsia="Times New Roman" w:hAnsi="Arial"/>
      <w:sz w:val="16"/>
      <w:lang w:val="en-GB"/>
    </w:rPr>
  </w:style>
  <w:style w:type="paragraph" w:customStyle="1" w:styleId="Headereven">
    <w:name w:val="Header even"/>
    <w:next w:val="Headerodd"/>
    <w:rsid w:val="00C96A49"/>
    <w:pPr>
      <w:tabs>
        <w:tab w:val="right" w:pos="9242"/>
      </w:tabs>
      <w:spacing w:after="40"/>
    </w:pPr>
    <w:rPr>
      <w:rFonts w:ascii="Arial" w:eastAsia="Times New Roman" w:hAnsi="Arial"/>
      <w:sz w:val="16"/>
      <w:lang w:val="en-GB"/>
    </w:rPr>
  </w:style>
  <w:style w:type="paragraph" w:customStyle="1" w:styleId="Footereven">
    <w:name w:val="Footer even"/>
    <w:next w:val="Footerodd"/>
    <w:rsid w:val="00617B2D"/>
    <w:pPr>
      <w:tabs>
        <w:tab w:val="right" w:pos="9242"/>
      </w:tabs>
      <w:spacing w:after="40"/>
    </w:pPr>
    <w:rPr>
      <w:rFonts w:ascii="Arial" w:eastAsia="Times New Roman" w:hAnsi="Arial"/>
      <w:sz w:val="16"/>
      <w:lang w:val="en-GB"/>
    </w:rPr>
  </w:style>
  <w:style w:type="paragraph" w:customStyle="1" w:styleId="Append">
    <w:name w:val="Append"/>
    <w:basedOn w:val="Heading"/>
    <w:next w:val="Normal"/>
    <w:rsid w:val="003D7590"/>
    <w:pPr>
      <w:keepLines/>
      <w:numPr>
        <w:numId w:val="18"/>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rFonts w:ascii="Arial" w:hAnsi="Arial"/>
      <w:sz w:val="16"/>
      <w:lang w:val="en-GB"/>
    </w:rPr>
  </w:style>
  <w:style w:type="paragraph" w:customStyle="1" w:styleId="Footeroddlandscape">
    <w:name w:val="Footer odd landscape"/>
    <w:rsid w:val="00CA0DF6"/>
    <w:pPr>
      <w:tabs>
        <w:tab w:val="right" w:pos="13608"/>
      </w:tabs>
      <w:spacing w:after="40"/>
    </w:pPr>
    <w:rPr>
      <w:rFonts w:ascii="Arial" w:hAnsi="Arial"/>
      <w:sz w:val="16"/>
      <w:lang w:val="en-GB"/>
    </w:rPr>
  </w:style>
  <w:style w:type="paragraph" w:customStyle="1" w:styleId="Headerevenlandscape">
    <w:name w:val="Header even landscape"/>
    <w:next w:val="Normal"/>
    <w:rsid w:val="00CA0DF6"/>
    <w:pPr>
      <w:tabs>
        <w:tab w:val="right" w:pos="13608"/>
      </w:tabs>
      <w:spacing w:after="40"/>
    </w:pPr>
    <w:rPr>
      <w:rFonts w:ascii="Arial" w:eastAsia="Times New Roman" w:hAnsi="Arial"/>
      <w:sz w:val="16"/>
      <w:lang w:val="en-GB"/>
    </w:rPr>
  </w:style>
  <w:style w:type="paragraph" w:styleId="Closing">
    <w:name w:val="Closing"/>
    <w:basedOn w:val="Normal"/>
    <w:semiHidden/>
    <w:rsid w:val="001C280A"/>
    <w:pPr>
      <w:ind w:left="4252"/>
    </w:pPr>
  </w:style>
  <w:style w:type="paragraph" w:styleId="Date">
    <w:name w:val="Date"/>
    <w:basedOn w:val="Normal"/>
    <w:next w:val="Normal"/>
    <w:semiHidden/>
    <w:rsid w:val="001C280A"/>
  </w:style>
  <w:style w:type="paragraph" w:styleId="E-mailSignature">
    <w:name w:val="E-mail Signature"/>
    <w:basedOn w:val="Normal"/>
    <w:semiHidden/>
    <w:rsid w:val="001C280A"/>
  </w:style>
  <w:style w:type="paragraph" w:styleId="EnvelopeAddress">
    <w:name w:val="envelope address"/>
    <w:basedOn w:val="Normal"/>
    <w:semiHidden/>
    <w:rsid w:val="001C280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C280A"/>
    <w:rPr>
      <w:rFonts w:cs="Arial"/>
    </w:rPr>
  </w:style>
  <w:style w:type="character" w:styleId="HTMLAcronym">
    <w:name w:val="HTML Acronym"/>
    <w:basedOn w:val="DefaultParagraphFont"/>
    <w:semiHidden/>
    <w:rsid w:val="001C280A"/>
  </w:style>
  <w:style w:type="paragraph" w:styleId="HTMLAddress">
    <w:name w:val="HTML Address"/>
    <w:basedOn w:val="Normal"/>
    <w:semiHidden/>
    <w:rsid w:val="001C280A"/>
    <w:rPr>
      <w:i/>
      <w:iCs/>
    </w:rPr>
  </w:style>
  <w:style w:type="character" w:styleId="HTMLCite">
    <w:name w:val="HTML Cite"/>
    <w:basedOn w:val="DefaultParagraphFont"/>
    <w:semiHidden/>
    <w:rsid w:val="001C280A"/>
    <w:rPr>
      <w:i/>
      <w:iCs/>
    </w:rPr>
  </w:style>
  <w:style w:type="character" w:styleId="HTMLCode">
    <w:name w:val="HTML Code"/>
    <w:basedOn w:val="DefaultParagraphFont"/>
    <w:semiHidden/>
    <w:rsid w:val="001C280A"/>
    <w:rPr>
      <w:rFonts w:ascii="Courier New" w:hAnsi="Courier New" w:cs="Courier New"/>
      <w:sz w:val="20"/>
      <w:szCs w:val="20"/>
    </w:rPr>
  </w:style>
  <w:style w:type="character" w:styleId="HTMLDefinition">
    <w:name w:val="HTML Definition"/>
    <w:basedOn w:val="DefaultParagraphFont"/>
    <w:semiHidden/>
    <w:rsid w:val="001C280A"/>
    <w:rPr>
      <w:i/>
      <w:iCs/>
    </w:rPr>
  </w:style>
  <w:style w:type="character" w:styleId="HTMLKeyboard">
    <w:name w:val="HTML Keyboard"/>
    <w:basedOn w:val="DefaultParagraphFont"/>
    <w:semiHidden/>
    <w:rsid w:val="001C280A"/>
    <w:rPr>
      <w:rFonts w:ascii="Courier New" w:hAnsi="Courier New" w:cs="Courier New"/>
      <w:sz w:val="20"/>
      <w:szCs w:val="20"/>
    </w:rPr>
  </w:style>
  <w:style w:type="paragraph" w:styleId="HTMLPreformatted">
    <w:name w:val="HTML Preformatted"/>
    <w:basedOn w:val="Normal"/>
    <w:semiHidden/>
    <w:rsid w:val="001C280A"/>
    <w:rPr>
      <w:rFonts w:ascii="Courier New" w:hAnsi="Courier New" w:cs="Courier New"/>
    </w:rPr>
  </w:style>
  <w:style w:type="character" w:styleId="HTMLSample">
    <w:name w:val="HTML Sample"/>
    <w:basedOn w:val="DefaultParagraphFont"/>
    <w:semiHidden/>
    <w:rsid w:val="001C280A"/>
    <w:rPr>
      <w:rFonts w:ascii="Courier New" w:hAnsi="Courier New" w:cs="Courier New"/>
    </w:rPr>
  </w:style>
  <w:style w:type="character" w:styleId="HTMLTypewriter">
    <w:name w:val="HTML Typewriter"/>
    <w:basedOn w:val="DefaultParagraphFont"/>
    <w:semiHidden/>
    <w:rsid w:val="001C280A"/>
    <w:rPr>
      <w:rFonts w:ascii="Courier New" w:hAnsi="Courier New" w:cs="Courier New"/>
      <w:sz w:val="20"/>
      <w:szCs w:val="20"/>
    </w:rPr>
  </w:style>
  <w:style w:type="character" w:styleId="HTMLVariable">
    <w:name w:val="HTML Variable"/>
    <w:basedOn w:val="DefaultParagraphFont"/>
    <w:semiHidden/>
    <w:rsid w:val="001C280A"/>
    <w:rPr>
      <w:i/>
      <w:iCs/>
    </w:rPr>
  </w:style>
  <w:style w:type="character" w:styleId="LineNumber">
    <w:name w:val="line number"/>
    <w:basedOn w:val="DefaultParagraphFont"/>
    <w:semiHidden/>
    <w:rsid w:val="001C280A"/>
  </w:style>
  <w:style w:type="paragraph" w:styleId="List">
    <w:name w:val="List"/>
    <w:basedOn w:val="Normal"/>
    <w:semiHidden/>
    <w:rsid w:val="001C280A"/>
    <w:pPr>
      <w:ind w:left="283" w:hanging="283"/>
    </w:pPr>
  </w:style>
  <w:style w:type="paragraph" w:styleId="List2">
    <w:name w:val="List 2"/>
    <w:basedOn w:val="Normal"/>
    <w:semiHidden/>
    <w:rsid w:val="001C280A"/>
    <w:pPr>
      <w:ind w:left="566" w:hanging="283"/>
    </w:pPr>
  </w:style>
  <w:style w:type="paragraph" w:styleId="List3">
    <w:name w:val="List 3"/>
    <w:basedOn w:val="Normal"/>
    <w:semiHidden/>
    <w:rsid w:val="001C280A"/>
    <w:pPr>
      <w:ind w:left="849" w:hanging="283"/>
    </w:pPr>
  </w:style>
  <w:style w:type="paragraph" w:styleId="List4">
    <w:name w:val="List 4"/>
    <w:basedOn w:val="Normal"/>
    <w:semiHidden/>
    <w:rsid w:val="001C280A"/>
    <w:pPr>
      <w:ind w:left="1132" w:hanging="283"/>
    </w:pPr>
  </w:style>
  <w:style w:type="paragraph" w:styleId="List5">
    <w:name w:val="List 5"/>
    <w:basedOn w:val="Normal"/>
    <w:semiHidden/>
    <w:rsid w:val="001C280A"/>
    <w:pPr>
      <w:ind w:left="1415" w:hanging="283"/>
    </w:pPr>
  </w:style>
  <w:style w:type="paragraph" w:styleId="ListBullet">
    <w:name w:val="List Bullet"/>
    <w:basedOn w:val="Normal"/>
    <w:link w:val="ListBulletChar"/>
    <w:rsid w:val="001C280A"/>
    <w:pPr>
      <w:numPr>
        <w:numId w:val="5"/>
      </w:numPr>
      <w:spacing w:before="60" w:after="60"/>
    </w:pPr>
    <w:rPr>
      <w:kern w:val="28"/>
    </w:rPr>
  </w:style>
  <w:style w:type="paragraph" w:styleId="ListBullet2">
    <w:name w:val="List Bullet 2"/>
    <w:basedOn w:val="Normal"/>
    <w:rsid w:val="001C280A"/>
    <w:pPr>
      <w:numPr>
        <w:numId w:val="6"/>
      </w:numPr>
      <w:spacing w:before="0" w:after="60"/>
    </w:pPr>
  </w:style>
  <w:style w:type="paragraph" w:styleId="ListBullet3">
    <w:name w:val="List Bullet 3"/>
    <w:basedOn w:val="Normal"/>
    <w:semiHidden/>
    <w:rsid w:val="001C280A"/>
    <w:pPr>
      <w:numPr>
        <w:numId w:val="7"/>
      </w:numPr>
    </w:pPr>
  </w:style>
  <w:style w:type="paragraph" w:styleId="ListBullet4">
    <w:name w:val="List Bullet 4"/>
    <w:basedOn w:val="Normal"/>
    <w:semiHidden/>
    <w:rsid w:val="001C280A"/>
    <w:pPr>
      <w:numPr>
        <w:numId w:val="8"/>
      </w:numPr>
    </w:pPr>
  </w:style>
  <w:style w:type="paragraph" w:styleId="ListBullet5">
    <w:name w:val="List Bullet 5"/>
    <w:basedOn w:val="Normal"/>
    <w:semiHidden/>
    <w:rsid w:val="001C280A"/>
    <w:pPr>
      <w:numPr>
        <w:numId w:val="9"/>
      </w:numPr>
    </w:pPr>
  </w:style>
  <w:style w:type="paragraph" w:styleId="ListContinue">
    <w:name w:val="List Continue"/>
    <w:basedOn w:val="Normal"/>
    <w:rsid w:val="001C280A"/>
    <w:pPr>
      <w:spacing w:before="40" w:after="60"/>
      <w:ind w:left="1559"/>
    </w:pPr>
  </w:style>
  <w:style w:type="paragraph" w:styleId="ListContinue3">
    <w:name w:val="List Continue 3"/>
    <w:basedOn w:val="Normal"/>
    <w:semiHidden/>
    <w:rsid w:val="001C280A"/>
    <w:pPr>
      <w:ind w:left="849"/>
    </w:pPr>
  </w:style>
  <w:style w:type="paragraph" w:styleId="ListContinue4">
    <w:name w:val="List Continue 4"/>
    <w:basedOn w:val="Normal"/>
    <w:semiHidden/>
    <w:rsid w:val="001C280A"/>
    <w:pPr>
      <w:ind w:left="1132"/>
    </w:pPr>
  </w:style>
  <w:style w:type="paragraph" w:styleId="ListContinue5">
    <w:name w:val="List Continue 5"/>
    <w:basedOn w:val="Normal"/>
    <w:semiHidden/>
    <w:rsid w:val="001C280A"/>
    <w:pPr>
      <w:ind w:left="1415"/>
    </w:pPr>
  </w:style>
  <w:style w:type="paragraph" w:styleId="ListNumber">
    <w:name w:val="List Number"/>
    <w:basedOn w:val="Normal"/>
    <w:rsid w:val="001C280A"/>
    <w:pPr>
      <w:numPr>
        <w:numId w:val="10"/>
      </w:numPr>
      <w:spacing w:after="60"/>
    </w:pPr>
  </w:style>
  <w:style w:type="paragraph" w:styleId="ListNumber3">
    <w:name w:val="List Number 3"/>
    <w:basedOn w:val="Normal"/>
    <w:semiHidden/>
    <w:rsid w:val="001C280A"/>
    <w:pPr>
      <w:numPr>
        <w:numId w:val="11"/>
      </w:numPr>
    </w:pPr>
  </w:style>
  <w:style w:type="paragraph" w:styleId="ListNumber4">
    <w:name w:val="List Number 4"/>
    <w:basedOn w:val="Normal"/>
    <w:semiHidden/>
    <w:rsid w:val="001C280A"/>
    <w:pPr>
      <w:numPr>
        <w:numId w:val="12"/>
      </w:numPr>
    </w:pPr>
  </w:style>
  <w:style w:type="paragraph" w:styleId="ListNumber5">
    <w:name w:val="List Number 5"/>
    <w:basedOn w:val="Normal"/>
    <w:semiHidden/>
    <w:rsid w:val="001C280A"/>
    <w:pPr>
      <w:numPr>
        <w:numId w:val="13"/>
      </w:numPr>
    </w:pPr>
  </w:style>
  <w:style w:type="paragraph" w:styleId="MessageHeader">
    <w:name w:val="Message Header"/>
    <w:basedOn w:val="Normal"/>
    <w:semiHidden/>
    <w:rsid w:val="001C280A"/>
    <w:pPr>
      <w:pBdr>
        <w:top w:val="single" w:sz="6" w:space="1" w:color="auto"/>
        <w:left w:val="single" w:sz="6" w:space="1" w:color="auto"/>
        <w:bottom w:val="single" w:sz="6" w:space="1" w:color="auto"/>
        <w:right w:val="single" w:sz="6" w:space="1" w:color="auto"/>
      </w:pBdr>
      <w:shd w:val="pct20" w:color="auto" w:fill="auto"/>
      <w:ind w:hanging="1134"/>
    </w:pPr>
    <w:rPr>
      <w:rFonts w:cs="Arial"/>
      <w:sz w:val="24"/>
      <w:szCs w:val="24"/>
    </w:rPr>
  </w:style>
  <w:style w:type="paragraph" w:styleId="NormalWeb">
    <w:name w:val="Normal (Web)"/>
    <w:basedOn w:val="Normal"/>
    <w:uiPriority w:val="99"/>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paragraph" w:styleId="Salutation">
    <w:name w:val="Salutation"/>
    <w:basedOn w:val="Normal"/>
    <w:next w:val="Normal"/>
    <w:semiHidden/>
    <w:rsid w:val="001C280A"/>
  </w:style>
  <w:style w:type="paragraph" w:styleId="Signature">
    <w:name w:val="Signature"/>
    <w:basedOn w:val="Normal"/>
    <w:semiHidden/>
    <w:rsid w:val="001C280A"/>
    <w:pPr>
      <w:ind w:left="4252"/>
    </w:pPr>
  </w:style>
  <w:style w:type="table" w:styleId="Table3Deffects1">
    <w:name w:val="Table 3D effects 1"/>
    <w:basedOn w:val="TableNormal"/>
    <w:semiHidden/>
    <w:rsid w:val="001C280A"/>
    <w:pPr>
      <w:suppressAutoHyphens/>
      <w:spacing w:before="120" w:after="120"/>
      <w:ind w:left="85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280A"/>
    <w:pPr>
      <w:suppressAutoHyphens/>
      <w:spacing w:before="120" w:after="120"/>
      <w:ind w:left="85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280A"/>
    <w:pPr>
      <w:suppressAutoHyphens/>
      <w:spacing w:before="120" w:after="120"/>
      <w:ind w:left="851"/>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280A"/>
    <w:pPr>
      <w:suppressAutoHyphens/>
      <w:spacing w:before="120" w:after="120"/>
      <w:ind w:left="85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uiPriority w:val="59"/>
    <w:rsid w:val="009462D4"/>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C280A"/>
    <w:pPr>
      <w:suppressAutoHyphens/>
      <w:spacing w:before="120" w:after="120"/>
      <w:ind w:left="85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ascii="Arial" w:eastAsia="Times New Roman" w:hAnsi="Arial"/>
      <w:sz w:val="16"/>
      <w:lang w:val="en-GB"/>
    </w:rPr>
  </w:style>
  <w:style w:type="paragraph" w:styleId="NoteHeading">
    <w:name w:val="Note Heading"/>
    <w:basedOn w:val="Normal"/>
    <w:next w:val="Normal"/>
    <w:semiHidden/>
    <w:rsid w:val="001C280A"/>
  </w:style>
  <w:style w:type="paragraph" w:customStyle="1" w:styleId="Heading">
    <w:name w:val="Heading"/>
    <w:basedOn w:val="Heading1"/>
    <w:rsid w:val="00C050ED"/>
    <w:pPr>
      <w:numPr>
        <w:numId w:val="0"/>
      </w:numPr>
    </w:pPr>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customStyle="1" w:styleId="TableTextinstrucpages">
    <w:name w:val="Table Text instruc pages"/>
    <w:basedOn w:val="Normal"/>
    <w:rsid w:val="00794E29"/>
    <w:pPr>
      <w:spacing w:before="60" w:after="40"/>
      <w:ind w:left="0"/>
    </w:pPr>
    <w:rPr>
      <w:iCs/>
    </w:rPr>
  </w:style>
  <w:style w:type="paragraph" w:customStyle="1" w:styleId="TableTextsmall">
    <w:name w:val="Table Text small"/>
    <w:basedOn w:val="Normal"/>
    <w:rsid w:val="00E6554C"/>
    <w:pPr>
      <w:spacing w:before="60" w:after="40"/>
      <w:ind w:left="-79" w:right="-79"/>
    </w:pPr>
    <w:rPr>
      <w:sz w:val="16"/>
    </w:rPr>
  </w:style>
  <w:style w:type="paragraph" w:customStyle="1" w:styleId="InstructionsBlockLabel">
    <w:name w:val="Instructions Block Label"/>
    <w:basedOn w:val="BlockLabel"/>
    <w:qFormat/>
    <w:rsid w:val="009D23B9"/>
    <w:rPr>
      <w:color w:val="0000FF"/>
    </w:rPr>
  </w:style>
  <w:style w:type="paragraph" w:customStyle="1" w:styleId="InstructionsHeading1">
    <w:name w:val="Instructions Heading 1"/>
    <w:next w:val="InstructionsNormal"/>
    <w:rsid w:val="00215351"/>
    <w:pPr>
      <w:keepNext/>
      <w:pageBreakBefore/>
      <w:numPr>
        <w:numId w:val="23"/>
      </w:numPr>
      <w:spacing w:before="240"/>
    </w:pPr>
    <w:rPr>
      <w:rFonts w:ascii="Arial" w:hAnsi="Arial"/>
      <w:b/>
      <w:color w:val="0000FF"/>
      <w:kern w:val="28"/>
      <w:sz w:val="40"/>
      <w:lang w:val="en-GB"/>
    </w:rPr>
  </w:style>
  <w:style w:type="paragraph" w:customStyle="1" w:styleId="InstructionsHeading2">
    <w:name w:val="Instructions Heading 2"/>
    <w:basedOn w:val="InstructionsHeading1"/>
    <w:next w:val="InstructionsNormal"/>
    <w:rsid w:val="00215351"/>
    <w:pPr>
      <w:pageBreakBefore w:val="0"/>
      <w:numPr>
        <w:ilvl w:val="1"/>
      </w:numPr>
      <w:spacing w:before="180" w:after="60"/>
      <w:outlineLvl w:val="1"/>
    </w:pPr>
    <w:rPr>
      <w:sz w:val="34"/>
    </w:rPr>
  </w:style>
  <w:style w:type="paragraph" w:customStyle="1" w:styleId="InstructionsListContinue">
    <w:name w:val="Instructions List Continue"/>
    <w:basedOn w:val="ListContinue"/>
    <w:qFormat/>
    <w:rsid w:val="009D23B9"/>
    <w:rPr>
      <w:color w:val="0000FF"/>
    </w:rPr>
  </w:style>
  <w:style w:type="paragraph" w:customStyle="1" w:styleId="InstructionsListContinue2">
    <w:name w:val="Instructions List Continue 2"/>
    <w:basedOn w:val="ListContinue2"/>
    <w:qFormat/>
    <w:rsid w:val="009D23B9"/>
    <w:rPr>
      <w:color w:val="0000FF"/>
    </w:rPr>
  </w:style>
  <w:style w:type="paragraph" w:customStyle="1" w:styleId="InstructionsListNumber">
    <w:name w:val="Instructions List Number"/>
    <w:rsid w:val="006563CE"/>
    <w:pPr>
      <w:numPr>
        <w:numId w:val="20"/>
      </w:numPr>
      <w:tabs>
        <w:tab w:val="left" w:pos="1559"/>
      </w:tabs>
      <w:suppressAutoHyphens/>
      <w:spacing w:before="120" w:after="60"/>
      <w:ind w:left="1559" w:hanging="425"/>
    </w:pPr>
    <w:rPr>
      <w:rFonts w:ascii="Arial" w:hAnsi="Arial"/>
      <w:color w:val="0000FF"/>
      <w:sz w:val="19"/>
      <w:lang w:val="en-GB"/>
    </w:rPr>
  </w:style>
  <w:style w:type="paragraph" w:customStyle="1" w:styleId="InstructionsListNumber2">
    <w:name w:val="Instructions List Number 2"/>
    <w:basedOn w:val="ListNumber2"/>
    <w:rsid w:val="006563CE"/>
    <w:pPr>
      <w:numPr>
        <w:numId w:val="22"/>
      </w:numPr>
      <w:tabs>
        <w:tab w:val="left" w:pos="1985"/>
      </w:tabs>
      <w:ind w:left="1984" w:hanging="425"/>
    </w:pPr>
    <w:rPr>
      <w:color w:val="0000FF"/>
    </w:rPr>
  </w:style>
  <w:style w:type="paragraph" w:customStyle="1" w:styleId="InstructionsNormal">
    <w:name w:val="Instructions Normal"/>
    <w:basedOn w:val="Normal"/>
    <w:qFormat/>
    <w:rsid w:val="009D23B9"/>
    <w:rPr>
      <w:color w:val="0000FF"/>
    </w:rPr>
  </w:style>
  <w:style w:type="paragraph" w:customStyle="1" w:styleId="InstructionsLabel">
    <w:name w:val="Instructions Label"/>
    <w:basedOn w:val="Label"/>
    <w:qFormat/>
    <w:rsid w:val="009D23B9"/>
    <w:rPr>
      <w:color w:val="0000FF"/>
    </w:rPr>
  </w:style>
  <w:style w:type="paragraph" w:styleId="ListParagraph">
    <w:name w:val="List Paragraph"/>
    <w:basedOn w:val="Normal"/>
    <w:uiPriority w:val="34"/>
    <w:qFormat/>
    <w:rsid w:val="007A51C0"/>
    <w:pPr>
      <w:ind w:left="720"/>
      <w:contextualSpacing/>
    </w:pPr>
  </w:style>
  <w:style w:type="paragraph" w:customStyle="1" w:styleId="InstructionsTableHeading">
    <w:name w:val="Instructions Table Heading"/>
    <w:basedOn w:val="TableHeading"/>
    <w:rsid w:val="00DA5F03"/>
    <w:rPr>
      <w:color w:val="0000FF"/>
    </w:rPr>
  </w:style>
  <w:style w:type="paragraph" w:customStyle="1" w:styleId="InstructionsTableText">
    <w:name w:val="Instructions Table Text"/>
    <w:basedOn w:val="TableText"/>
    <w:qFormat/>
    <w:rsid w:val="00DA5F03"/>
    <w:rPr>
      <w:color w:val="0000FF"/>
    </w:rPr>
  </w:style>
  <w:style w:type="paragraph" w:customStyle="1" w:styleId="InstructionsTip">
    <w:name w:val="Instructions Tip"/>
    <w:basedOn w:val="Tip"/>
    <w:qFormat/>
    <w:rsid w:val="00DA5F03"/>
    <w:pPr>
      <w:pBdr>
        <w:top w:val="single" w:sz="2" w:space="4" w:color="0000FF"/>
        <w:bottom w:val="single" w:sz="2" w:space="4" w:color="0000FF"/>
      </w:pBdr>
    </w:pPr>
    <w:rPr>
      <w:color w:val="0000FF"/>
    </w:rPr>
  </w:style>
  <w:style w:type="paragraph" w:customStyle="1" w:styleId="InstructionsWarning">
    <w:name w:val="Instructions Warning"/>
    <w:basedOn w:val="Warning"/>
    <w:rsid w:val="00DA5F03"/>
    <w:pPr>
      <w:pBdr>
        <w:top w:val="single" w:sz="2" w:space="4" w:color="0000FF"/>
        <w:bottom w:val="single" w:sz="2" w:space="4" w:color="0000FF"/>
      </w:pBdr>
    </w:pPr>
    <w:rPr>
      <w:b/>
      <w:color w:val="0000FF"/>
    </w:rPr>
  </w:style>
  <w:style w:type="paragraph" w:customStyle="1" w:styleId="InstructionsSyntax">
    <w:name w:val="Instructions Syntax"/>
    <w:basedOn w:val="Normal"/>
    <w:rsid w:val="00DA5F03"/>
    <w:pPr>
      <w:ind w:left="0"/>
    </w:pPr>
    <w:rPr>
      <w:iCs/>
      <w:color w:val="0000FF"/>
      <w:lang w:eastAsia="en-GB"/>
    </w:rPr>
  </w:style>
  <w:style w:type="paragraph" w:customStyle="1" w:styleId="InstructionsListBullet2">
    <w:name w:val="Instructions List Bullet 2"/>
    <w:basedOn w:val="ListBullet2"/>
    <w:rsid w:val="005F2A35"/>
    <w:rPr>
      <w:color w:val="0000FF"/>
    </w:rPr>
  </w:style>
  <w:style w:type="paragraph" w:customStyle="1" w:styleId="InstructionsNote">
    <w:name w:val="Instructions Note"/>
    <w:basedOn w:val="Note"/>
    <w:qFormat/>
    <w:rsid w:val="005C4C2A"/>
    <w:pPr>
      <w:pBdr>
        <w:top w:val="single" w:sz="2" w:space="4" w:color="0000FF"/>
        <w:bottom w:val="single" w:sz="2" w:space="4" w:color="0000FF"/>
      </w:pBdr>
    </w:pPr>
    <w:rPr>
      <w:color w:val="0000FF"/>
    </w:rPr>
  </w:style>
  <w:style w:type="paragraph" w:customStyle="1" w:styleId="InstructionsBeforeList">
    <w:name w:val="Instructions Before List"/>
    <w:basedOn w:val="BeforeList"/>
    <w:qFormat/>
    <w:rsid w:val="005C4C2A"/>
    <w:rPr>
      <w:color w:val="0000FF"/>
    </w:rPr>
  </w:style>
  <w:style w:type="paragraph" w:customStyle="1" w:styleId="InstructionsListBullet">
    <w:name w:val="Instructions List Bullet"/>
    <w:basedOn w:val="ListBullet"/>
    <w:qFormat/>
    <w:rsid w:val="005C4C2A"/>
    <w:rPr>
      <w:color w:val="0000FF"/>
    </w:rPr>
  </w:style>
  <w:style w:type="paragraph" w:customStyle="1" w:styleId="InstructionsNormal2">
    <w:name w:val="Instructions Normal 2"/>
    <w:basedOn w:val="InstructionsNormal"/>
    <w:rsid w:val="006853A8"/>
    <w:pPr>
      <w:spacing w:before="80" w:after="80"/>
      <w:ind w:left="0"/>
    </w:pPr>
  </w:style>
  <w:style w:type="table" w:customStyle="1" w:styleId="InstructionsTableGrid">
    <w:name w:val="Instructions Table Grid"/>
    <w:basedOn w:val="TableGrid"/>
    <w:uiPriority w:val="99"/>
    <w:rsid w:val="00B147B7"/>
    <w:rPr>
      <w:color w:val="0000FF"/>
    </w:rPr>
    <w:tblPr>
      <w:tblInd w:w="11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Copyrightheading">
    <w:name w:val="Copyright heading"/>
    <w:basedOn w:val="Normal"/>
    <w:next w:val="Normal"/>
    <w:rsid w:val="00E70120"/>
    <w:pPr>
      <w:tabs>
        <w:tab w:val="left" w:pos="0"/>
      </w:tabs>
      <w:suppressAutoHyphens w:val="0"/>
      <w:spacing w:before="180" w:after="60" w:line="288" w:lineRule="auto"/>
      <w:ind w:left="0"/>
      <w:jc w:val="both"/>
    </w:pPr>
    <w:rPr>
      <w:rFonts w:eastAsia="Times New Roman"/>
      <w:b/>
      <w:kern w:val="28"/>
    </w:rPr>
  </w:style>
  <w:style w:type="paragraph" w:customStyle="1" w:styleId="Copyrighttext">
    <w:name w:val="Copyright text"/>
    <w:rsid w:val="00E70120"/>
    <w:pPr>
      <w:spacing w:before="40" w:after="80"/>
    </w:pPr>
    <w:rPr>
      <w:rFonts w:ascii="Arial" w:hAnsi="Arial"/>
      <w:noProof/>
      <w:sz w:val="18"/>
      <w:szCs w:val="19"/>
      <w:lang w:val="en-GB"/>
    </w:rPr>
  </w:style>
  <w:style w:type="table" w:customStyle="1" w:styleId="TableGridNoBorder">
    <w:name w:val="Table Grid No Border"/>
    <w:basedOn w:val="TableGrid"/>
    <w:uiPriority w:val="99"/>
    <w:rsid w:val="004816F7"/>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B1188A"/>
  </w:style>
  <w:style w:type="paragraph" w:styleId="BodyText">
    <w:name w:val="Body Text"/>
    <w:basedOn w:val="Normal"/>
    <w:link w:val="BodyTextChar"/>
    <w:semiHidden/>
    <w:rsid w:val="00B1188A"/>
  </w:style>
  <w:style w:type="character" w:customStyle="1" w:styleId="BodyTextChar">
    <w:name w:val="Body Text Char"/>
    <w:basedOn w:val="DefaultParagraphFont"/>
    <w:link w:val="BodyText"/>
    <w:semiHidden/>
    <w:rsid w:val="00B1188A"/>
    <w:rPr>
      <w:rFonts w:ascii="Arial" w:hAnsi="Arial"/>
      <w:sz w:val="19"/>
      <w:lang w:val="en-GB"/>
    </w:rPr>
  </w:style>
  <w:style w:type="paragraph" w:styleId="BodyText2">
    <w:name w:val="Body Text 2"/>
    <w:basedOn w:val="Normal"/>
    <w:link w:val="BodyText2Char"/>
    <w:semiHidden/>
    <w:rsid w:val="00B1188A"/>
    <w:pPr>
      <w:spacing w:line="480" w:lineRule="auto"/>
    </w:pPr>
  </w:style>
  <w:style w:type="character" w:customStyle="1" w:styleId="BodyText2Char">
    <w:name w:val="Body Text 2 Char"/>
    <w:basedOn w:val="DefaultParagraphFont"/>
    <w:link w:val="BodyText2"/>
    <w:semiHidden/>
    <w:rsid w:val="00B1188A"/>
    <w:rPr>
      <w:rFonts w:ascii="Arial" w:hAnsi="Arial"/>
      <w:sz w:val="19"/>
      <w:lang w:val="en-GB"/>
    </w:rPr>
  </w:style>
  <w:style w:type="paragraph" w:styleId="BodyText3">
    <w:name w:val="Body Text 3"/>
    <w:basedOn w:val="Normal"/>
    <w:link w:val="BodyText3Char"/>
    <w:semiHidden/>
    <w:rsid w:val="00B1188A"/>
    <w:rPr>
      <w:sz w:val="16"/>
      <w:szCs w:val="16"/>
    </w:rPr>
  </w:style>
  <w:style w:type="character" w:customStyle="1" w:styleId="BodyText3Char">
    <w:name w:val="Body Text 3 Char"/>
    <w:basedOn w:val="DefaultParagraphFont"/>
    <w:link w:val="BodyText3"/>
    <w:semiHidden/>
    <w:rsid w:val="00B1188A"/>
    <w:rPr>
      <w:rFonts w:ascii="Arial" w:hAnsi="Arial"/>
      <w:sz w:val="16"/>
      <w:szCs w:val="16"/>
      <w:lang w:val="en-GB"/>
    </w:rPr>
  </w:style>
  <w:style w:type="paragraph" w:styleId="BodyTextFirstIndent">
    <w:name w:val="Body Text First Indent"/>
    <w:basedOn w:val="BodyText"/>
    <w:link w:val="BodyTextFirstIndentChar"/>
    <w:semiHidden/>
    <w:rsid w:val="00B1188A"/>
    <w:pPr>
      <w:ind w:firstLine="360"/>
    </w:pPr>
  </w:style>
  <w:style w:type="character" w:customStyle="1" w:styleId="BodyTextFirstIndentChar">
    <w:name w:val="Body Text First Indent Char"/>
    <w:basedOn w:val="BodyTextChar"/>
    <w:link w:val="BodyTextFirstIndent"/>
    <w:semiHidden/>
    <w:rsid w:val="00B1188A"/>
    <w:rPr>
      <w:rFonts w:ascii="Arial" w:hAnsi="Arial"/>
      <w:sz w:val="19"/>
      <w:lang w:val="en-GB"/>
    </w:rPr>
  </w:style>
  <w:style w:type="paragraph" w:styleId="BodyTextIndent">
    <w:name w:val="Body Text Indent"/>
    <w:basedOn w:val="Normal"/>
    <w:link w:val="BodyTextIndentChar"/>
    <w:semiHidden/>
    <w:rsid w:val="00B1188A"/>
    <w:pPr>
      <w:ind w:left="283"/>
    </w:pPr>
  </w:style>
  <w:style w:type="character" w:customStyle="1" w:styleId="BodyTextIndentChar">
    <w:name w:val="Body Text Indent Char"/>
    <w:basedOn w:val="DefaultParagraphFont"/>
    <w:link w:val="BodyTextIndent"/>
    <w:semiHidden/>
    <w:rsid w:val="00B1188A"/>
    <w:rPr>
      <w:rFonts w:ascii="Arial" w:hAnsi="Arial"/>
      <w:sz w:val="19"/>
      <w:lang w:val="en-GB"/>
    </w:rPr>
  </w:style>
  <w:style w:type="paragraph" w:styleId="BodyTextFirstIndent2">
    <w:name w:val="Body Text First Indent 2"/>
    <w:basedOn w:val="BodyTextIndent"/>
    <w:link w:val="BodyTextFirstIndent2Char"/>
    <w:semiHidden/>
    <w:rsid w:val="00B1188A"/>
    <w:pPr>
      <w:ind w:left="360" w:firstLine="360"/>
    </w:pPr>
  </w:style>
  <w:style w:type="character" w:customStyle="1" w:styleId="BodyTextFirstIndent2Char">
    <w:name w:val="Body Text First Indent 2 Char"/>
    <w:basedOn w:val="BodyTextIndentChar"/>
    <w:link w:val="BodyTextFirstIndent2"/>
    <w:semiHidden/>
    <w:rsid w:val="00B1188A"/>
    <w:rPr>
      <w:rFonts w:ascii="Arial" w:hAnsi="Arial"/>
      <w:sz w:val="19"/>
      <w:lang w:val="en-GB"/>
    </w:rPr>
  </w:style>
  <w:style w:type="paragraph" w:styleId="BodyTextIndent2">
    <w:name w:val="Body Text Indent 2"/>
    <w:basedOn w:val="Normal"/>
    <w:link w:val="BodyTextIndent2Char"/>
    <w:semiHidden/>
    <w:rsid w:val="00B1188A"/>
    <w:pPr>
      <w:spacing w:line="480" w:lineRule="auto"/>
      <w:ind w:left="283"/>
    </w:pPr>
  </w:style>
  <w:style w:type="character" w:customStyle="1" w:styleId="BodyTextIndent2Char">
    <w:name w:val="Body Text Indent 2 Char"/>
    <w:basedOn w:val="DefaultParagraphFont"/>
    <w:link w:val="BodyTextIndent2"/>
    <w:semiHidden/>
    <w:rsid w:val="00B1188A"/>
    <w:rPr>
      <w:rFonts w:ascii="Arial" w:hAnsi="Arial"/>
      <w:sz w:val="19"/>
      <w:lang w:val="en-GB"/>
    </w:rPr>
  </w:style>
  <w:style w:type="paragraph" w:styleId="BodyTextIndent3">
    <w:name w:val="Body Text Indent 3"/>
    <w:basedOn w:val="Normal"/>
    <w:link w:val="BodyTextIndent3Char"/>
    <w:semiHidden/>
    <w:rsid w:val="00B1188A"/>
    <w:pPr>
      <w:ind w:left="283"/>
    </w:pPr>
    <w:rPr>
      <w:sz w:val="16"/>
      <w:szCs w:val="16"/>
    </w:rPr>
  </w:style>
  <w:style w:type="character" w:customStyle="1" w:styleId="BodyTextIndent3Char">
    <w:name w:val="Body Text Indent 3 Char"/>
    <w:basedOn w:val="DefaultParagraphFont"/>
    <w:link w:val="BodyTextIndent3"/>
    <w:semiHidden/>
    <w:rsid w:val="00B1188A"/>
    <w:rPr>
      <w:rFonts w:ascii="Arial" w:hAnsi="Arial"/>
      <w:sz w:val="16"/>
      <w:szCs w:val="16"/>
      <w:lang w:val="en-GB"/>
    </w:rPr>
  </w:style>
  <w:style w:type="paragraph" w:styleId="Index3">
    <w:name w:val="index 3"/>
    <w:basedOn w:val="Normal"/>
    <w:next w:val="Normal"/>
    <w:autoRedefine/>
    <w:semiHidden/>
    <w:rsid w:val="00B1188A"/>
    <w:pPr>
      <w:spacing w:before="0" w:after="0"/>
      <w:ind w:left="570" w:hanging="190"/>
    </w:pPr>
  </w:style>
  <w:style w:type="paragraph" w:styleId="Index4">
    <w:name w:val="index 4"/>
    <w:basedOn w:val="Normal"/>
    <w:next w:val="Normal"/>
    <w:autoRedefine/>
    <w:semiHidden/>
    <w:rsid w:val="00B1188A"/>
    <w:pPr>
      <w:spacing w:before="0" w:after="0"/>
      <w:ind w:left="760" w:hanging="190"/>
    </w:pPr>
  </w:style>
  <w:style w:type="paragraph" w:styleId="Index5">
    <w:name w:val="index 5"/>
    <w:basedOn w:val="Normal"/>
    <w:next w:val="Normal"/>
    <w:autoRedefine/>
    <w:semiHidden/>
    <w:rsid w:val="00B1188A"/>
    <w:pPr>
      <w:spacing w:before="0" w:after="0"/>
      <w:ind w:left="950" w:hanging="190"/>
    </w:pPr>
  </w:style>
  <w:style w:type="paragraph" w:styleId="Index6">
    <w:name w:val="index 6"/>
    <w:basedOn w:val="Normal"/>
    <w:next w:val="Normal"/>
    <w:autoRedefine/>
    <w:semiHidden/>
    <w:rsid w:val="00B1188A"/>
    <w:pPr>
      <w:spacing w:before="0" w:after="0"/>
      <w:ind w:left="1140" w:hanging="190"/>
    </w:pPr>
  </w:style>
  <w:style w:type="paragraph" w:styleId="Index7">
    <w:name w:val="index 7"/>
    <w:basedOn w:val="Normal"/>
    <w:next w:val="Normal"/>
    <w:autoRedefine/>
    <w:semiHidden/>
    <w:rsid w:val="00B1188A"/>
    <w:pPr>
      <w:spacing w:before="0" w:after="0"/>
      <w:ind w:left="1330" w:hanging="190"/>
    </w:pPr>
  </w:style>
  <w:style w:type="paragraph" w:styleId="Index8">
    <w:name w:val="index 8"/>
    <w:basedOn w:val="Normal"/>
    <w:next w:val="Normal"/>
    <w:autoRedefine/>
    <w:semiHidden/>
    <w:rsid w:val="00B1188A"/>
    <w:pPr>
      <w:spacing w:before="0" w:after="0"/>
      <w:ind w:left="1520" w:hanging="190"/>
    </w:pPr>
  </w:style>
  <w:style w:type="paragraph" w:styleId="Index9">
    <w:name w:val="index 9"/>
    <w:basedOn w:val="Normal"/>
    <w:next w:val="Normal"/>
    <w:autoRedefine/>
    <w:semiHidden/>
    <w:rsid w:val="00B1188A"/>
    <w:pPr>
      <w:spacing w:before="0" w:after="0"/>
      <w:ind w:left="1710" w:hanging="190"/>
    </w:pPr>
  </w:style>
  <w:style w:type="paragraph" w:styleId="IntenseQuote">
    <w:name w:val="Intense Quote"/>
    <w:basedOn w:val="Normal"/>
    <w:next w:val="Normal"/>
    <w:link w:val="IntenseQuoteChar"/>
    <w:uiPriority w:val="30"/>
    <w:semiHidden/>
    <w:qFormat/>
    <w:rsid w:val="00B118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1188A"/>
    <w:rPr>
      <w:rFonts w:ascii="Arial" w:hAnsi="Arial"/>
      <w:b/>
      <w:bCs/>
      <w:i/>
      <w:iCs/>
      <w:color w:val="4F81BD" w:themeColor="accent1"/>
      <w:sz w:val="19"/>
      <w:lang w:val="en-GB"/>
    </w:rPr>
  </w:style>
  <w:style w:type="paragraph" w:styleId="NoSpacing">
    <w:name w:val="No Spacing"/>
    <w:uiPriority w:val="1"/>
    <w:semiHidden/>
    <w:qFormat/>
    <w:rsid w:val="00B1188A"/>
    <w:pPr>
      <w:suppressAutoHyphens/>
      <w:ind w:left="1134"/>
    </w:pPr>
    <w:rPr>
      <w:rFonts w:ascii="Arial" w:hAnsi="Arial"/>
      <w:sz w:val="19"/>
      <w:lang w:val="en-GB"/>
    </w:rPr>
  </w:style>
  <w:style w:type="paragraph" w:styleId="Quote">
    <w:name w:val="Quote"/>
    <w:basedOn w:val="Normal"/>
    <w:next w:val="Normal"/>
    <w:link w:val="QuoteChar"/>
    <w:uiPriority w:val="29"/>
    <w:semiHidden/>
    <w:qFormat/>
    <w:rsid w:val="00B1188A"/>
    <w:rPr>
      <w:i/>
      <w:iCs/>
      <w:color w:val="000000" w:themeColor="text1"/>
    </w:rPr>
  </w:style>
  <w:style w:type="character" w:customStyle="1" w:styleId="QuoteChar">
    <w:name w:val="Quote Char"/>
    <w:basedOn w:val="DefaultParagraphFont"/>
    <w:link w:val="Quote"/>
    <w:uiPriority w:val="29"/>
    <w:semiHidden/>
    <w:rsid w:val="00B1188A"/>
    <w:rPr>
      <w:rFonts w:ascii="Arial" w:hAnsi="Arial"/>
      <w:i/>
      <w:iCs/>
      <w:color w:val="000000" w:themeColor="text1"/>
      <w:sz w:val="19"/>
      <w:lang w:val="en-GB"/>
    </w:rPr>
  </w:style>
  <w:style w:type="paragraph" w:styleId="Subtitle">
    <w:name w:val="Subtitle"/>
    <w:basedOn w:val="Normal"/>
    <w:next w:val="Normal"/>
    <w:link w:val="SubtitleChar"/>
    <w:semiHidden/>
    <w:qFormat/>
    <w:rsid w:val="00B1188A"/>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B1188A"/>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semiHidden/>
    <w:rsid w:val="00B1188A"/>
    <w:pPr>
      <w:spacing w:after="0"/>
      <w:ind w:left="190" w:hanging="190"/>
    </w:pPr>
  </w:style>
  <w:style w:type="paragraph" w:styleId="TableofFigures">
    <w:name w:val="table of figures"/>
    <w:basedOn w:val="Normal"/>
    <w:next w:val="Normal"/>
    <w:semiHidden/>
    <w:rsid w:val="00B1188A"/>
    <w:pPr>
      <w:spacing w:after="0"/>
      <w:ind w:left="0"/>
    </w:pPr>
  </w:style>
  <w:style w:type="paragraph" w:styleId="Title">
    <w:name w:val="Title"/>
    <w:basedOn w:val="Normal"/>
    <w:next w:val="Normal"/>
    <w:link w:val="TitleChar"/>
    <w:qFormat/>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188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customStyle="1" w:styleId="mynormal">
    <w:name w:val="mynormal"/>
    <w:basedOn w:val="Normal"/>
    <w:link w:val="mynormalChar"/>
    <w:qFormat/>
    <w:rsid w:val="003820EC"/>
    <w:pPr>
      <w:suppressAutoHyphens w:val="0"/>
      <w:spacing w:after="0"/>
      <w:ind w:left="900"/>
    </w:pPr>
    <w:rPr>
      <w:rFonts w:eastAsiaTheme="minorHAnsi" w:cstheme="minorBidi"/>
      <w:szCs w:val="22"/>
    </w:rPr>
  </w:style>
  <w:style w:type="character" w:customStyle="1" w:styleId="mynormalChar">
    <w:name w:val="mynormal Char"/>
    <w:basedOn w:val="DefaultParagraphFont"/>
    <w:link w:val="mynormal"/>
    <w:rsid w:val="003820EC"/>
    <w:rPr>
      <w:rFonts w:ascii="Arial" w:eastAsiaTheme="minorHAnsi" w:hAnsi="Arial" w:cstheme="minorBidi"/>
      <w:szCs w:val="22"/>
      <w:lang w:val="en-GB"/>
    </w:rPr>
  </w:style>
  <w:style w:type="character" w:customStyle="1" w:styleId="FooterChar">
    <w:name w:val="Footer Char"/>
    <w:basedOn w:val="DefaultParagraphFont"/>
    <w:link w:val="Footer"/>
    <w:uiPriority w:val="99"/>
    <w:rsid w:val="00DE4A03"/>
    <w:rPr>
      <w:rFonts w:ascii="Arial" w:hAnsi="Arial"/>
      <w:sz w:val="19"/>
      <w:lang w:val="en-GB"/>
    </w:rPr>
  </w:style>
  <w:style w:type="paragraph" w:customStyle="1" w:styleId="Default">
    <w:name w:val="Default"/>
    <w:rsid w:val="00A67FDB"/>
    <w:pPr>
      <w:autoSpaceDE w:val="0"/>
      <w:autoSpaceDN w:val="0"/>
      <w:adjustRightInd w:val="0"/>
    </w:pPr>
    <w:rPr>
      <w:rFonts w:ascii="Times New Roman" w:hAnsi="Times New Roman"/>
      <w:color w:val="000000"/>
      <w:sz w:val="24"/>
      <w:szCs w:val="24"/>
      <w:lang w:eastAsia="en-GB"/>
    </w:rPr>
  </w:style>
  <w:style w:type="character" w:customStyle="1" w:styleId="label1">
    <w:name w:val="label1"/>
    <w:basedOn w:val="DefaultParagraphFont"/>
    <w:rsid w:val="001A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2936">
      <w:bodyDiv w:val="1"/>
      <w:marLeft w:val="0"/>
      <w:marRight w:val="0"/>
      <w:marTop w:val="0"/>
      <w:marBottom w:val="0"/>
      <w:divBdr>
        <w:top w:val="none" w:sz="0" w:space="0" w:color="auto"/>
        <w:left w:val="none" w:sz="0" w:space="0" w:color="auto"/>
        <w:bottom w:val="none" w:sz="0" w:space="0" w:color="auto"/>
        <w:right w:val="none" w:sz="0" w:space="0" w:color="auto"/>
      </w:divBdr>
    </w:div>
    <w:div w:id="598877735">
      <w:bodyDiv w:val="1"/>
      <w:marLeft w:val="0"/>
      <w:marRight w:val="0"/>
      <w:marTop w:val="0"/>
      <w:marBottom w:val="0"/>
      <w:divBdr>
        <w:top w:val="none" w:sz="0" w:space="0" w:color="auto"/>
        <w:left w:val="none" w:sz="0" w:space="0" w:color="auto"/>
        <w:bottom w:val="none" w:sz="0" w:space="0" w:color="auto"/>
        <w:right w:val="none" w:sz="0" w:space="0" w:color="auto"/>
      </w:divBdr>
    </w:div>
    <w:div w:id="876090998">
      <w:bodyDiv w:val="1"/>
      <w:marLeft w:val="0"/>
      <w:marRight w:val="0"/>
      <w:marTop w:val="0"/>
      <w:marBottom w:val="0"/>
      <w:divBdr>
        <w:top w:val="none" w:sz="0" w:space="0" w:color="auto"/>
        <w:left w:val="none" w:sz="0" w:space="0" w:color="auto"/>
        <w:bottom w:val="none" w:sz="0" w:space="0" w:color="auto"/>
        <w:right w:val="none" w:sz="0" w:space="0" w:color="auto"/>
      </w:divBdr>
      <w:divsChild>
        <w:div w:id="807548429">
          <w:marLeft w:val="0"/>
          <w:marRight w:val="0"/>
          <w:marTop w:val="0"/>
          <w:marBottom w:val="0"/>
          <w:divBdr>
            <w:top w:val="outset" w:sz="8" w:space="0" w:color="auto"/>
            <w:left w:val="outset" w:sz="8" w:space="0" w:color="auto"/>
            <w:bottom w:val="outset" w:sz="8" w:space="0" w:color="auto"/>
            <w:right w:val="outset" w:sz="8" w:space="0" w:color="auto"/>
          </w:divBdr>
        </w:div>
      </w:divsChild>
    </w:div>
    <w:div w:id="949118476">
      <w:bodyDiv w:val="1"/>
      <w:marLeft w:val="0"/>
      <w:marRight w:val="0"/>
      <w:marTop w:val="0"/>
      <w:marBottom w:val="0"/>
      <w:divBdr>
        <w:top w:val="none" w:sz="0" w:space="0" w:color="auto"/>
        <w:left w:val="none" w:sz="0" w:space="0" w:color="auto"/>
        <w:bottom w:val="none" w:sz="0" w:space="0" w:color="auto"/>
        <w:right w:val="none" w:sz="0" w:space="0" w:color="auto"/>
      </w:divBdr>
    </w:div>
    <w:div w:id="962494393">
      <w:bodyDiv w:val="1"/>
      <w:marLeft w:val="0"/>
      <w:marRight w:val="0"/>
      <w:marTop w:val="0"/>
      <w:marBottom w:val="0"/>
      <w:divBdr>
        <w:top w:val="none" w:sz="0" w:space="0" w:color="auto"/>
        <w:left w:val="none" w:sz="0" w:space="0" w:color="auto"/>
        <w:bottom w:val="none" w:sz="0" w:space="0" w:color="auto"/>
        <w:right w:val="none" w:sz="0" w:space="0" w:color="auto"/>
      </w:divBdr>
    </w:div>
    <w:div w:id="1159885289">
      <w:bodyDiv w:val="1"/>
      <w:marLeft w:val="0"/>
      <w:marRight w:val="0"/>
      <w:marTop w:val="0"/>
      <w:marBottom w:val="0"/>
      <w:divBdr>
        <w:top w:val="none" w:sz="0" w:space="0" w:color="auto"/>
        <w:left w:val="none" w:sz="0" w:space="0" w:color="auto"/>
        <w:bottom w:val="none" w:sz="0" w:space="0" w:color="auto"/>
        <w:right w:val="none" w:sz="0" w:space="0" w:color="auto"/>
      </w:divBdr>
    </w:div>
    <w:div w:id="1171139712">
      <w:bodyDiv w:val="1"/>
      <w:marLeft w:val="0"/>
      <w:marRight w:val="0"/>
      <w:marTop w:val="0"/>
      <w:marBottom w:val="0"/>
      <w:divBdr>
        <w:top w:val="none" w:sz="0" w:space="0" w:color="auto"/>
        <w:left w:val="none" w:sz="0" w:space="0" w:color="auto"/>
        <w:bottom w:val="none" w:sz="0" w:space="0" w:color="auto"/>
        <w:right w:val="none" w:sz="0" w:space="0" w:color="auto"/>
      </w:divBdr>
      <w:divsChild>
        <w:div w:id="904527954">
          <w:marLeft w:val="0"/>
          <w:marRight w:val="0"/>
          <w:marTop w:val="0"/>
          <w:marBottom w:val="0"/>
          <w:divBdr>
            <w:top w:val="outset" w:sz="8" w:space="0" w:color="auto"/>
            <w:left w:val="outset" w:sz="8" w:space="0" w:color="auto"/>
            <w:bottom w:val="outset" w:sz="8" w:space="0" w:color="auto"/>
            <w:right w:val="outset" w:sz="8" w:space="0" w:color="auto"/>
          </w:divBdr>
        </w:div>
      </w:divsChild>
    </w:div>
    <w:div w:id="1239171275">
      <w:bodyDiv w:val="1"/>
      <w:marLeft w:val="0"/>
      <w:marRight w:val="0"/>
      <w:marTop w:val="0"/>
      <w:marBottom w:val="0"/>
      <w:divBdr>
        <w:top w:val="none" w:sz="0" w:space="0" w:color="auto"/>
        <w:left w:val="none" w:sz="0" w:space="0" w:color="auto"/>
        <w:bottom w:val="none" w:sz="0" w:space="0" w:color="auto"/>
        <w:right w:val="none" w:sz="0" w:space="0" w:color="auto"/>
      </w:divBdr>
    </w:div>
    <w:div w:id="1292370569">
      <w:bodyDiv w:val="1"/>
      <w:marLeft w:val="0"/>
      <w:marRight w:val="0"/>
      <w:marTop w:val="0"/>
      <w:marBottom w:val="0"/>
      <w:divBdr>
        <w:top w:val="none" w:sz="0" w:space="0" w:color="auto"/>
        <w:left w:val="none" w:sz="0" w:space="0" w:color="auto"/>
        <w:bottom w:val="none" w:sz="0" w:space="0" w:color="auto"/>
        <w:right w:val="none" w:sz="0" w:space="0" w:color="auto"/>
      </w:divBdr>
      <w:divsChild>
        <w:div w:id="542595904">
          <w:marLeft w:val="0"/>
          <w:marRight w:val="0"/>
          <w:marTop w:val="0"/>
          <w:marBottom w:val="0"/>
          <w:divBdr>
            <w:top w:val="outset" w:sz="8" w:space="0" w:color="auto"/>
            <w:left w:val="outset" w:sz="8" w:space="0" w:color="auto"/>
            <w:bottom w:val="outset" w:sz="8" w:space="0" w:color="auto"/>
            <w:right w:val="outset" w:sz="8" w:space="0" w:color="auto"/>
          </w:divBdr>
        </w:div>
      </w:divsChild>
    </w:div>
    <w:div w:id="1516462553">
      <w:bodyDiv w:val="1"/>
      <w:marLeft w:val="0"/>
      <w:marRight w:val="0"/>
      <w:marTop w:val="0"/>
      <w:marBottom w:val="0"/>
      <w:divBdr>
        <w:top w:val="none" w:sz="0" w:space="0" w:color="auto"/>
        <w:left w:val="none" w:sz="0" w:space="0" w:color="auto"/>
        <w:bottom w:val="none" w:sz="0" w:space="0" w:color="auto"/>
        <w:right w:val="none" w:sz="0" w:space="0" w:color="auto"/>
      </w:divBdr>
      <w:divsChild>
        <w:div w:id="1217622590">
          <w:marLeft w:val="0"/>
          <w:marRight w:val="0"/>
          <w:marTop w:val="0"/>
          <w:marBottom w:val="0"/>
          <w:divBdr>
            <w:top w:val="outset" w:sz="8" w:space="0" w:color="auto"/>
            <w:left w:val="outset" w:sz="8" w:space="0" w:color="auto"/>
            <w:bottom w:val="outset" w:sz="8" w:space="0" w:color="auto"/>
            <w:right w:val="outset" w:sz="8"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ksf.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E5F8-19CC-4949-8BD9-F254CB16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14</Pages>
  <Words>3417</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SWIFT Userdoc Template</vt:lpstr>
    </vt:vector>
  </TitlesOfParts>
  <Company>S.W.I.F.T. SCRL</Company>
  <LinksUpToDate>false</LinksUpToDate>
  <CharactersWithSpaces>23503</CharactersWithSpaces>
  <SharedDoc>false</SharedDoc>
  <HLinks>
    <vt:vector size="36" baseType="variant">
      <vt:variant>
        <vt:i4>4915200</vt:i4>
      </vt:variant>
      <vt:variant>
        <vt:i4>90</vt:i4>
      </vt:variant>
      <vt:variant>
        <vt:i4>0</vt:i4>
      </vt:variant>
      <vt:variant>
        <vt:i4>5</vt:i4>
      </vt:variant>
      <vt:variant>
        <vt:lpwstr>http://www.swift.com/</vt:lpwstr>
      </vt:variant>
      <vt:variant>
        <vt:lpwstr/>
      </vt:variant>
      <vt:variant>
        <vt:i4>524367</vt:i4>
      </vt:variant>
      <vt:variant>
        <vt:i4>87</vt:i4>
      </vt:variant>
      <vt:variant>
        <vt:i4>0</vt:i4>
      </vt:variant>
      <vt:variant>
        <vt:i4>5</vt:i4>
      </vt:variant>
      <vt:variant>
        <vt:lpwstr>https://livelink.swift.com/livelink/livelink.exe/9558441/Leg_Notices_200809.zip?func=doc.Fetch&amp;nodeid=9558441</vt:lpwstr>
      </vt:variant>
      <vt:variant>
        <vt:lpwstr/>
      </vt:variant>
      <vt:variant>
        <vt:i4>3014769</vt:i4>
      </vt:variant>
      <vt:variant>
        <vt:i4>84</vt:i4>
      </vt:variant>
      <vt:variant>
        <vt:i4>0</vt:i4>
      </vt:variant>
      <vt:variant>
        <vt:i4>5</vt:i4>
      </vt:variant>
      <vt:variant>
        <vt:lpwstr>http://folio.swift.com/</vt:lpwstr>
      </vt:variant>
      <vt:variant>
        <vt:lpwstr/>
      </vt:variant>
      <vt:variant>
        <vt:i4>2883656</vt:i4>
      </vt:variant>
      <vt:variant>
        <vt:i4>9</vt:i4>
      </vt:variant>
      <vt:variant>
        <vt:i4>0</vt:i4>
      </vt:variant>
      <vt:variant>
        <vt:i4>5</vt:i4>
      </vt:variant>
      <vt:variant>
        <vt:lpwstr>https://planet.swift.com/swift/cis/policies_and_documents/Asset_Classification_and_Ownership_Policy_POL_v1_01.pdf</vt:lpwstr>
      </vt:variant>
      <vt:variant>
        <vt:lpwstr/>
      </vt:variant>
      <vt:variant>
        <vt:i4>1507402</vt:i4>
      </vt:variant>
      <vt:variant>
        <vt:i4>6</vt:i4>
      </vt:variant>
      <vt:variant>
        <vt:i4>0</vt:i4>
      </vt:variant>
      <vt:variant>
        <vt:i4>5</vt:i4>
      </vt:variant>
      <vt:variant>
        <vt:lpwstr>http://livelink.swift.com/livelink/livelink.exe?func=ll&amp;objId=5172887&amp;objAction=browse&amp;sort=name</vt:lpwstr>
      </vt:variant>
      <vt:variant>
        <vt:lpwstr/>
      </vt:variant>
      <vt:variant>
        <vt:i4>6225939</vt:i4>
      </vt:variant>
      <vt:variant>
        <vt:i4>3</vt:i4>
      </vt:variant>
      <vt:variant>
        <vt:i4>0</vt:i4>
      </vt:variant>
      <vt:variant>
        <vt:i4>5</vt:i4>
      </vt:variant>
      <vt:variant>
        <vt:lpwstr>https://livelink.swift.com/livelink/livelink.exe?func=ll&amp;objId=6920084&amp;objAction=browse&amp;sort=name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Userdoc Template</dc:title>
  <dc:creator>S.W.I.F.T. SCRL</dc:creator>
  <cp:lastModifiedBy>CHAPMAN Janice</cp:lastModifiedBy>
  <cp:revision>109</cp:revision>
  <cp:lastPrinted>2012-06-21T08:01:00Z</cp:lastPrinted>
  <dcterms:created xsi:type="dcterms:W3CDTF">2013-05-14T06:13:00Z</dcterms:created>
  <dcterms:modified xsi:type="dcterms:W3CDTF">2014-01-13T16:08:00Z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status">
    <vt:lpwstr>&lt;REVISION STATUS&gt;</vt:lpwstr>
  </property>
  <property fmtid="{D5CDD505-2E9C-101B-9397-08002B2CF9AE}" pid="3" name="Confidentiality">
    <vt:lpwstr>&lt;CONFIDENTIALITY&gt;</vt:lpwstr>
  </property>
  <property fmtid="{D5CDD505-2E9C-101B-9397-08002B2CF9AE}" pid="4" name="Revision number">
    <vt:lpwstr>&lt;Revision No.X&gt;</vt:lpwstr>
  </property>
  <property fmtid="{D5CDD505-2E9C-101B-9397-08002B2CF9AE}" pid="5" name="Revision date">
    <vt:lpwstr>&lt;RevDate: dd MM 2008&gt;</vt:lpwstr>
  </property>
</Properties>
</file>