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88BC" w14:textId="21C92FA3" w:rsidR="00DD3795" w:rsidRPr="006E3C4B" w:rsidRDefault="003578E4" w:rsidP="000C4F4C">
      <w:pPr>
        <w:spacing w:after="240"/>
        <w:jc w:val="center"/>
        <w:rPr>
          <w:b/>
          <w:bCs/>
          <w:sz w:val="24"/>
          <w:szCs w:val="24"/>
          <w:lang w:val="en-GB"/>
        </w:rPr>
      </w:pPr>
      <w:r w:rsidRPr="006E3C4B">
        <w:rPr>
          <w:b/>
          <w:bCs/>
          <w:sz w:val="24"/>
          <w:szCs w:val="24"/>
          <w:lang w:val="en-GB"/>
        </w:rPr>
        <w:t>SMPG</w:t>
      </w:r>
      <w:r w:rsidR="00C55D3C" w:rsidRPr="006E3C4B">
        <w:rPr>
          <w:b/>
          <w:bCs/>
          <w:sz w:val="24"/>
          <w:szCs w:val="24"/>
          <w:lang w:val="en-GB"/>
        </w:rPr>
        <w:t>’s</w:t>
      </w:r>
      <w:r w:rsidRPr="006E3C4B">
        <w:rPr>
          <w:b/>
          <w:bCs/>
          <w:sz w:val="24"/>
          <w:szCs w:val="24"/>
          <w:lang w:val="en-GB"/>
        </w:rPr>
        <w:t xml:space="preserve"> </w:t>
      </w:r>
      <w:r w:rsidR="00E16ADD">
        <w:rPr>
          <w:b/>
          <w:bCs/>
          <w:sz w:val="24"/>
          <w:szCs w:val="24"/>
          <w:lang w:val="en-GB"/>
        </w:rPr>
        <w:t>questions</w:t>
      </w:r>
      <w:r w:rsidRPr="006E3C4B">
        <w:rPr>
          <w:b/>
          <w:bCs/>
          <w:sz w:val="24"/>
          <w:szCs w:val="24"/>
          <w:lang w:val="en-GB"/>
        </w:rPr>
        <w:t xml:space="preserve"> </w:t>
      </w:r>
      <w:r w:rsidR="00C55D3C" w:rsidRPr="006E3C4B">
        <w:rPr>
          <w:b/>
          <w:bCs/>
          <w:sz w:val="24"/>
          <w:szCs w:val="24"/>
          <w:lang w:val="en-GB"/>
        </w:rPr>
        <w:br/>
        <w:t xml:space="preserve">on Implementing Regulation 2018/1212 of the revised Shareholder Rights Directive </w:t>
      </w:r>
      <w:r w:rsidR="00DD3795" w:rsidRPr="006E3C4B">
        <w:rPr>
          <w:b/>
          <w:bCs/>
          <w:sz w:val="24"/>
          <w:szCs w:val="24"/>
          <w:lang w:val="en-GB"/>
        </w:rPr>
        <w:t>(</w:t>
      </w:r>
      <w:r w:rsidR="00C55D3C" w:rsidRPr="006E3C4B">
        <w:rPr>
          <w:b/>
          <w:bCs/>
          <w:sz w:val="24"/>
          <w:szCs w:val="24"/>
          <w:lang w:val="en-GB"/>
        </w:rPr>
        <w:t>2007/36/EC</w:t>
      </w:r>
      <w:r w:rsidR="00DD3795" w:rsidRPr="006E3C4B">
        <w:rPr>
          <w:b/>
          <w:bCs/>
          <w:sz w:val="24"/>
          <w:szCs w:val="24"/>
          <w:lang w:val="en-GB"/>
        </w:rPr>
        <w:t>)</w:t>
      </w:r>
      <w:r w:rsidR="00C55D3C" w:rsidRPr="006E3C4B">
        <w:rPr>
          <w:b/>
          <w:bCs/>
          <w:sz w:val="24"/>
          <w:szCs w:val="24"/>
          <w:lang w:val="en-GB"/>
        </w:rPr>
        <w:t xml:space="preserve"> regarding </w:t>
      </w:r>
      <w:r w:rsidR="00965CF4" w:rsidRPr="006E3C4B">
        <w:rPr>
          <w:b/>
          <w:bCs/>
          <w:sz w:val="24"/>
          <w:szCs w:val="24"/>
          <w:lang w:val="en-GB"/>
        </w:rPr>
        <w:t xml:space="preserve">shareholder identification ISO </w:t>
      </w:r>
      <w:r w:rsidR="00D53CC5" w:rsidRPr="006E3C4B">
        <w:rPr>
          <w:b/>
          <w:bCs/>
          <w:sz w:val="24"/>
          <w:szCs w:val="24"/>
          <w:lang w:val="en-GB"/>
        </w:rPr>
        <w:t xml:space="preserve">messages </w:t>
      </w:r>
      <w:r w:rsidR="00DD3795" w:rsidRPr="006E3C4B">
        <w:rPr>
          <w:b/>
          <w:bCs/>
          <w:sz w:val="24"/>
          <w:szCs w:val="24"/>
          <w:lang w:val="en-GB"/>
        </w:rPr>
        <w:br/>
        <w:t>(</w:t>
      </w:r>
      <w:r w:rsidR="00C67813">
        <w:rPr>
          <w:b/>
          <w:bCs/>
          <w:sz w:val="24"/>
          <w:szCs w:val="24"/>
          <w:lang w:val="en-GB"/>
        </w:rPr>
        <w:t>December 201</w:t>
      </w:r>
      <w:r w:rsidR="00483A94">
        <w:rPr>
          <w:b/>
          <w:bCs/>
          <w:sz w:val="24"/>
          <w:szCs w:val="24"/>
          <w:lang w:val="en-GB"/>
        </w:rPr>
        <w:t>8</w:t>
      </w:r>
      <w:r w:rsidR="00DD3795" w:rsidRPr="006E3C4B">
        <w:rPr>
          <w:b/>
          <w:bCs/>
          <w:sz w:val="24"/>
          <w:szCs w:val="24"/>
          <w:lang w:val="en-GB"/>
        </w:rPr>
        <w:t>)</w:t>
      </w:r>
    </w:p>
    <w:p w14:paraId="1E3F02E1" w14:textId="2CFBB285" w:rsidR="00605358" w:rsidRPr="00605358" w:rsidRDefault="00D53CC5" w:rsidP="000C4F4C">
      <w:pPr>
        <w:pBdr>
          <w:top w:val="single" w:sz="4" w:space="1" w:color="auto"/>
          <w:bottom w:val="single" w:sz="4" w:space="1" w:color="auto"/>
        </w:pBdr>
        <w:spacing w:before="120"/>
        <w:jc w:val="both"/>
        <w:rPr>
          <w:color w:val="1F497D"/>
          <w:lang w:val="en-GB"/>
        </w:rPr>
      </w:pPr>
      <w:r w:rsidRPr="006E3C4B">
        <w:rPr>
          <w:i/>
          <w:lang w:val="en-GB"/>
        </w:rPr>
        <w:t xml:space="preserve">Disclaimer: </w:t>
      </w:r>
      <w:r w:rsidR="00D3482B" w:rsidRPr="00605358">
        <w:rPr>
          <w:lang w:val="en-GB"/>
        </w:rPr>
        <w:t xml:space="preserve">The views expressed in this document </w:t>
      </w:r>
      <w:r w:rsidR="00605358" w:rsidRPr="00605358">
        <w:rPr>
          <w:lang w:val="en-GB"/>
        </w:rPr>
        <w:t xml:space="preserve">have been requested informally </w:t>
      </w:r>
      <w:r w:rsidRPr="00605358">
        <w:rPr>
          <w:lang w:val="en-GB"/>
        </w:rPr>
        <w:t xml:space="preserve">and </w:t>
      </w:r>
      <w:r w:rsidR="00D3482B" w:rsidRPr="00605358">
        <w:rPr>
          <w:lang w:val="en-GB"/>
        </w:rPr>
        <w:t>may not, under any circumstances, be interpreted as stating an official position of the European Commission.</w:t>
      </w:r>
      <w:r w:rsidR="00605358" w:rsidRPr="00605358">
        <w:rPr>
          <w:lang w:val="en-GB"/>
        </w:rPr>
        <w:t xml:space="preserve"> Furthermore, the European Commission or its departments do not have the power to officially interpret EU law.</w:t>
      </w:r>
    </w:p>
    <w:p w14:paraId="6309B2E4" w14:textId="58343105" w:rsidR="00965CF4" w:rsidRPr="00D53CC5" w:rsidRDefault="00965CF4" w:rsidP="008D240E">
      <w:pPr>
        <w:keepNext/>
        <w:keepLines/>
        <w:spacing w:before="240"/>
        <w:jc w:val="both"/>
        <w:rPr>
          <w:b/>
          <w:sz w:val="24"/>
          <w:szCs w:val="24"/>
          <w:u w:val="single"/>
          <w:lang w:val="en-GB"/>
        </w:rPr>
      </w:pPr>
      <w:r w:rsidRPr="00D53CC5">
        <w:rPr>
          <w:b/>
          <w:sz w:val="24"/>
          <w:szCs w:val="24"/>
          <w:u w:val="single"/>
          <w:lang w:val="en-GB"/>
        </w:rPr>
        <w:t>Question 1:</w:t>
      </w:r>
    </w:p>
    <w:p w14:paraId="31ED445C" w14:textId="03AB20B2" w:rsidR="00965CF4" w:rsidRPr="00D53CC5" w:rsidRDefault="00965CF4" w:rsidP="006E3C4B">
      <w:pPr>
        <w:keepLines/>
        <w:spacing w:before="120"/>
        <w:jc w:val="both"/>
        <w:rPr>
          <w:color w:val="002060"/>
          <w:sz w:val="24"/>
          <w:szCs w:val="24"/>
          <w:lang w:val="en-GB"/>
        </w:rPr>
      </w:pPr>
      <w:r w:rsidRPr="00D53CC5">
        <w:rPr>
          <w:color w:val="002060"/>
          <w:sz w:val="24"/>
          <w:szCs w:val="24"/>
          <w:lang w:val="en-GB"/>
        </w:rPr>
        <w:t>“</w:t>
      </w:r>
      <w:r w:rsidR="00A5086D" w:rsidRPr="00D53CC5">
        <w:rPr>
          <w:color w:val="002060"/>
          <w:sz w:val="24"/>
          <w:szCs w:val="24"/>
          <w:lang w:val="en-GB"/>
        </w:rPr>
        <w:t>Q1.</w:t>
      </w:r>
      <w:r w:rsidR="00A5086D" w:rsidRPr="00D53CC5">
        <w:rPr>
          <w:color w:val="002060"/>
          <w:sz w:val="24"/>
          <w:szCs w:val="24"/>
          <w:lang w:val="en-GB"/>
        </w:rPr>
        <w:tab/>
      </w:r>
      <w:r w:rsidRPr="00D53CC5">
        <w:rPr>
          <w:color w:val="002060"/>
          <w:sz w:val="24"/>
          <w:szCs w:val="24"/>
          <w:lang w:val="en-GB"/>
        </w:rPr>
        <w:t>The most important question for us is related to the way the response to a shareholder identification request needs to be handled and, in particular, whether the shareholder(s)’ details should be sent by the intermediary holding the information</w:t>
      </w:r>
      <w:r w:rsidRPr="00D53CC5">
        <w:rPr>
          <w:color w:val="1F497D"/>
          <w:sz w:val="24"/>
          <w:szCs w:val="24"/>
          <w:lang w:val="en-GB"/>
        </w:rPr>
        <w:t xml:space="preserve"> (in other word the </w:t>
      </w:r>
      <w:r w:rsidRPr="00D53CC5">
        <w:rPr>
          <w:color w:val="002060"/>
          <w:sz w:val="24"/>
          <w:szCs w:val="24"/>
          <w:lang w:val="en-GB"/>
        </w:rPr>
        <w:t>intermediary acting as account servicer for the final investor):</w:t>
      </w:r>
    </w:p>
    <w:p w14:paraId="7664462D" w14:textId="77777777" w:rsidR="00965CF4" w:rsidRPr="00D53CC5" w:rsidRDefault="00965CF4" w:rsidP="002B5A26">
      <w:pPr>
        <w:pStyle w:val="ListParagraph"/>
        <w:keepLines/>
        <w:numPr>
          <w:ilvl w:val="0"/>
          <w:numId w:val="1"/>
        </w:numPr>
        <w:spacing w:before="120"/>
        <w:ind w:left="709" w:hanging="357"/>
        <w:jc w:val="both"/>
        <w:rPr>
          <w:rFonts w:ascii="Calibri" w:hAnsi="Calibri" w:cs="Calibri"/>
          <w:color w:val="002060"/>
          <w:sz w:val="24"/>
          <w:szCs w:val="24"/>
        </w:rPr>
      </w:pPr>
      <w:r w:rsidRPr="00D53CC5">
        <w:rPr>
          <w:rFonts w:ascii="Calibri" w:hAnsi="Calibri" w:cs="Calibri"/>
          <w:color w:val="002060"/>
          <w:sz w:val="24"/>
          <w:szCs w:val="24"/>
        </w:rPr>
        <w:t>directly to the issuer/third party appointed by the issuer, or</w:t>
      </w:r>
    </w:p>
    <w:p w14:paraId="7FE5147F" w14:textId="77777777" w:rsidR="00965CF4" w:rsidRPr="00D53CC5" w:rsidRDefault="00965CF4" w:rsidP="002B5A26">
      <w:pPr>
        <w:pStyle w:val="ListParagraph"/>
        <w:keepLines/>
        <w:numPr>
          <w:ilvl w:val="0"/>
          <w:numId w:val="1"/>
        </w:numPr>
        <w:spacing w:after="120"/>
        <w:ind w:left="709" w:hanging="357"/>
        <w:jc w:val="both"/>
        <w:rPr>
          <w:rFonts w:ascii="Calibri" w:hAnsi="Calibri" w:cs="Calibri"/>
          <w:color w:val="002060"/>
          <w:sz w:val="24"/>
          <w:szCs w:val="24"/>
        </w:rPr>
      </w:pPr>
      <w:r w:rsidRPr="00D53CC5">
        <w:rPr>
          <w:rFonts w:ascii="Calibri" w:hAnsi="Calibri" w:cs="Calibri"/>
          <w:color w:val="002060"/>
          <w:sz w:val="24"/>
          <w:szCs w:val="24"/>
        </w:rPr>
        <w:t>back to the issuer/third party appointed by the issuer via the custody chain (i.e. responding to the previous intermediary in the chain)</w:t>
      </w:r>
    </w:p>
    <w:p w14:paraId="6E8B64EA" w14:textId="46F41C94" w:rsidR="00A75FCC" w:rsidRPr="00D53CC5" w:rsidRDefault="00965CF4" w:rsidP="006E3C4B">
      <w:pPr>
        <w:keepLines/>
        <w:spacing w:before="120"/>
        <w:jc w:val="both"/>
        <w:rPr>
          <w:b/>
          <w:sz w:val="24"/>
          <w:szCs w:val="24"/>
          <w:u w:val="single"/>
          <w:lang w:val="en-GB"/>
        </w:rPr>
      </w:pPr>
      <w:r w:rsidRPr="00D53CC5">
        <w:rPr>
          <w:color w:val="002060"/>
          <w:sz w:val="24"/>
          <w:szCs w:val="24"/>
          <w:lang w:val="en-GB"/>
        </w:rPr>
        <w:t>Will you or ESMA mandate one of the two model or will both models be allowed? As you can understand, the answer to this question shapes the way the response message is to be designed. As such, we would appreciate if you could address this question as a matter of priority.”</w:t>
      </w:r>
      <w:r w:rsidR="001E0D0B" w:rsidRPr="00D53CC5">
        <w:rPr>
          <w:color w:val="002060"/>
          <w:sz w:val="24"/>
          <w:szCs w:val="24"/>
          <w:lang w:val="en-GB"/>
        </w:rPr>
        <w:t xml:space="preserve"> </w:t>
      </w:r>
      <w:r w:rsidR="00E53EC1" w:rsidRPr="00D53CC5">
        <w:rPr>
          <w:b/>
          <w:sz w:val="24"/>
          <w:szCs w:val="24"/>
          <w:u w:val="single"/>
          <w:lang w:val="en-GB"/>
        </w:rPr>
        <w:t xml:space="preserve"> </w:t>
      </w:r>
    </w:p>
    <w:p w14:paraId="77A9E4E2" w14:textId="70442AE1" w:rsidR="00773075" w:rsidRPr="00D53CC5" w:rsidRDefault="00383A8C" w:rsidP="000C4F4C">
      <w:pPr>
        <w:keepNext/>
        <w:spacing w:before="120"/>
        <w:jc w:val="both"/>
        <w:rPr>
          <w:sz w:val="24"/>
          <w:szCs w:val="24"/>
          <w:lang w:val="en-GB"/>
        </w:rPr>
      </w:pPr>
      <w:r w:rsidRPr="00D53CC5">
        <w:rPr>
          <w:sz w:val="24"/>
          <w:szCs w:val="24"/>
          <w:lang w:val="en-GB"/>
        </w:rPr>
        <w:t xml:space="preserve">The </w:t>
      </w:r>
      <w:r w:rsidR="00C55D3C" w:rsidRPr="00D53CC5">
        <w:rPr>
          <w:rFonts w:asciiTheme="minorHAnsi" w:hAnsiTheme="minorHAnsi" w:cstheme="minorHAnsi"/>
          <w:sz w:val="24"/>
          <w:szCs w:val="24"/>
          <w:lang w:val="en-GB"/>
        </w:rPr>
        <w:t xml:space="preserve">Directive </w:t>
      </w:r>
      <w:r w:rsidRPr="00D53CC5">
        <w:rPr>
          <w:sz w:val="24"/>
          <w:szCs w:val="24"/>
          <w:lang w:val="en-GB"/>
        </w:rPr>
        <w:t xml:space="preserve">defines direct transmission to the issuer </w:t>
      </w:r>
      <w:r w:rsidR="003F1765" w:rsidRPr="00D53CC5">
        <w:rPr>
          <w:sz w:val="24"/>
          <w:szCs w:val="24"/>
          <w:lang w:val="en-GB"/>
        </w:rPr>
        <w:t xml:space="preserve">(or the third party appointed by it) </w:t>
      </w:r>
      <w:r w:rsidRPr="00D53CC5">
        <w:rPr>
          <w:sz w:val="24"/>
          <w:szCs w:val="24"/>
          <w:lang w:val="en-GB"/>
        </w:rPr>
        <w:t xml:space="preserve">as the general rule but it does not preclude that the information is sent </w:t>
      </w:r>
      <w:r w:rsidR="00773075" w:rsidRPr="00D53CC5">
        <w:rPr>
          <w:sz w:val="24"/>
          <w:szCs w:val="24"/>
          <w:lang w:val="en-GB"/>
        </w:rPr>
        <w:t>back via the custody chain (</w:t>
      </w:r>
      <w:r w:rsidRPr="00D53CC5">
        <w:rPr>
          <w:sz w:val="24"/>
          <w:szCs w:val="24"/>
          <w:lang w:val="en-GB"/>
        </w:rPr>
        <w:t xml:space="preserve">option </w:t>
      </w:r>
      <w:r w:rsidR="00773075" w:rsidRPr="00D53CC5">
        <w:rPr>
          <w:sz w:val="24"/>
          <w:szCs w:val="24"/>
          <w:lang w:val="en-GB"/>
        </w:rPr>
        <w:t>b)</w:t>
      </w:r>
      <w:r w:rsidRPr="00D53CC5">
        <w:rPr>
          <w:sz w:val="24"/>
          <w:szCs w:val="24"/>
          <w:lang w:val="en-GB"/>
        </w:rPr>
        <w:t xml:space="preserve">. However, this </w:t>
      </w:r>
      <w:r w:rsidR="00452AF0">
        <w:rPr>
          <w:sz w:val="24"/>
          <w:szCs w:val="24"/>
          <w:lang w:val="en-GB"/>
        </w:rPr>
        <w:t xml:space="preserve">latter </w:t>
      </w:r>
      <w:r w:rsidRPr="00D53CC5">
        <w:rPr>
          <w:sz w:val="24"/>
          <w:szCs w:val="24"/>
          <w:lang w:val="en-GB"/>
        </w:rPr>
        <w:t xml:space="preserve">has to be </w:t>
      </w:r>
      <w:r w:rsidR="005018B8" w:rsidRPr="00D53CC5">
        <w:rPr>
          <w:sz w:val="24"/>
          <w:szCs w:val="24"/>
          <w:lang w:val="en-GB"/>
        </w:rPr>
        <w:t xml:space="preserve">explicitly allowed </w:t>
      </w:r>
      <w:r w:rsidRPr="00D53CC5">
        <w:rPr>
          <w:sz w:val="24"/>
          <w:szCs w:val="24"/>
          <w:lang w:val="en-GB"/>
        </w:rPr>
        <w:t xml:space="preserve">by </w:t>
      </w:r>
      <w:r w:rsidR="005018B8" w:rsidRPr="00D53CC5">
        <w:rPr>
          <w:sz w:val="24"/>
          <w:szCs w:val="24"/>
          <w:lang w:val="en-GB"/>
        </w:rPr>
        <w:t>a Member State’s law</w:t>
      </w:r>
      <w:r w:rsidRPr="00D53CC5">
        <w:rPr>
          <w:sz w:val="24"/>
          <w:szCs w:val="24"/>
          <w:lang w:val="en-GB"/>
        </w:rPr>
        <w:t xml:space="preserve"> and </w:t>
      </w:r>
      <w:r w:rsidR="005018B8" w:rsidRPr="00D53CC5">
        <w:rPr>
          <w:sz w:val="24"/>
          <w:szCs w:val="24"/>
          <w:lang w:val="en-GB"/>
        </w:rPr>
        <w:t xml:space="preserve">the confidentiality of the </w:t>
      </w:r>
      <w:r w:rsidRPr="00D53CC5">
        <w:rPr>
          <w:sz w:val="24"/>
          <w:szCs w:val="24"/>
          <w:lang w:val="en-GB"/>
        </w:rPr>
        <w:t xml:space="preserve">information on shareholder’s </w:t>
      </w:r>
      <w:r w:rsidR="005018B8" w:rsidRPr="00D53CC5">
        <w:rPr>
          <w:sz w:val="24"/>
          <w:szCs w:val="24"/>
          <w:lang w:val="en-GB"/>
        </w:rPr>
        <w:t xml:space="preserve">identity needs to be respected. This means that the shareholder </w:t>
      </w:r>
      <w:r w:rsidR="00DA617F">
        <w:rPr>
          <w:sz w:val="24"/>
          <w:szCs w:val="24"/>
          <w:lang w:val="en-GB"/>
        </w:rPr>
        <w:t>has</w:t>
      </w:r>
      <w:bookmarkStart w:id="0" w:name="_GoBack"/>
      <w:bookmarkEnd w:id="0"/>
      <w:r w:rsidR="005018B8" w:rsidRPr="00D53CC5">
        <w:rPr>
          <w:sz w:val="24"/>
          <w:szCs w:val="24"/>
          <w:lang w:val="en-GB"/>
        </w:rPr>
        <w:t xml:space="preserve"> to give consent to the processing of his </w:t>
      </w:r>
      <w:r w:rsidRPr="00D53CC5">
        <w:rPr>
          <w:sz w:val="24"/>
          <w:szCs w:val="24"/>
          <w:lang w:val="en-GB"/>
        </w:rPr>
        <w:t xml:space="preserve">personal </w:t>
      </w:r>
      <w:r w:rsidR="005018B8" w:rsidRPr="00D53CC5">
        <w:rPr>
          <w:sz w:val="24"/>
          <w:szCs w:val="24"/>
          <w:lang w:val="en-GB"/>
        </w:rPr>
        <w:t>data</w:t>
      </w:r>
      <w:r w:rsidR="001E0D0B" w:rsidRPr="00D53CC5">
        <w:rPr>
          <w:sz w:val="24"/>
          <w:szCs w:val="24"/>
          <w:lang w:val="en-GB"/>
        </w:rPr>
        <w:t xml:space="preserve"> to the intermediaries</w:t>
      </w:r>
      <w:r w:rsidRPr="00D53CC5">
        <w:rPr>
          <w:sz w:val="24"/>
          <w:szCs w:val="24"/>
          <w:lang w:val="en-GB"/>
        </w:rPr>
        <w:t>,</w:t>
      </w:r>
      <w:r w:rsidR="005018B8" w:rsidRPr="00D53CC5">
        <w:rPr>
          <w:sz w:val="24"/>
          <w:szCs w:val="24"/>
          <w:lang w:val="en-GB"/>
        </w:rPr>
        <w:t xml:space="preserve"> which in practice may prove to be impractical. </w:t>
      </w:r>
      <w:r w:rsidR="00E53EC1" w:rsidRPr="00D53CC5">
        <w:rPr>
          <w:sz w:val="24"/>
          <w:szCs w:val="24"/>
          <w:lang w:val="en-GB"/>
        </w:rPr>
        <w:t xml:space="preserve">Protection of </w:t>
      </w:r>
      <w:r w:rsidRPr="00D53CC5">
        <w:rPr>
          <w:sz w:val="24"/>
          <w:szCs w:val="24"/>
          <w:lang w:val="en-GB"/>
        </w:rPr>
        <w:t xml:space="preserve">information on shareholder’s identity </w:t>
      </w:r>
      <w:r w:rsidR="001E0D0B" w:rsidRPr="00D53CC5">
        <w:rPr>
          <w:sz w:val="24"/>
          <w:szCs w:val="24"/>
          <w:lang w:val="en-GB"/>
        </w:rPr>
        <w:t xml:space="preserve">could also be ensured if the information </w:t>
      </w:r>
      <w:r w:rsidR="00E53EC1" w:rsidRPr="00D53CC5">
        <w:rPr>
          <w:sz w:val="24"/>
          <w:szCs w:val="24"/>
          <w:lang w:val="en-GB"/>
        </w:rPr>
        <w:t>go</w:t>
      </w:r>
      <w:r w:rsidR="001E0D0B" w:rsidRPr="00D53CC5">
        <w:rPr>
          <w:sz w:val="24"/>
          <w:szCs w:val="24"/>
          <w:lang w:val="en-GB"/>
        </w:rPr>
        <w:t>es</w:t>
      </w:r>
      <w:r w:rsidR="00E53EC1" w:rsidRPr="00D53CC5">
        <w:rPr>
          <w:sz w:val="24"/>
          <w:szCs w:val="24"/>
          <w:lang w:val="en-GB"/>
        </w:rPr>
        <w:t xml:space="preserve"> throug</w:t>
      </w:r>
      <w:r w:rsidR="003F7505" w:rsidRPr="00D53CC5">
        <w:rPr>
          <w:sz w:val="24"/>
          <w:szCs w:val="24"/>
          <w:lang w:val="en-GB"/>
        </w:rPr>
        <w:t xml:space="preserve">h the custody chain in a secure (for example </w:t>
      </w:r>
      <w:r w:rsidR="00E53EC1" w:rsidRPr="00D53CC5">
        <w:rPr>
          <w:sz w:val="24"/>
          <w:szCs w:val="24"/>
          <w:lang w:val="en-GB"/>
        </w:rPr>
        <w:t>encrypted</w:t>
      </w:r>
      <w:r w:rsidR="003F7505" w:rsidRPr="00D53CC5">
        <w:rPr>
          <w:sz w:val="24"/>
          <w:szCs w:val="24"/>
          <w:lang w:val="en-GB"/>
        </w:rPr>
        <w:t>)</w:t>
      </w:r>
      <w:r w:rsidR="00E53EC1" w:rsidRPr="00D53CC5">
        <w:rPr>
          <w:sz w:val="24"/>
          <w:szCs w:val="24"/>
          <w:lang w:val="en-GB"/>
        </w:rPr>
        <w:t xml:space="preserve"> way</w:t>
      </w:r>
      <w:r w:rsidR="003F1765" w:rsidRPr="00D53CC5">
        <w:rPr>
          <w:sz w:val="24"/>
          <w:szCs w:val="24"/>
          <w:lang w:val="en-GB"/>
        </w:rPr>
        <w:t>, ensuring that only the issuer has access to the data</w:t>
      </w:r>
      <w:r w:rsidR="00E53EC1" w:rsidRPr="00D53CC5">
        <w:rPr>
          <w:sz w:val="24"/>
          <w:szCs w:val="24"/>
          <w:lang w:val="en-GB"/>
        </w:rPr>
        <w:t xml:space="preserve">. </w:t>
      </w:r>
    </w:p>
    <w:p w14:paraId="268EAA57" w14:textId="1B163AF1"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Question 2:</w:t>
      </w:r>
    </w:p>
    <w:p w14:paraId="38AC7E4A" w14:textId="23AA64F3" w:rsidR="0007704F" w:rsidRPr="00D53CC5" w:rsidRDefault="003C1A4C" w:rsidP="006E3C4B">
      <w:pPr>
        <w:keepLines/>
        <w:spacing w:before="120"/>
        <w:jc w:val="both"/>
        <w:rPr>
          <w:color w:val="002060"/>
          <w:sz w:val="24"/>
          <w:szCs w:val="24"/>
          <w:lang w:val="en-GB"/>
        </w:rPr>
      </w:pPr>
      <w:r w:rsidRPr="00D53CC5">
        <w:rPr>
          <w:color w:val="002060"/>
          <w:sz w:val="24"/>
          <w:szCs w:val="24"/>
          <w:lang w:val="en-GB"/>
        </w:rPr>
        <w:t>“</w:t>
      </w:r>
      <w:r w:rsidR="00A5086D" w:rsidRPr="00D53CC5">
        <w:rPr>
          <w:color w:val="002060"/>
          <w:sz w:val="24"/>
          <w:szCs w:val="24"/>
          <w:lang w:val="en-GB"/>
        </w:rPr>
        <w:t>Q2.</w:t>
      </w:r>
      <w:r w:rsidR="00A5086D" w:rsidRPr="00D53CC5">
        <w:rPr>
          <w:color w:val="002060"/>
          <w:sz w:val="24"/>
          <w:szCs w:val="24"/>
          <w:lang w:val="en-GB"/>
        </w:rPr>
        <w:tab/>
      </w:r>
      <w:r w:rsidR="0007704F" w:rsidRPr="00D53CC5">
        <w:rPr>
          <w:color w:val="002060"/>
          <w:sz w:val="24"/>
          <w:szCs w:val="24"/>
          <w:lang w:val="en-GB"/>
        </w:rPr>
        <w:t>Depending on the answer to [question 1], we have also identified other questions we would appreciate your guidance with:  </w:t>
      </w:r>
    </w:p>
    <w:p w14:paraId="4C75A4D0" w14:textId="004FF57C" w:rsidR="00DF1661" w:rsidRPr="00D53CC5" w:rsidRDefault="00EE388A" w:rsidP="006E3C4B">
      <w:pPr>
        <w:keepNext/>
        <w:keepLines/>
        <w:spacing w:before="120"/>
        <w:jc w:val="both"/>
        <w:rPr>
          <w:color w:val="002060"/>
          <w:sz w:val="24"/>
          <w:szCs w:val="24"/>
          <w:lang w:val="en-GB"/>
        </w:rPr>
      </w:pPr>
      <w:r w:rsidRPr="00D53CC5">
        <w:rPr>
          <w:color w:val="002060"/>
          <w:sz w:val="24"/>
          <w:szCs w:val="24"/>
          <w:lang w:val="en-GB"/>
        </w:rPr>
        <w:t>1</w:t>
      </w:r>
      <w:r w:rsidR="0007704F" w:rsidRPr="00D53CC5">
        <w:rPr>
          <w:color w:val="002060"/>
          <w:sz w:val="24"/>
          <w:szCs w:val="24"/>
          <w:lang w:val="en-GB"/>
        </w:rPr>
        <w:t>.</w:t>
      </w:r>
      <w:r w:rsidR="0007704F" w:rsidRPr="00D53CC5">
        <w:rPr>
          <w:color w:val="002060"/>
          <w:sz w:val="24"/>
          <w:szCs w:val="24"/>
          <w:lang w:val="en-GB"/>
        </w:rPr>
        <w:tab/>
      </w:r>
      <w:r w:rsidR="00DF1661" w:rsidRPr="00D53CC5">
        <w:rPr>
          <w:color w:val="002060"/>
          <w:sz w:val="24"/>
          <w:szCs w:val="24"/>
          <w:lang w:val="en-GB"/>
        </w:rPr>
        <w:t>Depending on the answer to question</w:t>
      </w:r>
      <w:r w:rsidR="00E67488" w:rsidRPr="00D53CC5">
        <w:rPr>
          <w:color w:val="002060"/>
          <w:sz w:val="24"/>
          <w:szCs w:val="24"/>
          <w:lang w:val="en-GB"/>
        </w:rPr>
        <w:t xml:space="preserve"> 1, </w:t>
      </w:r>
      <w:r w:rsidR="00E67488" w:rsidRPr="00D53CC5">
        <w:rPr>
          <w:color w:val="002060"/>
          <w:sz w:val="24"/>
          <w:szCs w:val="24"/>
          <w:u w:val="single"/>
          <w:lang w:val="en-GB"/>
        </w:rPr>
        <w:t>i</w:t>
      </w:r>
      <w:r w:rsidR="00DF1661" w:rsidRPr="00D53CC5">
        <w:rPr>
          <w:color w:val="002060"/>
          <w:sz w:val="24"/>
          <w:szCs w:val="24"/>
          <w:u w:val="single"/>
          <w:lang w:val="en-GB"/>
        </w:rPr>
        <w:t>f the shareholder information is provided by the intermediary who holds the information (as per option a</w:t>
      </w:r>
      <w:r w:rsidR="00E67488" w:rsidRPr="00D53CC5">
        <w:rPr>
          <w:color w:val="002060"/>
          <w:sz w:val="24"/>
          <w:szCs w:val="24"/>
          <w:u w:val="single"/>
          <w:lang w:val="en-GB"/>
        </w:rPr>
        <w:t>)</w:t>
      </w:r>
      <w:r w:rsidR="00DF1661" w:rsidRPr="00D53CC5">
        <w:rPr>
          <w:color w:val="002060"/>
          <w:sz w:val="24"/>
          <w:szCs w:val="24"/>
          <w:u w:val="single"/>
          <w:lang w:val="en-GB"/>
        </w:rPr>
        <w:t xml:space="preserve"> above),</w:t>
      </w:r>
      <w:r w:rsidR="00DF1661" w:rsidRPr="00D53CC5">
        <w:rPr>
          <w:color w:val="002060"/>
          <w:sz w:val="24"/>
          <w:szCs w:val="24"/>
          <w:lang w:val="en-GB"/>
        </w:rPr>
        <w:t xml:space="preserve"> the shareholder identification type O (field 10 of part C of table 2) should only be used by an intermediary who has commingled its own assets in the same account with client assets. Is this correct?</w:t>
      </w:r>
      <w:r w:rsidR="003C1A4C" w:rsidRPr="00D53CC5">
        <w:rPr>
          <w:color w:val="002060"/>
          <w:sz w:val="24"/>
          <w:szCs w:val="24"/>
          <w:lang w:val="en-GB"/>
        </w:rPr>
        <w:t>”</w:t>
      </w:r>
      <w:r w:rsidR="006B105A" w:rsidRPr="00D53CC5">
        <w:rPr>
          <w:color w:val="002060"/>
          <w:sz w:val="24"/>
          <w:szCs w:val="24"/>
          <w:lang w:val="en-GB"/>
        </w:rPr>
        <w:t xml:space="preserve"> </w:t>
      </w:r>
    </w:p>
    <w:p w14:paraId="3C61DF03" w14:textId="1DDEA962" w:rsidR="00843230" w:rsidRPr="00D53CC5" w:rsidRDefault="003F1765" w:rsidP="000C4F4C">
      <w:pPr>
        <w:keepNext/>
        <w:spacing w:before="120"/>
        <w:jc w:val="both"/>
        <w:rPr>
          <w:sz w:val="24"/>
          <w:szCs w:val="24"/>
          <w:lang w:val="en-GB"/>
        </w:rPr>
      </w:pPr>
      <w:r w:rsidRPr="00D53CC5">
        <w:rPr>
          <w:sz w:val="24"/>
          <w:szCs w:val="24"/>
          <w:lang w:val="en-GB"/>
        </w:rPr>
        <w:t>Yes.</w:t>
      </w:r>
    </w:p>
    <w:p w14:paraId="7883224F" w14:textId="3C1B9975"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3</w:t>
      </w:r>
      <w:r w:rsidRPr="00D53CC5">
        <w:rPr>
          <w:b/>
          <w:sz w:val="24"/>
          <w:szCs w:val="24"/>
          <w:u w:val="single"/>
          <w:lang w:val="en-GB"/>
        </w:rPr>
        <w:t>:</w:t>
      </w:r>
    </w:p>
    <w:p w14:paraId="5CD8D0F5" w14:textId="5FCDA27F" w:rsidR="0007704F" w:rsidRPr="00D53CC5" w:rsidRDefault="0007704F" w:rsidP="006E3C4B">
      <w:pPr>
        <w:keepLines/>
        <w:spacing w:before="120"/>
        <w:jc w:val="both"/>
        <w:rPr>
          <w:color w:val="002060"/>
          <w:sz w:val="24"/>
          <w:szCs w:val="24"/>
          <w:u w:val="single"/>
          <w:lang w:val="en-GB"/>
        </w:rPr>
      </w:pPr>
      <w:r w:rsidRPr="00D53CC5">
        <w:rPr>
          <w:color w:val="002060"/>
          <w:sz w:val="24"/>
          <w:szCs w:val="24"/>
          <w:lang w:val="en-GB"/>
        </w:rPr>
        <w:t>“2.</w:t>
      </w:r>
      <w:r w:rsidRPr="00D53CC5">
        <w:rPr>
          <w:color w:val="002060"/>
          <w:sz w:val="24"/>
          <w:szCs w:val="24"/>
          <w:lang w:val="en-GB"/>
        </w:rPr>
        <w:tab/>
      </w:r>
      <w:proofErr w:type="gramStart"/>
      <w:r w:rsidRPr="00D53CC5">
        <w:rPr>
          <w:color w:val="002060"/>
          <w:sz w:val="24"/>
          <w:szCs w:val="24"/>
          <w:u w:val="single"/>
          <w:lang w:val="en-GB"/>
        </w:rPr>
        <w:t>If</w:t>
      </w:r>
      <w:proofErr w:type="gramEnd"/>
      <w:r w:rsidRPr="00D53CC5">
        <w:rPr>
          <w:color w:val="002060"/>
          <w:sz w:val="24"/>
          <w:szCs w:val="24"/>
          <w:u w:val="single"/>
          <w:lang w:val="en-GB"/>
        </w:rPr>
        <w:t xml:space="preserve"> the response needs to go along the custody chain (option Q1.b above):</w:t>
      </w:r>
    </w:p>
    <w:p w14:paraId="03957F64" w14:textId="77777777" w:rsidR="0007704F" w:rsidRPr="00D53CC5" w:rsidRDefault="0007704F" w:rsidP="006E3C4B">
      <w:pPr>
        <w:pStyle w:val="ListParagraph"/>
        <w:keepLines/>
        <w:numPr>
          <w:ilvl w:val="0"/>
          <w:numId w:val="11"/>
        </w:numPr>
        <w:spacing w:before="120" w:after="120"/>
        <w:jc w:val="both"/>
        <w:rPr>
          <w:rFonts w:ascii="Calibri" w:hAnsi="Calibri" w:cs="Calibri"/>
          <w:color w:val="002060"/>
          <w:sz w:val="24"/>
          <w:szCs w:val="24"/>
          <w:u w:val="none"/>
        </w:rPr>
      </w:pPr>
      <w:r w:rsidRPr="00D53CC5">
        <w:rPr>
          <w:rFonts w:ascii="Calibri" w:hAnsi="Calibri" w:cs="Calibri"/>
          <w:color w:val="002060"/>
          <w:sz w:val="24"/>
          <w:szCs w:val="24"/>
          <w:u w:val="none"/>
        </w:rPr>
        <w:t xml:space="preserve">Is sufficient for the intermediary in the chain to  validate the holding balance held through them </w:t>
      </w:r>
    </w:p>
    <w:p w14:paraId="1944BF40" w14:textId="77777777" w:rsidR="0007704F" w:rsidRPr="00D53CC5" w:rsidRDefault="0007704F" w:rsidP="002B5A26">
      <w:pPr>
        <w:pStyle w:val="ListParagraph"/>
        <w:keepLines/>
        <w:numPr>
          <w:ilvl w:val="0"/>
          <w:numId w:val="11"/>
        </w:numPr>
        <w:ind w:left="709" w:hanging="357"/>
        <w:jc w:val="both"/>
        <w:rPr>
          <w:rFonts w:ascii="Calibri" w:hAnsi="Calibri" w:cs="Calibri"/>
          <w:color w:val="002060"/>
          <w:sz w:val="24"/>
          <w:szCs w:val="24"/>
          <w:u w:val="none"/>
        </w:rPr>
      </w:pPr>
      <w:r w:rsidRPr="00D53CC5">
        <w:rPr>
          <w:rFonts w:ascii="Calibri" w:hAnsi="Calibri" w:cs="Calibri"/>
          <w:color w:val="002060"/>
          <w:sz w:val="24"/>
          <w:szCs w:val="24"/>
          <w:u w:val="none"/>
        </w:rPr>
        <w:lastRenderedPageBreak/>
        <w:t>If not what else? Which are the commission expectation if any?</w:t>
      </w:r>
    </w:p>
    <w:p w14:paraId="7D69BC42" w14:textId="77777777" w:rsidR="0007704F" w:rsidRPr="00D53CC5" w:rsidRDefault="0007704F" w:rsidP="002B5A26">
      <w:pPr>
        <w:pStyle w:val="ListParagraph"/>
        <w:keepLines/>
        <w:numPr>
          <w:ilvl w:val="0"/>
          <w:numId w:val="11"/>
        </w:numPr>
        <w:ind w:left="709" w:hanging="357"/>
        <w:jc w:val="both"/>
        <w:rPr>
          <w:rFonts w:ascii="Calibri" w:hAnsi="Calibri" w:cs="Calibri"/>
          <w:color w:val="002060"/>
          <w:sz w:val="24"/>
          <w:szCs w:val="24"/>
          <w:u w:val="none"/>
        </w:rPr>
      </w:pPr>
      <w:proofErr w:type="gramStart"/>
      <w:r w:rsidRPr="00D53CC5">
        <w:rPr>
          <w:rFonts w:ascii="Calibri" w:hAnsi="Calibri" w:cs="Calibri"/>
          <w:color w:val="002060"/>
          <w:sz w:val="24"/>
          <w:szCs w:val="24"/>
          <w:u w:val="none"/>
        </w:rPr>
        <w:t>what</w:t>
      </w:r>
      <w:proofErr w:type="gramEnd"/>
      <w:r w:rsidRPr="00D53CC5">
        <w:rPr>
          <w:rFonts w:ascii="Calibri" w:hAnsi="Calibri" w:cs="Calibri"/>
          <w:color w:val="002060"/>
          <w:sz w:val="24"/>
          <w:szCs w:val="24"/>
          <w:u w:val="none"/>
        </w:rPr>
        <w:t xml:space="preserve"> if an intermediary doesn’t receive an answer (i.e. the break-down from his client)  ?</w:t>
      </w:r>
    </w:p>
    <w:p w14:paraId="5C683127" w14:textId="77777777" w:rsidR="0007704F" w:rsidRPr="00D53CC5" w:rsidRDefault="0007704F" w:rsidP="002B5A26">
      <w:pPr>
        <w:pStyle w:val="ListParagraph"/>
        <w:keepLines/>
        <w:numPr>
          <w:ilvl w:val="0"/>
          <w:numId w:val="11"/>
        </w:numPr>
        <w:spacing w:after="120"/>
        <w:ind w:left="709" w:hanging="357"/>
        <w:jc w:val="both"/>
        <w:rPr>
          <w:rFonts w:ascii="Calibri" w:hAnsi="Calibri" w:cs="Calibri"/>
          <w:color w:val="002060"/>
          <w:sz w:val="24"/>
          <w:szCs w:val="24"/>
          <w:u w:val="none"/>
        </w:rPr>
      </w:pPr>
      <w:r w:rsidRPr="00D53CC5">
        <w:rPr>
          <w:rFonts w:ascii="Calibri" w:hAnsi="Calibri" w:cs="Calibri"/>
          <w:color w:val="002060"/>
          <w:sz w:val="24"/>
          <w:szCs w:val="24"/>
          <w:u w:val="none"/>
        </w:rPr>
        <w:t>Are you requiring an acknowledgement to be sent to confirm receipt of the break-down?</w:t>
      </w:r>
    </w:p>
    <w:p w14:paraId="65D9FAD1" w14:textId="57DD4998" w:rsidR="000600AD" w:rsidRPr="00D53CC5" w:rsidRDefault="0007704F" w:rsidP="000C4F4C">
      <w:pPr>
        <w:keepNext/>
        <w:spacing w:before="120"/>
        <w:jc w:val="both"/>
        <w:rPr>
          <w:sz w:val="24"/>
          <w:szCs w:val="24"/>
          <w:lang w:val="en-GB"/>
        </w:rPr>
      </w:pPr>
      <w:r w:rsidRPr="00D53CC5">
        <w:rPr>
          <w:sz w:val="24"/>
          <w:szCs w:val="24"/>
          <w:lang w:val="en-GB"/>
        </w:rPr>
        <w:t xml:space="preserve">As </w:t>
      </w:r>
      <w:r w:rsidR="001E0D0B" w:rsidRPr="00D53CC5">
        <w:rPr>
          <w:sz w:val="24"/>
          <w:szCs w:val="24"/>
          <w:lang w:val="en-GB"/>
        </w:rPr>
        <w:t>clarified</w:t>
      </w:r>
      <w:r w:rsidRPr="00D53CC5">
        <w:rPr>
          <w:sz w:val="24"/>
          <w:szCs w:val="24"/>
          <w:lang w:val="en-GB"/>
        </w:rPr>
        <w:t xml:space="preserve"> under Question 1, </w:t>
      </w:r>
      <w:r w:rsidR="006532E4" w:rsidRPr="00D53CC5">
        <w:rPr>
          <w:sz w:val="24"/>
          <w:szCs w:val="24"/>
          <w:lang w:val="en-GB"/>
        </w:rPr>
        <w:t>t</w:t>
      </w:r>
      <w:r w:rsidR="00557EB5" w:rsidRPr="00D53CC5">
        <w:rPr>
          <w:sz w:val="24"/>
          <w:szCs w:val="24"/>
          <w:lang w:val="en-GB"/>
        </w:rPr>
        <w:t xml:space="preserve">he </w:t>
      </w:r>
      <w:r w:rsidR="00AF6DEA" w:rsidRPr="00D53CC5">
        <w:rPr>
          <w:sz w:val="24"/>
          <w:szCs w:val="24"/>
          <w:lang w:val="en-GB"/>
        </w:rPr>
        <w:t>Directive</w:t>
      </w:r>
      <w:r w:rsidR="006532E4" w:rsidRPr="00D53CC5">
        <w:rPr>
          <w:sz w:val="24"/>
          <w:szCs w:val="24"/>
          <w:lang w:val="en-GB"/>
        </w:rPr>
        <w:t xml:space="preserve"> does not </w:t>
      </w:r>
      <w:r w:rsidR="003F1765" w:rsidRPr="00D53CC5">
        <w:rPr>
          <w:sz w:val="24"/>
          <w:szCs w:val="24"/>
          <w:lang w:val="en-GB"/>
        </w:rPr>
        <w:t xml:space="preserve">prevent that the </w:t>
      </w:r>
      <w:r w:rsidR="006532E4" w:rsidRPr="00D53CC5">
        <w:rPr>
          <w:sz w:val="24"/>
          <w:szCs w:val="24"/>
          <w:lang w:val="en-GB"/>
        </w:rPr>
        <w:t xml:space="preserve">information </w:t>
      </w:r>
      <w:r w:rsidR="003F1765" w:rsidRPr="00D53CC5">
        <w:rPr>
          <w:sz w:val="24"/>
          <w:szCs w:val="24"/>
          <w:lang w:val="en-GB"/>
        </w:rPr>
        <w:t xml:space="preserve">flows </w:t>
      </w:r>
      <w:r w:rsidR="006532E4" w:rsidRPr="00D53CC5">
        <w:rPr>
          <w:sz w:val="24"/>
          <w:szCs w:val="24"/>
          <w:lang w:val="en-GB"/>
        </w:rPr>
        <w:t>th</w:t>
      </w:r>
      <w:r w:rsidR="003F1765" w:rsidRPr="00D53CC5">
        <w:rPr>
          <w:sz w:val="24"/>
          <w:szCs w:val="24"/>
          <w:lang w:val="en-GB"/>
        </w:rPr>
        <w:t>r</w:t>
      </w:r>
      <w:r w:rsidR="006532E4" w:rsidRPr="00D53CC5">
        <w:rPr>
          <w:sz w:val="24"/>
          <w:szCs w:val="24"/>
          <w:lang w:val="en-GB"/>
        </w:rPr>
        <w:t>ough the custody chain provided that certain conditions are met</w:t>
      </w:r>
      <w:r w:rsidR="003F1765" w:rsidRPr="00D53CC5">
        <w:rPr>
          <w:sz w:val="24"/>
          <w:szCs w:val="24"/>
          <w:lang w:val="en-GB"/>
        </w:rPr>
        <w:t>. H</w:t>
      </w:r>
      <w:r w:rsidR="006532E4" w:rsidRPr="00D53CC5">
        <w:rPr>
          <w:sz w:val="24"/>
          <w:szCs w:val="24"/>
          <w:lang w:val="en-GB"/>
        </w:rPr>
        <w:t>owever</w:t>
      </w:r>
      <w:r w:rsidR="003F1765" w:rsidRPr="00D53CC5">
        <w:rPr>
          <w:sz w:val="24"/>
          <w:szCs w:val="24"/>
          <w:lang w:val="en-GB"/>
        </w:rPr>
        <w:t>,</w:t>
      </w:r>
      <w:r w:rsidR="006532E4" w:rsidRPr="00D53CC5">
        <w:rPr>
          <w:sz w:val="24"/>
          <w:szCs w:val="24"/>
          <w:lang w:val="en-GB"/>
        </w:rPr>
        <w:t xml:space="preserve"> it does not </w:t>
      </w:r>
      <w:r w:rsidR="00557EB5" w:rsidRPr="00D53CC5">
        <w:rPr>
          <w:sz w:val="24"/>
          <w:szCs w:val="24"/>
          <w:lang w:val="en-GB"/>
        </w:rPr>
        <w:t xml:space="preserve">set out an obligation </w:t>
      </w:r>
      <w:r w:rsidR="00AF6DEA" w:rsidRPr="00D53CC5">
        <w:rPr>
          <w:sz w:val="24"/>
          <w:szCs w:val="24"/>
          <w:lang w:val="en-GB"/>
        </w:rPr>
        <w:t xml:space="preserve">to transmit the information along the </w:t>
      </w:r>
      <w:r w:rsidR="00557EB5" w:rsidRPr="00D53CC5">
        <w:rPr>
          <w:sz w:val="24"/>
          <w:szCs w:val="24"/>
          <w:lang w:val="en-GB"/>
        </w:rPr>
        <w:t xml:space="preserve">entire </w:t>
      </w:r>
      <w:r w:rsidR="00AF6DEA" w:rsidRPr="00D53CC5">
        <w:rPr>
          <w:sz w:val="24"/>
          <w:szCs w:val="24"/>
          <w:lang w:val="en-GB"/>
        </w:rPr>
        <w:t>custody chain.</w:t>
      </w:r>
      <w:r w:rsidR="006532E4" w:rsidRPr="00D53CC5">
        <w:rPr>
          <w:sz w:val="24"/>
          <w:szCs w:val="24"/>
          <w:lang w:val="en-GB"/>
        </w:rPr>
        <w:t xml:space="preserve"> </w:t>
      </w:r>
    </w:p>
    <w:p w14:paraId="25B41AE5" w14:textId="30FF14C1"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4</w:t>
      </w:r>
      <w:r w:rsidRPr="00D53CC5">
        <w:rPr>
          <w:b/>
          <w:sz w:val="24"/>
          <w:szCs w:val="24"/>
          <w:u w:val="single"/>
          <w:lang w:val="en-GB"/>
        </w:rPr>
        <w:t>:</w:t>
      </w:r>
    </w:p>
    <w:p w14:paraId="5A261B2E" w14:textId="09787EFD" w:rsidR="0007704F" w:rsidRPr="00D53CC5" w:rsidRDefault="00A5086D" w:rsidP="006E3C4B">
      <w:pPr>
        <w:keepLines/>
        <w:spacing w:before="120"/>
        <w:jc w:val="both"/>
        <w:rPr>
          <w:color w:val="002060"/>
          <w:sz w:val="24"/>
          <w:szCs w:val="24"/>
          <w:u w:val="single"/>
          <w:lang w:val="en-GB"/>
        </w:rPr>
      </w:pPr>
      <w:r w:rsidRPr="00D53CC5">
        <w:rPr>
          <w:color w:val="002060"/>
          <w:sz w:val="24"/>
          <w:szCs w:val="24"/>
          <w:lang w:val="en-GB"/>
        </w:rPr>
        <w:t>“3.</w:t>
      </w:r>
      <w:r w:rsidRPr="00D53CC5">
        <w:rPr>
          <w:color w:val="002060"/>
          <w:sz w:val="24"/>
          <w:szCs w:val="24"/>
          <w:lang w:val="en-GB"/>
        </w:rPr>
        <w:tab/>
      </w:r>
      <w:r w:rsidR="0007704F" w:rsidRPr="00D53CC5">
        <w:rPr>
          <w:color w:val="002060"/>
          <w:sz w:val="24"/>
          <w:szCs w:val="24"/>
          <w:u w:val="single"/>
          <w:lang w:val="en-GB"/>
        </w:rPr>
        <w:t>How to ensure we meet art.10 obligations (Min. Security Requirements)?</w:t>
      </w:r>
    </w:p>
    <w:p w14:paraId="02ED8CBB" w14:textId="77777777" w:rsidR="0007704F" w:rsidRPr="00D53CC5" w:rsidRDefault="0007704F" w:rsidP="006E3C4B">
      <w:pPr>
        <w:keepLines/>
        <w:spacing w:before="120"/>
        <w:jc w:val="both"/>
        <w:rPr>
          <w:color w:val="002060"/>
          <w:sz w:val="24"/>
          <w:szCs w:val="24"/>
          <w:lang w:val="en-GB"/>
        </w:rPr>
      </w:pPr>
      <w:r w:rsidRPr="00D53CC5">
        <w:rPr>
          <w:color w:val="002060"/>
          <w:sz w:val="24"/>
          <w:szCs w:val="24"/>
          <w:lang w:val="en-GB"/>
        </w:rPr>
        <w:t>Please detail the process flow you require to comply with art 10 provision  </w:t>
      </w:r>
    </w:p>
    <w:p w14:paraId="314C0F50" w14:textId="009A611C" w:rsidR="00EF2037" w:rsidRPr="00D53CC5" w:rsidRDefault="0007704F" w:rsidP="002B5A26">
      <w:pPr>
        <w:keepLines/>
        <w:jc w:val="both"/>
        <w:rPr>
          <w:b/>
          <w:sz w:val="24"/>
          <w:szCs w:val="24"/>
          <w:u w:val="single"/>
          <w:lang w:val="en-GB"/>
        </w:rPr>
      </w:pPr>
      <w:r w:rsidRPr="00D53CC5">
        <w:rPr>
          <w:color w:val="002060"/>
          <w:sz w:val="24"/>
          <w:szCs w:val="24"/>
          <w:lang w:val="en-GB"/>
        </w:rPr>
        <w:t>Please clarify the check list you envisage to make sure that requestor is entitled to make the request</w:t>
      </w:r>
      <w:r w:rsidR="00A5086D" w:rsidRPr="00D53CC5">
        <w:rPr>
          <w:color w:val="002060"/>
          <w:sz w:val="24"/>
          <w:szCs w:val="24"/>
          <w:lang w:val="en-GB"/>
        </w:rPr>
        <w:t>”</w:t>
      </w:r>
      <w:r w:rsidR="00E53EC1" w:rsidRPr="00D53CC5">
        <w:rPr>
          <w:b/>
          <w:sz w:val="24"/>
          <w:szCs w:val="24"/>
          <w:u w:val="single"/>
          <w:lang w:val="en-GB"/>
        </w:rPr>
        <w:t xml:space="preserve"> </w:t>
      </w:r>
    </w:p>
    <w:p w14:paraId="28AF9E4F" w14:textId="0EC2ADF4" w:rsidR="004F5F43" w:rsidRPr="00D53CC5" w:rsidRDefault="008B7D4B" w:rsidP="006E3C4B">
      <w:pPr>
        <w:spacing w:before="120"/>
        <w:jc w:val="both"/>
        <w:rPr>
          <w:sz w:val="24"/>
          <w:szCs w:val="24"/>
          <w:lang w:val="en-GB"/>
        </w:rPr>
      </w:pPr>
      <w:r w:rsidRPr="00D53CC5">
        <w:rPr>
          <w:sz w:val="24"/>
          <w:szCs w:val="24"/>
          <w:lang w:val="en-GB"/>
        </w:rPr>
        <w:t xml:space="preserve">The </w:t>
      </w:r>
      <w:r w:rsidR="0074713C" w:rsidRPr="00D53CC5">
        <w:rPr>
          <w:sz w:val="24"/>
          <w:szCs w:val="24"/>
          <w:lang w:val="en-GB"/>
        </w:rPr>
        <w:t>minimum security requirements</w:t>
      </w:r>
      <w:r w:rsidRPr="00D53CC5">
        <w:rPr>
          <w:sz w:val="24"/>
          <w:szCs w:val="24"/>
          <w:lang w:val="en-GB"/>
        </w:rPr>
        <w:t xml:space="preserve"> </w:t>
      </w:r>
      <w:r w:rsidR="0074713C" w:rsidRPr="00D53CC5">
        <w:rPr>
          <w:sz w:val="24"/>
          <w:szCs w:val="24"/>
          <w:lang w:val="en-GB"/>
        </w:rPr>
        <w:t xml:space="preserve">in relation to the transmission, processing and storage of personal data </w:t>
      </w:r>
      <w:r w:rsidRPr="00D53CC5">
        <w:rPr>
          <w:sz w:val="24"/>
          <w:szCs w:val="24"/>
          <w:lang w:val="en-GB"/>
        </w:rPr>
        <w:t xml:space="preserve">are set out in the Directive and the Implementing Regulation. </w:t>
      </w:r>
      <w:r w:rsidR="004F5F43" w:rsidRPr="00D53CC5">
        <w:rPr>
          <w:sz w:val="24"/>
          <w:szCs w:val="24"/>
          <w:lang w:val="en-GB"/>
        </w:rPr>
        <w:t>The legislation is technology neutral and i</w:t>
      </w:r>
      <w:r w:rsidRPr="00D53CC5">
        <w:rPr>
          <w:sz w:val="24"/>
          <w:szCs w:val="24"/>
          <w:lang w:val="en-GB"/>
        </w:rPr>
        <w:t xml:space="preserve">t is for the market players to make sure that the </w:t>
      </w:r>
      <w:r w:rsidR="0074713C" w:rsidRPr="00D53CC5">
        <w:rPr>
          <w:sz w:val="24"/>
          <w:szCs w:val="24"/>
          <w:lang w:val="en-GB"/>
        </w:rPr>
        <w:t xml:space="preserve">technical and </w:t>
      </w:r>
      <w:r w:rsidRPr="00D53CC5">
        <w:rPr>
          <w:sz w:val="24"/>
          <w:szCs w:val="24"/>
          <w:lang w:val="en-GB"/>
        </w:rPr>
        <w:t>organisational measures and the processes they implement ensure the secure transmission</w:t>
      </w:r>
      <w:r w:rsidR="0074713C" w:rsidRPr="00D53CC5">
        <w:rPr>
          <w:sz w:val="24"/>
          <w:szCs w:val="24"/>
          <w:lang w:val="en-GB"/>
        </w:rPr>
        <w:t xml:space="preserve"> </w:t>
      </w:r>
      <w:r w:rsidRPr="00D53CC5">
        <w:rPr>
          <w:sz w:val="24"/>
          <w:szCs w:val="24"/>
          <w:lang w:val="en-GB"/>
        </w:rPr>
        <w:t>of confidential data</w:t>
      </w:r>
      <w:r w:rsidR="003B3079" w:rsidRPr="00D53CC5">
        <w:rPr>
          <w:sz w:val="24"/>
          <w:szCs w:val="24"/>
          <w:lang w:val="en-GB"/>
        </w:rPr>
        <w:t xml:space="preserve"> </w:t>
      </w:r>
      <w:r w:rsidR="004F5F43" w:rsidRPr="00D53CC5">
        <w:rPr>
          <w:sz w:val="24"/>
          <w:szCs w:val="24"/>
          <w:lang w:val="en-GB"/>
        </w:rPr>
        <w:t>as well as the protection</w:t>
      </w:r>
      <w:r w:rsidR="003B3079" w:rsidRPr="00D53CC5">
        <w:rPr>
          <w:sz w:val="24"/>
          <w:szCs w:val="24"/>
          <w:lang w:val="en-GB"/>
        </w:rPr>
        <w:t xml:space="preserve"> (and eventual deletion) </w:t>
      </w:r>
      <w:r w:rsidR="004F5F43" w:rsidRPr="00D53CC5">
        <w:rPr>
          <w:sz w:val="24"/>
          <w:szCs w:val="24"/>
          <w:lang w:val="en-GB"/>
        </w:rPr>
        <w:t>of personal data</w:t>
      </w:r>
      <w:r w:rsidRPr="00D53CC5">
        <w:rPr>
          <w:sz w:val="24"/>
          <w:szCs w:val="24"/>
          <w:lang w:val="en-GB"/>
        </w:rPr>
        <w:t>.</w:t>
      </w:r>
    </w:p>
    <w:p w14:paraId="3C328F29" w14:textId="38D31A0A" w:rsidR="001F25E5" w:rsidRPr="00D53CC5" w:rsidRDefault="001E0D0B" w:rsidP="000C4F4C">
      <w:pPr>
        <w:keepNext/>
        <w:spacing w:before="120"/>
        <w:jc w:val="both"/>
        <w:rPr>
          <w:sz w:val="24"/>
          <w:szCs w:val="24"/>
          <w:lang w:val="en-GB"/>
        </w:rPr>
      </w:pPr>
      <w:r w:rsidRPr="00D53CC5">
        <w:rPr>
          <w:sz w:val="24"/>
          <w:szCs w:val="24"/>
          <w:lang w:val="en-GB"/>
        </w:rPr>
        <w:t xml:space="preserve">Regarding the second </w:t>
      </w:r>
      <w:r w:rsidR="00D56A94" w:rsidRPr="00D53CC5">
        <w:rPr>
          <w:sz w:val="24"/>
          <w:szCs w:val="24"/>
          <w:lang w:val="en-GB"/>
        </w:rPr>
        <w:t xml:space="preserve">question, </w:t>
      </w:r>
      <w:r w:rsidR="0074713C" w:rsidRPr="00D53CC5">
        <w:rPr>
          <w:sz w:val="24"/>
          <w:szCs w:val="24"/>
          <w:lang w:val="en-GB"/>
        </w:rPr>
        <w:t xml:space="preserve">the </w:t>
      </w:r>
      <w:r w:rsidR="00D56A94" w:rsidRPr="00D53CC5">
        <w:rPr>
          <w:sz w:val="24"/>
          <w:szCs w:val="24"/>
          <w:lang w:val="en-GB"/>
        </w:rPr>
        <w:t xml:space="preserve">Regulation requires the authentication of </w:t>
      </w:r>
      <w:r w:rsidR="0074713C" w:rsidRPr="00D53CC5">
        <w:rPr>
          <w:sz w:val="24"/>
          <w:szCs w:val="24"/>
          <w:lang w:val="en-GB"/>
        </w:rPr>
        <w:t>information originated by the issuer or a relevant third party and the verification that the request or information transmitted originates from the issuer.</w:t>
      </w:r>
    </w:p>
    <w:p w14:paraId="59917255" w14:textId="0D35C988"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5</w:t>
      </w:r>
      <w:r w:rsidRPr="00D53CC5">
        <w:rPr>
          <w:b/>
          <w:sz w:val="24"/>
          <w:szCs w:val="24"/>
          <w:u w:val="single"/>
          <w:lang w:val="en-GB"/>
        </w:rPr>
        <w:t>:</w:t>
      </w:r>
    </w:p>
    <w:p w14:paraId="1E56CC34" w14:textId="303FFD49" w:rsidR="0007704F" w:rsidRPr="00D53CC5" w:rsidRDefault="00A5086D" w:rsidP="006E3C4B">
      <w:pPr>
        <w:keepLines/>
        <w:spacing w:before="120"/>
        <w:jc w:val="both"/>
        <w:rPr>
          <w:color w:val="002060"/>
          <w:sz w:val="24"/>
          <w:szCs w:val="24"/>
          <w:lang w:val="en-GB"/>
        </w:rPr>
      </w:pPr>
      <w:r w:rsidRPr="00D53CC5">
        <w:rPr>
          <w:color w:val="002060"/>
          <w:sz w:val="24"/>
          <w:szCs w:val="24"/>
          <w:lang w:val="en-GB"/>
        </w:rPr>
        <w:t>“4.</w:t>
      </w:r>
      <w:r w:rsidRPr="00D53CC5">
        <w:rPr>
          <w:color w:val="002060"/>
          <w:sz w:val="24"/>
          <w:szCs w:val="24"/>
          <w:lang w:val="en-GB"/>
        </w:rPr>
        <w:tab/>
      </w:r>
      <w:r w:rsidR="0007704F" w:rsidRPr="00D53CC5">
        <w:rPr>
          <w:color w:val="002060"/>
          <w:sz w:val="24"/>
          <w:szCs w:val="24"/>
          <w:u w:val="single"/>
          <w:lang w:val="en-GB"/>
        </w:rPr>
        <w:t xml:space="preserve">The detailed review of the response message (table 2) has raised some questions on the details of the account details to be provided (field six and seven in part B of table 2). </w:t>
      </w:r>
      <w:r w:rsidR="0007704F" w:rsidRPr="00D53CC5">
        <w:rPr>
          <w:color w:val="002060"/>
          <w:sz w:val="24"/>
          <w:szCs w:val="24"/>
          <w:lang w:val="en-GB"/>
        </w:rPr>
        <w:t>In particular, various options have been identified for which we would appreciate some guidance on which we should implement:</w:t>
      </w:r>
    </w:p>
    <w:p w14:paraId="02E4B0ED" w14:textId="77777777" w:rsidR="0007704F" w:rsidRPr="00D53CC5" w:rsidRDefault="0007704F" w:rsidP="002B5A26">
      <w:pPr>
        <w:pStyle w:val="ListParagraph"/>
        <w:keepLines/>
        <w:numPr>
          <w:ilvl w:val="0"/>
          <w:numId w:val="12"/>
        </w:numPr>
        <w:spacing w:before="120"/>
        <w:ind w:left="714" w:hanging="357"/>
        <w:jc w:val="both"/>
        <w:rPr>
          <w:rFonts w:ascii="Calibri" w:hAnsi="Calibri" w:cs="Calibri"/>
          <w:color w:val="002060"/>
          <w:sz w:val="24"/>
          <w:szCs w:val="24"/>
          <w:u w:val="none"/>
        </w:rPr>
      </w:pPr>
      <w:r w:rsidRPr="00D53CC5">
        <w:rPr>
          <w:rFonts w:ascii="Calibri" w:hAnsi="Calibri" w:cs="Calibri"/>
          <w:color w:val="002060"/>
          <w:sz w:val="24"/>
          <w:szCs w:val="24"/>
        </w:rPr>
        <w:t xml:space="preserve">Option 1a </w:t>
      </w:r>
      <w:r w:rsidRPr="00D53CC5">
        <w:rPr>
          <w:rFonts w:ascii="Calibri" w:hAnsi="Calibri" w:cs="Calibri"/>
          <w:color w:val="002060"/>
          <w:sz w:val="24"/>
          <w:szCs w:val="24"/>
          <w:u w:val="none"/>
        </w:rPr>
        <w:t xml:space="preserve">– the responding intermediary sends one message for each account it has with the intermediary up the chain: this implies that field six and seven remain in sequence B </w:t>
      </w:r>
    </w:p>
    <w:p w14:paraId="1A6412E5" w14:textId="77777777" w:rsidR="0007704F" w:rsidRPr="00D53CC5" w:rsidRDefault="0007704F" w:rsidP="002B5A26">
      <w:pPr>
        <w:pStyle w:val="ListParagraph"/>
        <w:keepLines/>
        <w:numPr>
          <w:ilvl w:val="0"/>
          <w:numId w:val="12"/>
        </w:numPr>
        <w:ind w:left="714" w:hanging="357"/>
        <w:jc w:val="both"/>
        <w:rPr>
          <w:rFonts w:ascii="Calibri" w:hAnsi="Calibri" w:cs="Calibri"/>
          <w:color w:val="002060"/>
          <w:sz w:val="24"/>
          <w:szCs w:val="24"/>
        </w:rPr>
      </w:pPr>
      <w:r w:rsidRPr="00D53CC5">
        <w:rPr>
          <w:rFonts w:ascii="Calibri" w:hAnsi="Calibri" w:cs="Calibri"/>
          <w:color w:val="002060"/>
          <w:sz w:val="24"/>
          <w:szCs w:val="24"/>
        </w:rPr>
        <w:t xml:space="preserve">Option 1b </w:t>
      </w:r>
      <w:r w:rsidRPr="00D53CC5">
        <w:rPr>
          <w:rFonts w:ascii="Calibri" w:hAnsi="Calibri" w:cs="Calibri"/>
          <w:color w:val="002060"/>
          <w:sz w:val="24"/>
          <w:szCs w:val="24"/>
          <w:u w:val="none"/>
        </w:rPr>
        <w:t>– the responding intermediary sends one message for each account it  has with the intermediary up the chain: this implies that field six and seven remain in sequence B + we amend sequence C by adding the account number of the holder in the books of the responding intermediary</w:t>
      </w:r>
    </w:p>
    <w:p w14:paraId="0C35A7C6" w14:textId="77777777" w:rsidR="0007704F" w:rsidRPr="00D53CC5" w:rsidRDefault="0007704F" w:rsidP="002B5A26">
      <w:pPr>
        <w:pStyle w:val="ListParagraph"/>
        <w:keepLines/>
        <w:numPr>
          <w:ilvl w:val="0"/>
          <w:numId w:val="12"/>
        </w:numPr>
        <w:ind w:left="714" w:hanging="357"/>
        <w:jc w:val="both"/>
        <w:rPr>
          <w:rFonts w:ascii="Calibri" w:hAnsi="Calibri" w:cs="Calibri"/>
          <w:color w:val="002060"/>
          <w:sz w:val="24"/>
          <w:szCs w:val="24"/>
          <w:u w:val="none"/>
        </w:rPr>
      </w:pPr>
      <w:r w:rsidRPr="00D53CC5">
        <w:rPr>
          <w:rFonts w:ascii="Calibri" w:hAnsi="Calibri" w:cs="Calibri"/>
          <w:color w:val="002060"/>
          <w:sz w:val="24"/>
          <w:szCs w:val="24"/>
        </w:rPr>
        <w:t xml:space="preserve">Option 2a </w:t>
      </w:r>
      <w:r w:rsidRPr="00D53CC5">
        <w:rPr>
          <w:rFonts w:ascii="Calibri" w:hAnsi="Calibri" w:cs="Calibri"/>
          <w:color w:val="002060"/>
          <w:sz w:val="24"/>
          <w:szCs w:val="24"/>
          <w:u w:val="none"/>
        </w:rPr>
        <w:t xml:space="preserve">– the responding intermediary sends only one message: this implies </w:t>
      </w:r>
      <w:r w:rsidRPr="00D53CC5">
        <w:rPr>
          <w:rFonts w:ascii="Calibri" w:hAnsi="Calibri" w:cs="Calibri"/>
          <w:color w:val="002060"/>
          <w:sz w:val="24"/>
          <w:szCs w:val="24"/>
        </w:rPr>
        <w:t>that</w:t>
      </w:r>
      <w:r w:rsidRPr="00D53CC5">
        <w:rPr>
          <w:rFonts w:ascii="Calibri" w:hAnsi="Calibri" w:cs="Calibri"/>
          <w:color w:val="002060"/>
          <w:sz w:val="24"/>
          <w:szCs w:val="24"/>
          <w:u w:val="none"/>
        </w:rPr>
        <w:t xml:space="preserve"> we move field six and seven to sequence C </w:t>
      </w:r>
    </w:p>
    <w:p w14:paraId="7E1DFD07" w14:textId="77777777" w:rsidR="00A5086D" w:rsidRPr="00D53CC5" w:rsidRDefault="0007704F" w:rsidP="002B5A26">
      <w:pPr>
        <w:pStyle w:val="ListParagraph"/>
        <w:keepLines/>
        <w:numPr>
          <w:ilvl w:val="0"/>
          <w:numId w:val="12"/>
        </w:numPr>
        <w:spacing w:after="120"/>
        <w:ind w:left="714" w:hanging="357"/>
        <w:jc w:val="both"/>
        <w:rPr>
          <w:rFonts w:ascii="Calibri" w:hAnsi="Calibri" w:cs="Calibri"/>
          <w:color w:val="002060"/>
          <w:sz w:val="24"/>
          <w:szCs w:val="24"/>
        </w:rPr>
      </w:pPr>
      <w:r w:rsidRPr="00D53CC5">
        <w:rPr>
          <w:rFonts w:ascii="Calibri" w:hAnsi="Calibri" w:cs="Calibri"/>
          <w:color w:val="002060"/>
          <w:sz w:val="24"/>
          <w:szCs w:val="24"/>
        </w:rPr>
        <w:t xml:space="preserve">Option 2b – </w:t>
      </w:r>
      <w:r w:rsidRPr="00D53CC5">
        <w:rPr>
          <w:rFonts w:ascii="Calibri" w:hAnsi="Calibri" w:cs="Calibri"/>
          <w:color w:val="002060"/>
          <w:sz w:val="24"/>
          <w:szCs w:val="24"/>
          <w:u w:val="none"/>
        </w:rPr>
        <w:t>the responding intermediary sends only one message: this implies that we move field six and seven to sequence C + we amend sequence C by adding the account number of the holder in the books of the responding intermediary</w:t>
      </w:r>
    </w:p>
    <w:p w14:paraId="54C03FF6" w14:textId="60529523" w:rsidR="002C1A46" w:rsidRPr="00D53CC5" w:rsidRDefault="00B95033" w:rsidP="006E3C4B">
      <w:pPr>
        <w:keepLines/>
        <w:spacing w:before="120"/>
        <w:jc w:val="both"/>
        <w:rPr>
          <w:sz w:val="24"/>
          <w:szCs w:val="24"/>
          <w:lang w:val="en-GB"/>
        </w:rPr>
      </w:pPr>
      <w:r w:rsidRPr="00D53CC5">
        <w:rPr>
          <w:sz w:val="24"/>
          <w:szCs w:val="24"/>
          <w:lang w:val="en-GB"/>
        </w:rPr>
        <w:t>T</w:t>
      </w:r>
      <w:r w:rsidR="008156C6" w:rsidRPr="00D53CC5">
        <w:rPr>
          <w:sz w:val="24"/>
          <w:szCs w:val="24"/>
          <w:lang w:val="en-GB"/>
        </w:rPr>
        <w:t xml:space="preserve">he Implementing Regulation does not leave room for changing the </w:t>
      </w:r>
      <w:r w:rsidR="00FD165A" w:rsidRPr="00D53CC5">
        <w:rPr>
          <w:sz w:val="24"/>
          <w:szCs w:val="24"/>
          <w:lang w:val="en-GB"/>
        </w:rPr>
        <w:t xml:space="preserve">format </w:t>
      </w:r>
      <w:r w:rsidR="008156C6" w:rsidRPr="00D53CC5">
        <w:rPr>
          <w:sz w:val="24"/>
          <w:szCs w:val="24"/>
          <w:lang w:val="en-GB"/>
        </w:rPr>
        <w:t xml:space="preserve">of the </w:t>
      </w:r>
      <w:r w:rsidR="00FD165A" w:rsidRPr="00D53CC5">
        <w:rPr>
          <w:sz w:val="24"/>
          <w:szCs w:val="24"/>
          <w:lang w:val="en-GB"/>
        </w:rPr>
        <w:t>response</w:t>
      </w:r>
      <w:r w:rsidR="008156C6" w:rsidRPr="00D53CC5">
        <w:rPr>
          <w:sz w:val="24"/>
          <w:szCs w:val="24"/>
          <w:lang w:val="en-GB"/>
        </w:rPr>
        <w:t xml:space="preserve">, so field 6 and 7 has to be included in Part B. </w:t>
      </w:r>
      <w:r w:rsidR="00D649D0" w:rsidRPr="00D53CC5">
        <w:rPr>
          <w:sz w:val="24"/>
          <w:szCs w:val="24"/>
          <w:lang w:val="en-GB"/>
        </w:rPr>
        <w:t xml:space="preserve">It appears to us logical that the intermediary sends one message per account with the intermediary up the chain, however this is not necessarily required by the </w:t>
      </w:r>
      <w:r w:rsidR="005F56E0" w:rsidRPr="00D53CC5">
        <w:rPr>
          <w:sz w:val="24"/>
          <w:szCs w:val="24"/>
          <w:lang w:val="en-GB"/>
        </w:rPr>
        <w:t>Regulation</w:t>
      </w:r>
      <w:r w:rsidR="00D649D0" w:rsidRPr="00D53CC5">
        <w:rPr>
          <w:sz w:val="24"/>
          <w:szCs w:val="24"/>
          <w:lang w:val="en-GB"/>
        </w:rPr>
        <w:t xml:space="preserve">. </w:t>
      </w:r>
    </w:p>
    <w:p w14:paraId="03F0D2CC" w14:textId="0ACACD7A" w:rsidR="002C1A46" w:rsidRPr="00D53CC5" w:rsidRDefault="00C70AC5" w:rsidP="000C4F4C">
      <w:pPr>
        <w:keepNext/>
        <w:spacing w:before="120"/>
        <w:jc w:val="both"/>
        <w:rPr>
          <w:sz w:val="24"/>
          <w:szCs w:val="24"/>
          <w:lang w:val="en-GB"/>
        </w:rPr>
      </w:pPr>
      <w:r w:rsidRPr="00D53CC5">
        <w:rPr>
          <w:sz w:val="24"/>
          <w:szCs w:val="24"/>
          <w:lang w:val="en-GB"/>
        </w:rPr>
        <w:lastRenderedPageBreak/>
        <w:t>As the R</w:t>
      </w:r>
      <w:r w:rsidR="00E53EC1" w:rsidRPr="00D53CC5">
        <w:rPr>
          <w:sz w:val="24"/>
          <w:szCs w:val="24"/>
          <w:lang w:val="en-GB"/>
        </w:rPr>
        <w:t xml:space="preserve">egulation sets out the minimum information to be transmitted, it does not </w:t>
      </w:r>
      <w:r w:rsidR="003F1765" w:rsidRPr="00D53CC5">
        <w:rPr>
          <w:sz w:val="24"/>
          <w:szCs w:val="24"/>
          <w:lang w:val="en-GB"/>
        </w:rPr>
        <w:t>preclude</w:t>
      </w:r>
      <w:r w:rsidR="00E53EC1" w:rsidRPr="00D53CC5">
        <w:rPr>
          <w:sz w:val="24"/>
          <w:szCs w:val="24"/>
          <w:lang w:val="en-GB"/>
        </w:rPr>
        <w:t xml:space="preserve"> specifying the account number of the relevan</w:t>
      </w:r>
      <w:r w:rsidR="00D649D0" w:rsidRPr="00D53CC5">
        <w:rPr>
          <w:sz w:val="24"/>
          <w:szCs w:val="24"/>
          <w:lang w:val="en-GB"/>
        </w:rPr>
        <w:t>t shareholder also under sequence C, however</w:t>
      </w:r>
      <w:r w:rsidRPr="00D53CC5">
        <w:rPr>
          <w:sz w:val="24"/>
          <w:szCs w:val="24"/>
          <w:lang w:val="en-GB"/>
        </w:rPr>
        <w:t>,</w:t>
      </w:r>
      <w:r w:rsidR="00D649D0" w:rsidRPr="00D53CC5">
        <w:rPr>
          <w:sz w:val="24"/>
          <w:szCs w:val="24"/>
          <w:lang w:val="en-GB"/>
        </w:rPr>
        <w:t xml:space="preserve"> this may not be necessary if there are multiple </w:t>
      </w:r>
      <w:r w:rsidRPr="00D53CC5">
        <w:rPr>
          <w:sz w:val="24"/>
          <w:szCs w:val="24"/>
          <w:lang w:val="en-GB"/>
        </w:rPr>
        <w:t xml:space="preserve">reply </w:t>
      </w:r>
      <w:r w:rsidR="00D649D0" w:rsidRPr="00D53CC5">
        <w:rPr>
          <w:sz w:val="24"/>
          <w:szCs w:val="24"/>
          <w:lang w:val="en-GB"/>
        </w:rPr>
        <w:t xml:space="preserve">messages sent (as </w:t>
      </w:r>
      <w:r w:rsidR="006B5F1C">
        <w:rPr>
          <w:sz w:val="24"/>
          <w:szCs w:val="24"/>
          <w:lang w:val="en-GB"/>
        </w:rPr>
        <w:t>in o</w:t>
      </w:r>
      <w:r w:rsidR="00D649D0" w:rsidRPr="00D53CC5">
        <w:rPr>
          <w:sz w:val="24"/>
          <w:szCs w:val="24"/>
          <w:lang w:val="en-GB"/>
        </w:rPr>
        <w:t>ption</w:t>
      </w:r>
      <w:r w:rsidRPr="00D53CC5">
        <w:rPr>
          <w:sz w:val="24"/>
          <w:szCs w:val="24"/>
          <w:lang w:val="en-GB"/>
        </w:rPr>
        <w:t>s</w:t>
      </w:r>
      <w:r w:rsidR="00FC1DAD" w:rsidRPr="00D53CC5">
        <w:rPr>
          <w:sz w:val="24"/>
          <w:szCs w:val="24"/>
          <w:lang w:val="en-GB"/>
        </w:rPr>
        <w:t xml:space="preserve"> 1a and 1b). </w:t>
      </w:r>
    </w:p>
    <w:p w14:paraId="7F5B3BE5" w14:textId="68F919B9"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6</w:t>
      </w:r>
      <w:r w:rsidRPr="00D53CC5">
        <w:rPr>
          <w:b/>
          <w:sz w:val="24"/>
          <w:szCs w:val="24"/>
          <w:u w:val="single"/>
          <w:lang w:val="en-GB"/>
        </w:rPr>
        <w:t>:</w:t>
      </w:r>
    </w:p>
    <w:p w14:paraId="1061D9CF" w14:textId="68008B83" w:rsidR="0007704F" w:rsidRPr="00D53CC5" w:rsidRDefault="00A5086D" w:rsidP="006E3C4B">
      <w:pPr>
        <w:spacing w:before="120"/>
        <w:jc w:val="both"/>
        <w:rPr>
          <w:color w:val="002060"/>
          <w:sz w:val="24"/>
          <w:szCs w:val="24"/>
          <w:lang w:val="en-GB"/>
        </w:rPr>
      </w:pPr>
      <w:r w:rsidRPr="00D53CC5">
        <w:rPr>
          <w:color w:val="002060"/>
          <w:sz w:val="24"/>
          <w:szCs w:val="24"/>
          <w:lang w:val="en-GB"/>
        </w:rPr>
        <w:t>“5.</w:t>
      </w:r>
      <w:r w:rsidRPr="00D53CC5">
        <w:rPr>
          <w:color w:val="002060"/>
          <w:sz w:val="24"/>
          <w:szCs w:val="24"/>
          <w:lang w:val="en-GB"/>
        </w:rPr>
        <w:tab/>
      </w:r>
      <w:r w:rsidR="0007704F" w:rsidRPr="00D53CC5">
        <w:rPr>
          <w:color w:val="002060"/>
          <w:sz w:val="24"/>
          <w:szCs w:val="24"/>
          <w:u w:val="single"/>
          <w:lang w:val="en-GB"/>
        </w:rPr>
        <w:t>In case of joint accounts, what reporting rules should we use?</w:t>
      </w:r>
      <w:r w:rsidR="0007704F" w:rsidRPr="00D53CC5">
        <w:rPr>
          <w:color w:val="002060"/>
          <w:sz w:val="24"/>
          <w:szCs w:val="24"/>
          <w:lang w:val="en-GB"/>
        </w:rPr>
        <w:t xml:space="preserve"> Those of the country of issuance of the shares or those of the country of residence of the shareholder?</w:t>
      </w:r>
    </w:p>
    <w:p w14:paraId="6253FEB9" w14:textId="5DE7947B" w:rsidR="00957B62" w:rsidRPr="00D53CC5" w:rsidRDefault="00957B62" w:rsidP="006E3C4B">
      <w:pPr>
        <w:keepLines/>
        <w:spacing w:before="120"/>
        <w:jc w:val="both"/>
        <w:rPr>
          <w:sz w:val="24"/>
          <w:szCs w:val="24"/>
          <w:lang w:val="en-GB"/>
        </w:rPr>
      </w:pPr>
      <w:r w:rsidRPr="00D53CC5">
        <w:rPr>
          <w:sz w:val="24"/>
          <w:szCs w:val="24"/>
          <w:lang w:val="en-GB"/>
        </w:rPr>
        <w:t>Please clarify what you understand by joint account and</w:t>
      </w:r>
      <w:r w:rsidR="00C70AC5" w:rsidRPr="00D53CC5">
        <w:rPr>
          <w:sz w:val="24"/>
          <w:szCs w:val="24"/>
          <w:lang w:val="en-GB"/>
        </w:rPr>
        <w:t>,</w:t>
      </w:r>
      <w:r w:rsidRPr="00D53CC5">
        <w:rPr>
          <w:sz w:val="24"/>
          <w:szCs w:val="24"/>
          <w:lang w:val="en-GB"/>
        </w:rPr>
        <w:t xml:space="preserve"> if it is an account used by more than one shareholder, what is the relevance of i</w:t>
      </w:r>
      <w:r w:rsidR="00C70AC5" w:rsidRPr="00D53CC5">
        <w:rPr>
          <w:sz w:val="24"/>
          <w:szCs w:val="24"/>
          <w:lang w:val="en-GB"/>
        </w:rPr>
        <w:t xml:space="preserve">t with respect to reporting. </w:t>
      </w:r>
    </w:p>
    <w:p w14:paraId="112A29C9" w14:textId="6C0FAF28" w:rsidR="00000B01" w:rsidRPr="00D53CC5" w:rsidRDefault="00C70AC5" w:rsidP="000C4F4C">
      <w:pPr>
        <w:keepNext/>
        <w:spacing w:before="120"/>
        <w:jc w:val="both"/>
        <w:rPr>
          <w:sz w:val="24"/>
          <w:szCs w:val="24"/>
          <w:lang w:val="en-GB"/>
        </w:rPr>
      </w:pPr>
      <w:r w:rsidRPr="00D53CC5">
        <w:rPr>
          <w:sz w:val="24"/>
          <w:szCs w:val="24"/>
          <w:lang w:val="en-GB"/>
        </w:rPr>
        <w:t>In general, t</w:t>
      </w:r>
      <w:r w:rsidR="00957B62" w:rsidRPr="00D53CC5">
        <w:rPr>
          <w:sz w:val="24"/>
          <w:szCs w:val="24"/>
          <w:lang w:val="en-GB"/>
        </w:rPr>
        <w:t xml:space="preserve">he applicable law is defined </w:t>
      </w:r>
      <w:r w:rsidRPr="00D53CC5">
        <w:rPr>
          <w:sz w:val="24"/>
          <w:szCs w:val="24"/>
          <w:lang w:val="en-GB"/>
        </w:rPr>
        <w:t xml:space="preserve">by </w:t>
      </w:r>
      <w:r w:rsidR="00957B62" w:rsidRPr="00D53CC5">
        <w:rPr>
          <w:sz w:val="24"/>
          <w:szCs w:val="24"/>
          <w:lang w:val="en-GB"/>
        </w:rPr>
        <w:t>Article 1(2</w:t>
      </w:r>
      <w:r w:rsidR="00C55D3C" w:rsidRPr="00D53CC5">
        <w:rPr>
          <w:sz w:val="24"/>
          <w:szCs w:val="24"/>
          <w:lang w:val="en-GB"/>
        </w:rPr>
        <w:t>)</w:t>
      </w:r>
      <w:r w:rsidR="00957B62" w:rsidRPr="00D53CC5">
        <w:rPr>
          <w:sz w:val="24"/>
          <w:szCs w:val="24"/>
          <w:lang w:val="en-GB"/>
        </w:rPr>
        <w:t xml:space="preserve"> </w:t>
      </w:r>
      <w:r w:rsidRPr="00D53CC5">
        <w:rPr>
          <w:sz w:val="24"/>
          <w:szCs w:val="24"/>
          <w:lang w:val="en-GB"/>
        </w:rPr>
        <w:t xml:space="preserve">of the </w:t>
      </w:r>
      <w:r w:rsidR="00C55D3C" w:rsidRPr="00D53CC5">
        <w:rPr>
          <w:sz w:val="24"/>
          <w:szCs w:val="24"/>
          <w:lang w:val="en-GB"/>
        </w:rPr>
        <w:t xml:space="preserve">revised </w:t>
      </w:r>
      <w:r w:rsidRPr="00D53CC5">
        <w:rPr>
          <w:sz w:val="24"/>
          <w:szCs w:val="24"/>
          <w:lang w:val="en-GB"/>
        </w:rPr>
        <w:t xml:space="preserve">Directive </w:t>
      </w:r>
      <w:r w:rsidR="00957B62" w:rsidRPr="00D53CC5">
        <w:rPr>
          <w:sz w:val="24"/>
          <w:szCs w:val="24"/>
          <w:lang w:val="en-GB"/>
        </w:rPr>
        <w:t>as being the law of the Member States where the company is registered. This law is</w:t>
      </w:r>
      <w:r w:rsidR="009C4351" w:rsidRPr="00D53CC5">
        <w:rPr>
          <w:sz w:val="24"/>
          <w:szCs w:val="24"/>
          <w:lang w:val="en-GB"/>
        </w:rPr>
        <w:t xml:space="preserve"> applicable to determine the requirements for the intermediaries with respect to services provided as regards shares of that company, in particular as regards the definition of the shareholder and as regards the application of any threshold with respect to shareholder identification under Article 3a(1). </w:t>
      </w:r>
    </w:p>
    <w:p w14:paraId="5866E616" w14:textId="7AE68C2A"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7</w:t>
      </w:r>
      <w:r w:rsidRPr="00D53CC5">
        <w:rPr>
          <w:b/>
          <w:sz w:val="24"/>
          <w:szCs w:val="24"/>
          <w:u w:val="single"/>
          <w:lang w:val="en-GB"/>
        </w:rPr>
        <w:t>:</w:t>
      </w:r>
    </w:p>
    <w:p w14:paraId="14ED8D4E" w14:textId="29A274C8" w:rsidR="0007704F" w:rsidRPr="00D53CC5" w:rsidRDefault="00A5086D" w:rsidP="006E3C4B">
      <w:pPr>
        <w:spacing w:before="120"/>
        <w:jc w:val="both"/>
        <w:rPr>
          <w:color w:val="002060"/>
          <w:sz w:val="24"/>
          <w:szCs w:val="24"/>
          <w:lang w:val="en-GB"/>
        </w:rPr>
      </w:pPr>
      <w:r w:rsidRPr="00D53CC5">
        <w:rPr>
          <w:color w:val="002060"/>
          <w:sz w:val="24"/>
          <w:szCs w:val="24"/>
          <w:lang w:val="en-GB"/>
        </w:rPr>
        <w:t>“6.</w:t>
      </w:r>
      <w:r w:rsidRPr="00D53CC5">
        <w:rPr>
          <w:color w:val="002060"/>
          <w:sz w:val="24"/>
          <w:szCs w:val="24"/>
          <w:lang w:val="en-GB"/>
        </w:rPr>
        <w:tab/>
      </w:r>
      <w:r w:rsidR="0007704F" w:rsidRPr="00D53CC5">
        <w:rPr>
          <w:color w:val="002060"/>
          <w:sz w:val="24"/>
          <w:szCs w:val="24"/>
          <w:u w:val="single"/>
          <w:lang w:val="en-GB"/>
        </w:rPr>
        <w:t>Where an account is set up and declared as proprietary account identify as such from previous actor in the chain</w:t>
      </w:r>
      <w:r w:rsidR="0007704F" w:rsidRPr="00D53CC5">
        <w:rPr>
          <w:color w:val="002060"/>
          <w:sz w:val="24"/>
          <w:szCs w:val="24"/>
          <w:lang w:val="en-GB"/>
        </w:rPr>
        <w:t>, how should be reported at table 2C10?</w:t>
      </w:r>
      <w:r w:rsidRPr="00D53CC5">
        <w:rPr>
          <w:color w:val="002060"/>
          <w:sz w:val="24"/>
          <w:szCs w:val="24"/>
          <w:lang w:val="en-GB"/>
        </w:rPr>
        <w:t>”</w:t>
      </w:r>
    </w:p>
    <w:p w14:paraId="0A807672" w14:textId="77777777" w:rsidR="006E3C4B" w:rsidRDefault="00C55D3C" w:rsidP="000C4F4C">
      <w:pPr>
        <w:keepNext/>
        <w:spacing w:before="120"/>
        <w:jc w:val="both"/>
        <w:rPr>
          <w:sz w:val="24"/>
          <w:szCs w:val="24"/>
          <w:lang w:val="en-GB"/>
        </w:rPr>
      </w:pPr>
      <w:r w:rsidRPr="00D53CC5">
        <w:rPr>
          <w:sz w:val="24"/>
          <w:szCs w:val="24"/>
          <w:lang w:val="en-GB"/>
        </w:rPr>
        <w:t>This is related to Q</w:t>
      </w:r>
      <w:r w:rsidR="000E1BC4" w:rsidRPr="00D53CC5">
        <w:rPr>
          <w:sz w:val="24"/>
          <w:szCs w:val="24"/>
          <w:lang w:val="en-GB"/>
        </w:rPr>
        <w:t>uestion</w:t>
      </w:r>
      <w:r w:rsidRPr="00D53CC5">
        <w:rPr>
          <w:sz w:val="24"/>
          <w:szCs w:val="24"/>
          <w:lang w:val="en-GB"/>
        </w:rPr>
        <w:t xml:space="preserve"> 2.</w:t>
      </w:r>
      <w:r w:rsidR="000E1BC4" w:rsidRPr="00D53CC5">
        <w:rPr>
          <w:sz w:val="24"/>
          <w:szCs w:val="24"/>
          <w:lang w:val="en-GB"/>
        </w:rPr>
        <w:t xml:space="preserve">  </w:t>
      </w:r>
    </w:p>
    <w:p w14:paraId="1041CBE4" w14:textId="6053D0DC" w:rsidR="00A5086D" w:rsidRPr="00D53CC5" w:rsidRDefault="00A5086D"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8</w:t>
      </w:r>
      <w:r w:rsidRPr="00D53CC5">
        <w:rPr>
          <w:b/>
          <w:sz w:val="24"/>
          <w:szCs w:val="24"/>
          <w:u w:val="single"/>
          <w:lang w:val="en-GB"/>
        </w:rPr>
        <w:t>:</w:t>
      </w:r>
    </w:p>
    <w:p w14:paraId="7852A3AA" w14:textId="502C4388" w:rsidR="00DF1661" w:rsidRPr="00D53CC5" w:rsidRDefault="00DF1661" w:rsidP="006E3C4B">
      <w:pPr>
        <w:spacing w:before="120"/>
        <w:jc w:val="both"/>
        <w:rPr>
          <w:color w:val="002060"/>
          <w:sz w:val="24"/>
          <w:szCs w:val="24"/>
          <w:lang w:val="en-GB"/>
        </w:rPr>
      </w:pPr>
      <w:r w:rsidRPr="00D53CC5">
        <w:rPr>
          <w:color w:val="002060"/>
          <w:sz w:val="24"/>
          <w:szCs w:val="24"/>
          <w:lang w:val="en-GB"/>
        </w:rPr>
        <w:t>Q3. In Table 3 for Meeting Notice, what do you mean with blank vote? Are you referring to vote withhold (US practise)?</w:t>
      </w:r>
    </w:p>
    <w:p w14:paraId="4D27A7D3" w14:textId="0D9326DE" w:rsidR="00EE388A" w:rsidRPr="00D53CC5" w:rsidRDefault="00324950" w:rsidP="000C4F4C">
      <w:pPr>
        <w:keepNext/>
        <w:spacing w:before="120"/>
        <w:jc w:val="both"/>
        <w:rPr>
          <w:sz w:val="24"/>
          <w:szCs w:val="24"/>
          <w:lang w:val="en-GB"/>
        </w:rPr>
      </w:pPr>
      <w:r w:rsidRPr="00D53CC5">
        <w:rPr>
          <w:sz w:val="24"/>
          <w:szCs w:val="24"/>
          <w:lang w:val="en-GB"/>
        </w:rPr>
        <w:t xml:space="preserve">This is relevant in jurisdictions where the company law allows shareholders to vote but leave the vote empty. Such votes will be calculated as vote cast. </w:t>
      </w:r>
    </w:p>
    <w:p w14:paraId="75FB8939" w14:textId="670DD623"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9</w:t>
      </w:r>
      <w:r w:rsidRPr="00D53CC5">
        <w:rPr>
          <w:b/>
          <w:sz w:val="24"/>
          <w:szCs w:val="24"/>
          <w:u w:val="single"/>
          <w:lang w:val="en-GB"/>
        </w:rPr>
        <w:t>:</w:t>
      </w:r>
    </w:p>
    <w:p w14:paraId="155DAD67" w14:textId="2D43104C" w:rsidR="00DF1661" w:rsidRPr="00D53CC5" w:rsidRDefault="00DF1661" w:rsidP="006E3C4B">
      <w:pPr>
        <w:spacing w:before="120"/>
        <w:jc w:val="both"/>
        <w:rPr>
          <w:color w:val="002060"/>
          <w:sz w:val="24"/>
          <w:szCs w:val="24"/>
          <w:lang w:val="en-GB"/>
        </w:rPr>
      </w:pPr>
      <w:r w:rsidRPr="00D53CC5">
        <w:rPr>
          <w:color w:val="002060"/>
          <w:sz w:val="24"/>
          <w:szCs w:val="24"/>
          <w:lang w:val="en-GB"/>
        </w:rPr>
        <w:t xml:space="preserve">Q4. In Table 3 for Meeting Notice, what do you mean with “other” vote?  </w:t>
      </w:r>
    </w:p>
    <w:p w14:paraId="00D4FADF" w14:textId="7053D4E2" w:rsidR="00306EF3" w:rsidRPr="00D53CC5" w:rsidRDefault="00CC5292" w:rsidP="000C4F4C">
      <w:pPr>
        <w:keepNext/>
        <w:spacing w:before="120"/>
        <w:jc w:val="both"/>
        <w:rPr>
          <w:sz w:val="24"/>
          <w:szCs w:val="24"/>
          <w:lang w:val="en-GB"/>
        </w:rPr>
      </w:pPr>
      <w:r w:rsidRPr="00D53CC5">
        <w:rPr>
          <w:sz w:val="24"/>
          <w:szCs w:val="24"/>
          <w:lang w:val="en-GB"/>
        </w:rPr>
        <w:t>In field 5 of Part E of Table 3 only those alternative voting options should be listed that are applied by the particular issuer</w:t>
      </w:r>
      <w:r w:rsidR="00E464E7" w:rsidRPr="00D53CC5">
        <w:rPr>
          <w:sz w:val="24"/>
          <w:szCs w:val="24"/>
          <w:lang w:val="en-GB"/>
        </w:rPr>
        <w:t xml:space="preserve"> (if any)</w:t>
      </w:r>
      <w:r w:rsidRPr="00D53CC5">
        <w:rPr>
          <w:sz w:val="24"/>
          <w:szCs w:val="24"/>
          <w:lang w:val="en-GB"/>
        </w:rPr>
        <w:t xml:space="preserve">. </w:t>
      </w:r>
    </w:p>
    <w:p w14:paraId="38110D16" w14:textId="25058EEF" w:rsidR="00EE388A" w:rsidRPr="00D53CC5" w:rsidRDefault="00EE388A" w:rsidP="008D240E">
      <w:pPr>
        <w:keepNext/>
        <w:keepLines/>
        <w:spacing w:before="240"/>
        <w:jc w:val="both"/>
        <w:rPr>
          <w:b/>
          <w:sz w:val="24"/>
          <w:szCs w:val="24"/>
          <w:u w:val="single"/>
          <w:lang w:val="en-GB"/>
        </w:rPr>
      </w:pPr>
      <w:r w:rsidRPr="00D53CC5">
        <w:rPr>
          <w:b/>
          <w:sz w:val="24"/>
          <w:szCs w:val="24"/>
          <w:u w:val="single"/>
          <w:lang w:val="en-GB"/>
        </w:rPr>
        <w:t xml:space="preserve">Question </w:t>
      </w:r>
      <w:r w:rsidR="00CC5292" w:rsidRPr="00D53CC5">
        <w:rPr>
          <w:b/>
          <w:sz w:val="24"/>
          <w:szCs w:val="24"/>
          <w:u w:val="single"/>
          <w:lang w:val="en-GB"/>
        </w:rPr>
        <w:t>10</w:t>
      </w:r>
      <w:r w:rsidRPr="00D53CC5">
        <w:rPr>
          <w:b/>
          <w:sz w:val="24"/>
          <w:szCs w:val="24"/>
          <w:u w:val="single"/>
          <w:lang w:val="en-GB"/>
        </w:rPr>
        <w:t>:</w:t>
      </w:r>
    </w:p>
    <w:p w14:paraId="45D21538" w14:textId="3C08BC06" w:rsidR="00DF1661" w:rsidRPr="00D53CC5" w:rsidRDefault="00DF1661" w:rsidP="006E3C4B">
      <w:pPr>
        <w:spacing w:before="120"/>
        <w:jc w:val="both"/>
        <w:rPr>
          <w:color w:val="002060"/>
          <w:sz w:val="24"/>
          <w:szCs w:val="24"/>
          <w:lang w:val="en-GB"/>
        </w:rPr>
      </w:pPr>
      <w:r w:rsidRPr="00D53CC5">
        <w:rPr>
          <w:color w:val="002060"/>
          <w:sz w:val="24"/>
          <w:szCs w:val="24"/>
          <w:lang w:val="en-GB"/>
        </w:rPr>
        <w:t xml:space="preserve">Q5. In Table 3 for Meeting Notice, Part F of the message is unclear. Normally, the agenda of a meeting is set at the time the meeting is announced. </w:t>
      </w:r>
    </w:p>
    <w:p w14:paraId="363AFB5E" w14:textId="2B829B95" w:rsidR="00DD3795" w:rsidRDefault="00595439" w:rsidP="006B5F1C">
      <w:pPr>
        <w:keepNext/>
        <w:spacing w:before="120"/>
        <w:jc w:val="both"/>
        <w:rPr>
          <w:sz w:val="24"/>
          <w:szCs w:val="24"/>
          <w:lang w:val="en-GB"/>
        </w:rPr>
      </w:pPr>
      <w:r w:rsidRPr="00D53CC5">
        <w:rPr>
          <w:sz w:val="24"/>
          <w:szCs w:val="24"/>
          <w:lang w:val="en-GB"/>
        </w:rPr>
        <w:t>The</w:t>
      </w:r>
      <w:r w:rsidR="001C40A1" w:rsidRPr="00D53CC5">
        <w:rPr>
          <w:sz w:val="24"/>
          <w:szCs w:val="24"/>
          <w:lang w:val="en-GB"/>
        </w:rPr>
        <w:t xml:space="preserve"> con</w:t>
      </w:r>
      <w:r w:rsidRPr="00D53CC5">
        <w:rPr>
          <w:sz w:val="24"/>
          <w:szCs w:val="24"/>
          <w:lang w:val="en-GB"/>
        </w:rPr>
        <w:t>vocation of the general meeting indicates the proposed agenda. Under the Directive, shareholders, in principle, have the right to put items on the agenda and the revised agenda will have to be made available again before the general meeting.</w:t>
      </w:r>
    </w:p>
    <w:p w14:paraId="4C977FF7" w14:textId="249B39D1" w:rsidR="004E20F5" w:rsidRPr="004E20F5" w:rsidRDefault="004E20F5" w:rsidP="004E20F5">
      <w:pPr>
        <w:keepNext/>
        <w:tabs>
          <w:tab w:val="left" w:pos="2835"/>
          <w:tab w:val="left" w:pos="6237"/>
          <w:tab w:val="left" w:pos="9072"/>
        </w:tabs>
        <w:spacing w:before="120"/>
        <w:jc w:val="center"/>
        <w:rPr>
          <w:sz w:val="24"/>
          <w:szCs w:val="24"/>
          <w:lang w:val="en-GB"/>
        </w:rPr>
      </w:pPr>
      <w:r w:rsidRPr="004E20F5">
        <w:rPr>
          <w:sz w:val="24"/>
          <w:szCs w:val="24"/>
          <w:lang w:val="en-GB"/>
        </w:rPr>
        <w:tab/>
      </w:r>
      <w:r w:rsidRPr="004E20F5">
        <w:rPr>
          <w:sz w:val="24"/>
          <w:szCs w:val="24"/>
          <w:u w:val="single"/>
          <w:lang w:val="en-GB"/>
        </w:rPr>
        <w:tab/>
      </w:r>
      <w:r w:rsidRPr="004E20F5">
        <w:rPr>
          <w:sz w:val="24"/>
          <w:szCs w:val="24"/>
          <w:lang w:val="en-GB"/>
        </w:rPr>
        <w:tab/>
      </w:r>
    </w:p>
    <w:sectPr w:rsidR="004E20F5" w:rsidRPr="004E20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8B45" w14:textId="77777777" w:rsidR="000705A6" w:rsidRDefault="000705A6" w:rsidP="009275F9">
      <w:r>
        <w:separator/>
      </w:r>
    </w:p>
  </w:endnote>
  <w:endnote w:type="continuationSeparator" w:id="0">
    <w:p w14:paraId="0146A56C" w14:textId="77777777" w:rsidR="000705A6" w:rsidRDefault="000705A6" w:rsidP="0092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925F" w14:textId="77777777" w:rsidR="000705A6" w:rsidRDefault="0007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48273"/>
      <w:docPartObj>
        <w:docPartGallery w:val="Page Numbers (Bottom of Page)"/>
        <w:docPartUnique/>
      </w:docPartObj>
    </w:sdtPr>
    <w:sdtEndPr>
      <w:rPr>
        <w:noProof/>
      </w:rPr>
    </w:sdtEndPr>
    <w:sdtContent>
      <w:p w14:paraId="009209FD" w14:textId="0EDB8A7F" w:rsidR="000705A6" w:rsidRDefault="000705A6" w:rsidP="009275F9">
        <w:pPr>
          <w:pStyle w:val="Footer"/>
          <w:jc w:val="center"/>
        </w:pPr>
        <w:r>
          <w:fldChar w:fldCharType="begin"/>
        </w:r>
        <w:r>
          <w:instrText xml:space="preserve"> PAGE   \* MERGEFORMAT </w:instrText>
        </w:r>
        <w:r>
          <w:fldChar w:fldCharType="separate"/>
        </w:r>
        <w:r w:rsidR="00DA617F">
          <w:rPr>
            <w:noProof/>
          </w:rPr>
          <w:t>2</w:t>
        </w:r>
        <w:r>
          <w:rPr>
            <w:noProof/>
          </w:rPr>
          <w:fldChar w:fldCharType="end"/>
        </w:r>
      </w:p>
    </w:sdtContent>
  </w:sdt>
  <w:p w14:paraId="465DA9DB" w14:textId="77777777" w:rsidR="000705A6" w:rsidRDefault="00070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C75E" w14:textId="77777777" w:rsidR="000705A6" w:rsidRDefault="0007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2DB4" w14:textId="77777777" w:rsidR="000705A6" w:rsidRDefault="000705A6" w:rsidP="009275F9">
      <w:r>
        <w:separator/>
      </w:r>
    </w:p>
  </w:footnote>
  <w:footnote w:type="continuationSeparator" w:id="0">
    <w:p w14:paraId="1D5C2D5D" w14:textId="77777777" w:rsidR="000705A6" w:rsidRDefault="000705A6" w:rsidP="0092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9DAF" w14:textId="77777777" w:rsidR="000705A6" w:rsidRDefault="00070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95B3" w14:textId="77777777" w:rsidR="000705A6" w:rsidRDefault="00070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1016" w14:textId="77777777" w:rsidR="000705A6" w:rsidRDefault="000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61"/>
    <w:multiLevelType w:val="hybridMultilevel"/>
    <w:tmpl w:val="FEDC0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1E0695"/>
    <w:multiLevelType w:val="hybridMultilevel"/>
    <w:tmpl w:val="824C4246"/>
    <w:lvl w:ilvl="0" w:tplc="0958EB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6F00F9"/>
    <w:multiLevelType w:val="hybridMultilevel"/>
    <w:tmpl w:val="52A27AE0"/>
    <w:lvl w:ilvl="0" w:tplc="DE82D2B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DF0884"/>
    <w:multiLevelType w:val="hybridMultilevel"/>
    <w:tmpl w:val="F288F2F8"/>
    <w:lvl w:ilvl="0" w:tplc="9BC8B7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8F43E6"/>
    <w:multiLevelType w:val="hybridMultilevel"/>
    <w:tmpl w:val="B52E39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5D53B0"/>
    <w:multiLevelType w:val="hybridMultilevel"/>
    <w:tmpl w:val="125A7EE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92C2C41"/>
    <w:multiLevelType w:val="hybridMultilevel"/>
    <w:tmpl w:val="B52E39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BBB4DDD"/>
    <w:multiLevelType w:val="hybridMultilevel"/>
    <w:tmpl w:val="85F8FDFE"/>
    <w:lvl w:ilvl="0" w:tplc="0958EB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C7A62B0"/>
    <w:multiLevelType w:val="hybridMultilevel"/>
    <w:tmpl w:val="B52E39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F21F66"/>
    <w:multiLevelType w:val="hybridMultilevel"/>
    <w:tmpl w:val="8E34E92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10"/>
  </w:num>
  <w:num w:numId="7">
    <w:abstractNumId w:val="4"/>
  </w:num>
  <w:num w:numId="8">
    <w:abstractNumId w:val="4"/>
  </w:num>
  <w:num w:numId="9">
    <w:abstractNumId w:val="4"/>
  </w:num>
  <w:num w:numId="10">
    <w:abstractNumId w:val="9"/>
  </w:num>
  <w:num w:numId="11">
    <w:abstractNumId w:val="5"/>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61"/>
    <w:rsid w:val="00000B01"/>
    <w:rsid w:val="00004CD0"/>
    <w:rsid w:val="000427A6"/>
    <w:rsid w:val="000600AD"/>
    <w:rsid w:val="000705A6"/>
    <w:rsid w:val="0007704F"/>
    <w:rsid w:val="00090B5B"/>
    <w:rsid w:val="000C4F4C"/>
    <w:rsid w:val="000E1BC4"/>
    <w:rsid w:val="000E5F1C"/>
    <w:rsid w:val="00132D08"/>
    <w:rsid w:val="00151952"/>
    <w:rsid w:val="001862D6"/>
    <w:rsid w:val="001A337D"/>
    <w:rsid w:val="001B24FC"/>
    <w:rsid w:val="001C23B7"/>
    <w:rsid w:val="001C40A1"/>
    <w:rsid w:val="001D5665"/>
    <w:rsid w:val="001E0D0B"/>
    <w:rsid w:val="001F25E5"/>
    <w:rsid w:val="00210F31"/>
    <w:rsid w:val="00226267"/>
    <w:rsid w:val="00236AD4"/>
    <w:rsid w:val="002730DC"/>
    <w:rsid w:val="002B5A26"/>
    <w:rsid w:val="002B615D"/>
    <w:rsid w:val="002C1A46"/>
    <w:rsid w:val="00306851"/>
    <w:rsid w:val="00306EF3"/>
    <w:rsid w:val="00324950"/>
    <w:rsid w:val="00336D1A"/>
    <w:rsid w:val="003578E4"/>
    <w:rsid w:val="00365EBB"/>
    <w:rsid w:val="00374B1D"/>
    <w:rsid w:val="00383A8C"/>
    <w:rsid w:val="003A7D26"/>
    <w:rsid w:val="003B3079"/>
    <w:rsid w:val="003B3420"/>
    <w:rsid w:val="003C1A4C"/>
    <w:rsid w:val="003D12A6"/>
    <w:rsid w:val="003D3D4B"/>
    <w:rsid w:val="003E1D9E"/>
    <w:rsid w:val="003F1765"/>
    <w:rsid w:val="003F2A58"/>
    <w:rsid w:val="003F7505"/>
    <w:rsid w:val="00403C85"/>
    <w:rsid w:val="00405670"/>
    <w:rsid w:val="00437633"/>
    <w:rsid w:val="00452AF0"/>
    <w:rsid w:val="00466CD3"/>
    <w:rsid w:val="00483A94"/>
    <w:rsid w:val="00485D91"/>
    <w:rsid w:val="00487442"/>
    <w:rsid w:val="004A0604"/>
    <w:rsid w:val="004A2C46"/>
    <w:rsid w:val="004A6A97"/>
    <w:rsid w:val="004A73E7"/>
    <w:rsid w:val="004C23B1"/>
    <w:rsid w:val="004D53D4"/>
    <w:rsid w:val="004E20F5"/>
    <w:rsid w:val="004E2131"/>
    <w:rsid w:val="004F54DB"/>
    <w:rsid w:val="004F5F43"/>
    <w:rsid w:val="00500FF3"/>
    <w:rsid w:val="005018B8"/>
    <w:rsid w:val="0051127B"/>
    <w:rsid w:val="00524239"/>
    <w:rsid w:val="00545700"/>
    <w:rsid w:val="00552B49"/>
    <w:rsid w:val="00557EB5"/>
    <w:rsid w:val="00595439"/>
    <w:rsid w:val="005A2062"/>
    <w:rsid w:val="005F1881"/>
    <w:rsid w:val="005F56E0"/>
    <w:rsid w:val="00605358"/>
    <w:rsid w:val="0061164A"/>
    <w:rsid w:val="006403E9"/>
    <w:rsid w:val="006532E4"/>
    <w:rsid w:val="00660F72"/>
    <w:rsid w:val="00662FCC"/>
    <w:rsid w:val="006712E7"/>
    <w:rsid w:val="00674FFF"/>
    <w:rsid w:val="0069237B"/>
    <w:rsid w:val="006952AF"/>
    <w:rsid w:val="006A6533"/>
    <w:rsid w:val="006B105A"/>
    <w:rsid w:val="006B4FB8"/>
    <w:rsid w:val="006B5F1C"/>
    <w:rsid w:val="006D0B42"/>
    <w:rsid w:val="006E3C4B"/>
    <w:rsid w:val="00742D9A"/>
    <w:rsid w:val="0074713C"/>
    <w:rsid w:val="00773075"/>
    <w:rsid w:val="00775015"/>
    <w:rsid w:val="007932F4"/>
    <w:rsid w:val="007D1F8F"/>
    <w:rsid w:val="007E1DEB"/>
    <w:rsid w:val="00810ACE"/>
    <w:rsid w:val="008156C6"/>
    <w:rsid w:val="00843230"/>
    <w:rsid w:val="00844D9B"/>
    <w:rsid w:val="00862370"/>
    <w:rsid w:val="00867F2F"/>
    <w:rsid w:val="00874345"/>
    <w:rsid w:val="00896629"/>
    <w:rsid w:val="008B345A"/>
    <w:rsid w:val="008B7D4B"/>
    <w:rsid w:val="008C0929"/>
    <w:rsid w:val="008C4EFA"/>
    <w:rsid w:val="008D240E"/>
    <w:rsid w:val="008E40E4"/>
    <w:rsid w:val="009061C7"/>
    <w:rsid w:val="009275F9"/>
    <w:rsid w:val="00957B62"/>
    <w:rsid w:val="00965CF4"/>
    <w:rsid w:val="00971A9D"/>
    <w:rsid w:val="009C210C"/>
    <w:rsid w:val="009C4351"/>
    <w:rsid w:val="009D2FC8"/>
    <w:rsid w:val="009D746E"/>
    <w:rsid w:val="009E0932"/>
    <w:rsid w:val="009E63BC"/>
    <w:rsid w:val="009E6EBF"/>
    <w:rsid w:val="009E77AD"/>
    <w:rsid w:val="009F043A"/>
    <w:rsid w:val="00A01FE6"/>
    <w:rsid w:val="00A06E41"/>
    <w:rsid w:val="00A5086D"/>
    <w:rsid w:val="00A5573F"/>
    <w:rsid w:val="00A75FCC"/>
    <w:rsid w:val="00A77BDB"/>
    <w:rsid w:val="00A91551"/>
    <w:rsid w:val="00AA3EA3"/>
    <w:rsid w:val="00AC39B1"/>
    <w:rsid w:val="00AC52F0"/>
    <w:rsid w:val="00AD43B9"/>
    <w:rsid w:val="00AF6DEA"/>
    <w:rsid w:val="00B018A3"/>
    <w:rsid w:val="00B24F65"/>
    <w:rsid w:val="00B304D7"/>
    <w:rsid w:val="00B34C75"/>
    <w:rsid w:val="00B50F20"/>
    <w:rsid w:val="00B5459B"/>
    <w:rsid w:val="00B57E89"/>
    <w:rsid w:val="00B73D83"/>
    <w:rsid w:val="00B90D41"/>
    <w:rsid w:val="00B9102A"/>
    <w:rsid w:val="00B91854"/>
    <w:rsid w:val="00B95033"/>
    <w:rsid w:val="00BA3F8D"/>
    <w:rsid w:val="00BA7DA4"/>
    <w:rsid w:val="00BC2E0C"/>
    <w:rsid w:val="00BD15D2"/>
    <w:rsid w:val="00BF12F4"/>
    <w:rsid w:val="00C30A0C"/>
    <w:rsid w:val="00C55D3C"/>
    <w:rsid w:val="00C6225F"/>
    <w:rsid w:val="00C67813"/>
    <w:rsid w:val="00C70AC5"/>
    <w:rsid w:val="00C75E89"/>
    <w:rsid w:val="00C95965"/>
    <w:rsid w:val="00CA574A"/>
    <w:rsid w:val="00CC5292"/>
    <w:rsid w:val="00CF2976"/>
    <w:rsid w:val="00CF4D73"/>
    <w:rsid w:val="00D3482B"/>
    <w:rsid w:val="00D35F53"/>
    <w:rsid w:val="00D53CC5"/>
    <w:rsid w:val="00D56A94"/>
    <w:rsid w:val="00D649D0"/>
    <w:rsid w:val="00D66804"/>
    <w:rsid w:val="00DA617F"/>
    <w:rsid w:val="00DD3795"/>
    <w:rsid w:val="00DF1661"/>
    <w:rsid w:val="00E16ADD"/>
    <w:rsid w:val="00E306E8"/>
    <w:rsid w:val="00E3397C"/>
    <w:rsid w:val="00E464E7"/>
    <w:rsid w:val="00E53EC1"/>
    <w:rsid w:val="00E648BF"/>
    <w:rsid w:val="00E67488"/>
    <w:rsid w:val="00EB033D"/>
    <w:rsid w:val="00EB58EA"/>
    <w:rsid w:val="00EB699B"/>
    <w:rsid w:val="00EC0935"/>
    <w:rsid w:val="00ED36C6"/>
    <w:rsid w:val="00EE388A"/>
    <w:rsid w:val="00EE6EE8"/>
    <w:rsid w:val="00EF2037"/>
    <w:rsid w:val="00EF4EC6"/>
    <w:rsid w:val="00F0785A"/>
    <w:rsid w:val="00F1689C"/>
    <w:rsid w:val="00F2033B"/>
    <w:rsid w:val="00F21DAC"/>
    <w:rsid w:val="00F2697A"/>
    <w:rsid w:val="00FA5444"/>
    <w:rsid w:val="00FC1DAD"/>
    <w:rsid w:val="00FD165A"/>
    <w:rsid w:val="00FF43D8"/>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F6DA"/>
  <w15:chartTrackingRefBased/>
  <w15:docId w15:val="{7D0D2151-5DFD-4EAF-98F4-F99B022E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61"/>
    <w:pPr>
      <w:spacing w:after="0" w:line="240" w:lineRule="auto"/>
    </w:pPr>
    <w:rPr>
      <w:rFonts w:ascii="Calibri" w:hAnsi="Calibri" w:cs="Calibri"/>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61"/>
    <w:rPr>
      <w:color w:val="0000FF"/>
      <w:u w:val="single"/>
    </w:rPr>
  </w:style>
  <w:style w:type="character" w:customStyle="1" w:styleId="ListParagraphChar">
    <w:name w:val="List Paragraph Char"/>
    <w:basedOn w:val="DefaultParagraphFont"/>
    <w:link w:val="ListParagraph"/>
    <w:uiPriority w:val="34"/>
    <w:locked/>
    <w:rsid w:val="00DF1661"/>
    <w:rPr>
      <w:rFonts w:ascii="Arial" w:hAnsi="Arial" w:cs="Arial"/>
      <w:u w:val="single"/>
    </w:rPr>
  </w:style>
  <w:style w:type="paragraph" w:styleId="ListParagraph">
    <w:name w:val="List Paragraph"/>
    <w:basedOn w:val="Normal"/>
    <w:link w:val="ListParagraphChar"/>
    <w:uiPriority w:val="34"/>
    <w:qFormat/>
    <w:rsid w:val="00DF1661"/>
    <w:rPr>
      <w:rFonts w:ascii="Arial" w:hAnsi="Arial" w:cs="Arial"/>
      <w:u w:val="single"/>
      <w:lang w:val="en-GB"/>
    </w:rPr>
  </w:style>
  <w:style w:type="character" w:styleId="CommentReference">
    <w:name w:val="annotation reference"/>
    <w:basedOn w:val="DefaultParagraphFont"/>
    <w:uiPriority w:val="99"/>
    <w:semiHidden/>
    <w:unhideWhenUsed/>
    <w:rsid w:val="00500FF3"/>
    <w:rPr>
      <w:sz w:val="16"/>
      <w:szCs w:val="16"/>
    </w:rPr>
  </w:style>
  <w:style w:type="paragraph" w:styleId="CommentText">
    <w:name w:val="annotation text"/>
    <w:basedOn w:val="Normal"/>
    <w:link w:val="CommentTextChar"/>
    <w:uiPriority w:val="99"/>
    <w:unhideWhenUsed/>
    <w:rsid w:val="00500FF3"/>
    <w:rPr>
      <w:sz w:val="20"/>
      <w:szCs w:val="20"/>
    </w:rPr>
  </w:style>
  <w:style w:type="character" w:customStyle="1" w:styleId="CommentTextChar">
    <w:name w:val="Comment Text Char"/>
    <w:basedOn w:val="DefaultParagraphFont"/>
    <w:link w:val="CommentText"/>
    <w:uiPriority w:val="99"/>
    <w:rsid w:val="00500FF3"/>
    <w:rPr>
      <w:rFonts w:ascii="Calibri" w:hAnsi="Calibri" w:cs="Calibri"/>
      <w:sz w:val="20"/>
      <w:szCs w:val="20"/>
      <w:lang w:val="fr-BE"/>
    </w:rPr>
  </w:style>
  <w:style w:type="paragraph" w:styleId="CommentSubject">
    <w:name w:val="annotation subject"/>
    <w:basedOn w:val="CommentText"/>
    <w:next w:val="CommentText"/>
    <w:link w:val="CommentSubjectChar"/>
    <w:uiPriority w:val="99"/>
    <w:semiHidden/>
    <w:unhideWhenUsed/>
    <w:rsid w:val="00500FF3"/>
    <w:rPr>
      <w:b/>
      <w:bCs/>
    </w:rPr>
  </w:style>
  <w:style w:type="character" w:customStyle="1" w:styleId="CommentSubjectChar">
    <w:name w:val="Comment Subject Char"/>
    <w:basedOn w:val="CommentTextChar"/>
    <w:link w:val="CommentSubject"/>
    <w:uiPriority w:val="99"/>
    <w:semiHidden/>
    <w:rsid w:val="00500FF3"/>
    <w:rPr>
      <w:rFonts w:ascii="Calibri" w:hAnsi="Calibri" w:cs="Calibri"/>
      <w:b/>
      <w:bCs/>
      <w:sz w:val="20"/>
      <w:szCs w:val="20"/>
      <w:lang w:val="fr-BE"/>
    </w:rPr>
  </w:style>
  <w:style w:type="paragraph" w:styleId="BalloonText">
    <w:name w:val="Balloon Text"/>
    <w:basedOn w:val="Normal"/>
    <w:link w:val="BalloonTextChar"/>
    <w:uiPriority w:val="99"/>
    <w:semiHidden/>
    <w:unhideWhenUsed/>
    <w:rsid w:val="0050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F3"/>
    <w:rPr>
      <w:rFonts w:ascii="Segoe UI" w:hAnsi="Segoe UI" w:cs="Segoe UI"/>
      <w:sz w:val="18"/>
      <w:szCs w:val="18"/>
      <w:lang w:val="fr-BE"/>
    </w:rPr>
  </w:style>
  <w:style w:type="paragraph" w:customStyle="1" w:styleId="LegalNumPar">
    <w:name w:val="LegalNumPar"/>
    <w:basedOn w:val="Normal"/>
    <w:rsid w:val="0007704F"/>
    <w:pPr>
      <w:numPr>
        <w:numId w:val="9"/>
      </w:numPr>
      <w:spacing w:line="360" w:lineRule="auto"/>
    </w:pPr>
    <w:rPr>
      <w:sz w:val="24"/>
    </w:rPr>
  </w:style>
  <w:style w:type="paragraph" w:customStyle="1" w:styleId="LegalNumPar2">
    <w:name w:val="LegalNumPar2"/>
    <w:basedOn w:val="Normal"/>
    <w:rsid w:val="0007704F"/>
    <w:pPr>
      <w:numPr>
        <w:ilvl w:val="1"/>
        <w:numId w:val="9"/>
      </w:numPr>
      <w:spacing w:line="360" w:lineRule="auto"/>
    </w:pPr>
    <w:rPr>
      <w:sz w:val="24"/>
    </w:rPr>
  </w:style>
  <w:style w:type="paragraph" w:customStyle="1" w:styleId="LegalNumPar3">
    <w:name w:val="LegalNumPar3"/>
    <w:basedOn w:val="Normal"/>
    <w:rsid w:val="0007704F"/>
    <w:pPr>
      <w:numPr>
        <w:ilvl w:val="2"/>
        <w:numId w:val="9"/>
      </w:numPr>
      <w:spacing w:line="360" w:lineRule="auto"/>
    </w:pPr>
    <w:rPr>
      <w:sz w:val="24"/>
    </w:rPr>
  </w:style>
  <w:style w:type="paragraph" w:customStyle="1" w:styleId="ti-art">
    <w:name w:val="ti-art"/>
    <w:basedOn w:val="Normal"/>
    <w:rsid w:val="00595439"/>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sti-art">
    <w:name w:val="sti-art"/>
    <w:basedOn w:val="Normal"/>
    <w:rsid w:val="00595439"/>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Normal1">
    <w:name w:val="Normal1"/>
    <w:basedOn w:val="Normal"/>
    <w:rsid w:val="00595439"/>
    <w:pPr>
      <w:spacing w:before="100" w:beforeAutospacing="1" w:after="100" w:afterAutospacing="1"/>
    </w:pPr>
    <w:rPr>
      <w:rFonts w:ascii="Times New Roman" w:eastAsia="Times New Roman" w:hAnsi="Times New Roman" w:cs="Times New Roman"/>
      <w:sz w:val="24"/>
      <w:szCs w:val="24"/>
      <w:lang w:eastAsia="fr-BE"/>
    </w:rPr>
  </w:style>
  <w:style w:type="paragraph" w:styleId="Header">
    <w:name w:val="header"/>
    <w:basedOn w:val="Normal"/>
    <w:link w:val="HeaderChar"/>
    <w:uiPriority w:val="99"/>
    <w:unhideWhenUsed/>
    <w:rsid w:val="009275F9"/>
    <w:pPr>
      <w:tabs>
        <w:tab w:val="center" w:pos="4513"/>
        <w:tab w:val="right" w:pos="9026"/>
      </w:tabs>
    </w:pPr>
  </w:style>
  <w:style w:type="character" w:customStyle="1" w:styleId="HeaderChar">
    <w:name w:val="Header Char"/>
    <w:basedOn w:val="DefaultParagraphFont"/>
    <w:link w:val="Header"/>
    <w:uiPriority w:val="99"/>
    <w:rsid w:val="009275F9"/>
    <w:rPr>
      <w:rFonts w:ascii="Calibri" w:hAnsi="Calibri" w:cs="Calibri"/>
      <w:lang w:val="fr-BE"/>
    </w:rPr>
  </w:style>
  <w:style w:type="paragraph" w:styleId="Footer">
    <w:name w:val="footer"/>
    <w:basedOn w:val="Normal"/>
    <w:link w:val="FooterChar"/>
    <w:uiPriority w:val="99"/>
    <w:unhideWhenUsed/>
    <w:rsid w:val="009275F9"/>
    <w:pPr>
      <w:tabs>
        <w:tab w:val="center" w:pos="4513"/>
        <w:tab w:val="right" w:pos="9026"/>
      </w:tabs>
    </w:pPr>
  </w:style>
  <w:style w:type="character" w:customStyle="1" w:styleId="FooterChar">
    <w:name w:val="Footer Char"/>
    <w:basedOn w:val="DefaultParagraphFont"/>
    <w:link w:val="Footer"/>
    <w:uiPriority w:val="99"/>
    <w:rsid w:val="009275F9"/>
    <w:rPr>
      <w:rFonts w:ascii="Calibri" w:hAnsi="Calibri" w:cs="Calibri"/>
      <w:lang w:val="fr-BE"/>
    </w:rPr>
  </w:style>
  <w:style w:type="paragraph" w:styleId="Revision">
    <w:name w:val="Revision"/>
    <w:hidden/>
    <w:uiPriority w:val="99"/>
    <w:semiHidden/>
    <w:rsid w:val="00151952"/>
    <w:pPr>
      <w:spacing w:after="0" w:line="240" w:lineRule="auto"/>
    </w:pPr>
    <w:rPr>
      <w:rFonts w:ascii="Calibri" w:hAnsi="Calibri" w:cs="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6449">
      <w:bodyDiv w:val="1"/>
      <w:marLeft w:val="0"/>
      <w:marRight w:val="0"/>
      <w:marTop w:val="0"/>
      <w:marBottom w:val="0"/>
      <w:divBdr>
        <w:top w:val="none" w:sz="0" w:space="0" w:color="auto"/>
        <w:left w:val="none" w:sz="0" w:space="0" w:color="auto"/>
        <w:bottom w:val="none" w:sz="0" w:space="0" w:color="auto"/>
        <w:right w:val="none" w:sz="0" w:space="0" w:color="auto"/>
      </w:divBdr>
    </w:div>
    <w:div w:id="1154683043">
      <w:bodyDiv w:val="1"/>
      <w:marLeft w:val="0"/>
      <w:marRight w:val="0"/>
      <w:marTop w:val="0"/>
      <w:marBottom w:val="0"/>
      <w:divBdr>
        <w:top w:val="none" w:sz="0" w:space="0" w:color="auto"/>
        <w:left w:val="none" w:sz="0" w:space="0" w:color="auto"/>
        <w:bottom w:val="none" w:sz="0" w:space="0" w:color="auto"/>
        <w:right w:val="none" w:sz="0" w:space="0" w:color="auto"/>
      </w:divBdr>
    </w:div>
    <w:div w:id="1225338158">
      <w:bodyDiv w:val="1"/>
      <w:marLeft w:val="0"/>
      <w:marRight w:val="0"/>
      <w:marTop w:val="0"/>
      <w:marBottom w:val="0"/>
      <w:divBdr>
        <w:top w:val="none" w:sz="0" w:space="0" w:color="auto"/>
        <w:left w:val="none" w:sz="0" w:space="0" w:color="auto"/>
        <w:bottom w:val="none" w:sz="0" w:space="0" w:color="auto"/>
        <w:right w:val="none" w:sz="0" w:space="0" w:color="auto"/>
      </w:divBdr>
    </w:div>
    <w:div w:id="1417899519">
      <w:bodyDiv w:val="1"/>
      <w:marLeft w:val="0"/>
      <w:marRight w:val="0"/>
      <w:marTop w:val="0"/>
      <w:marBottom w:val="0"/>
      <w:divBdr>
        <w:top w:val="none" w:sz="0" w:space="0" w:color="auto"/>
        <w:left w:val="none" w:sz="0" w:space="0" w:color="auto"/>
        <w:bottom w:val="none" w:sz="0" w:space="0" w:color="auto"/>
        <w:right w:val="none" w:sz="0" w:space="0" w:color="auto"/>
      </w:divBdr>
    </w:div>
    <w:div w:id="1545484526">
      <w:bodyDiv w:val="1"/>
      <w:marLeft w:val="0"/>
      <w:marRight w:val="0"/>
      <w:marTop w:val="0"/>
      <w:marBottom w:val="0"/>
      <w:divBdr>
        <w:top w:val="none" w:sz="0" w:space="0" w:color="auto"/>
        <w:left w:val="none" w:sz="0" w:space="0" w:color="auto"/>
        <w:bottom w:val="none" w:sz="0" w:space="0" w:color="auto"/>
        <w:right w:val="none" w:sz="0" w:space="0" w:color="auto"/>
      </w:divBdr>
    </w:div>
    <w:div w:id="16105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4E75D5-D559-4F68-9F8C-4E5920C6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1314</Words>
  <Characters>6571</Characters>
  <Application>Microsoft Office Word</Application>
  <DocSecurity>0</DocSecurity>
  <Lines>117</Lines>
  <Paragraphs>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KOOS-HUTAS Katalin (JUST)</dc:creator>
  <cp:keywords/>
  <dc:description/>
  <cp:lastModifiedBy>KOOS-HUTAS Katalin (JUST)</cp:lastModifiedBy>
  <cp:revision>3</cp:revision>
  <dcterms:created xsi:type="dcterms:W3CDTF">2019-01-11T08:24:00Z</dcterms:created>
  <dcterms:modified xsi:type="dcterms:W3CDTF">2019-01-11T09:07:00Z</dcterms:modified>
</cp:coreProperties>
</file>