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SRD2</w:t>
      </w:r>
      <w:r w:rsidR="0033425B" w:rsidRPr="00F446A3">
        <w:rPr>
          <w:sz w:val="48"/>
          <w:szCs w:val="48"/>
          <w:lang w:val="en-GB"/>
        </w:rPr>
        <w:t xml:space="preserve"> </w:t>
      </w:r>
      <w:r w:rsidRPr="00F446A3">
        <w:rPr>
          <w:sz w:val="48"/>
          <w:szCs w:val="48"/>
          <w:lang w:val="en-GB"/>
        </w:rPr>
        <w:t>Steering Group</w:t>
      </w:r>
      <w:r>
        <w:rPr>
          <w:sz w:val="48"/>
          <w:szCs w:val="48"/>
          <w:lang w:val="en-GB"/>
        </w:rPr>
        <w:t xml:space="preserve"> / SMPG </w:t>
      </w:r>
    </w:p>
    <w:p w:rsidR="0033425B" w:rsidRP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ISO 20022 Messages and Market Practice Tas</w:t>
      </w:r>
      <w:r>
        <w:rPr>
          <w:sz w:val="48"/>
          <w:szCs w:val="48"/>
          <w:lang w:val="en-GB"/>
        </w:rPr>
        <w:t>k Force</w:t>
      </w:r>
    </w:p>
    <w:p w:rsidR="00F446A3" w:rsidRPr="00F446A3" w:rsidRDefault="00FC3378" w:rsidP="005E4302">
      <w:pPr>
        <w:pStyle w:val="Head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Conference Call</w:t>
      </w:r>
      <w:r w:rsidR="00F446A3" w:rsidRPr="00F446A3">
        <w:rPr>
          <w:sz w:val="40"/>
          <w:szCs w:val="40"/>
          <w:lang w:val="en-GB"/>
        </w:rPr>
        <w:t xml:space="preserve"> Meeting Minutes</w:t>
      </w:r>
      <w:r w:rsidR="00F446A3">
        <w:rPr>
          <w:sz w:val="40"/>
          <w:szCs w:val="40"/>
          <w:lang w:val="en-GB"/>
        </w:rPr>
        <w:t xml:space="preserve"> -</w:t>
      </w:r>
      <w:r w:rsidR="00C11AA0">
        <w:rPr>
          <w:sz w:val="40"/>
          <w:szCs w:val="40"/>
          <w:lang w:val="en-GB"/>
        </w:rPr>
        <w:t xml:space="preserve"> 2</w:t>
      </w:r>
      <w:r w:rsidR="00F446A3" w:rsidRPr="00F446A3">
        <w:rPr>
          <w:sz w:val="40"/>
          <w:szCs w:val="40"/>
          <w:lang w:val="en-GB"/>
        </w:rPr>
        <w:t xml:space="preserve"> </w:t>
      </w:r>
      <w:r w:rsidR="009A5DBA">
        <w:rPr>
          <w:sz w:val="40"/>
          <w:szCs w:val="40"/>
          <w:lang w:val="en-GB"/>
        </w:rPr>
        <w:t>May</w:t>
      </w:r>
      <w:r w:rsidR="00F446A3" w:rsidRPr="00F446A3">
        <w:rPr>
          <w:sz w:val="40"/>
          <w:szCs w:val="40"/>
          <w:lang w:val="en-GB"/>
        </w:rPr>
        <w:t xml:space="preserve"> 2019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Default="00AB6103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7535A4">
      <w:pPr>
        <w:rPr>
          <w:lang w:val="en-GB"/>
        </w:rPr>
      </w:pPr>
      <w:r w:rsidRPr="007535A4">
        <w:rPr>
          <w:u w:val="single"/>
          <w:lang w:val="en-GB"/>
        </w:rPr>
        <w:t>Minutes by: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Mariangela Fumagalli, Christine Strandberg, </w:t>
      </w:r>
      <w:bookmarkStart w:id="0" w:name="_Toc54501830"/>
      <w:r>
        <w:rPr>
          <w:lang w:val="en-GB"/>
        </w:rPr>
        <w:t>Jacques Littré</w:t>
      </w:r>
    </w:p>
    <w:p w:rsidR="00AB6103" w:rsidRPr="006B419F" w:rsidRDefault="007535A4" w:rsidP="00141100">
      <w:pPr>
        <w:tabs>
          <w:tab w:val="left" w:pos="3690"/>
        </w:tabs>
        <w:rPr>
          <w:lang w:val="en-GB"/>
        </w:rPr>
      </w:pPr>
      <w:r w:rsidRPr="007535A4">
        <w:rPr>
          <w:u w:val="single"/>
          <w:lang w:val="en-GB"/>
        </w:rPr>
        <w:t>Publication Date</w:t>
      </w:r>
      <w:r>
        <w:rPr>
          <w:lang w:val="en-GB"/>
        </w:rPr>
        <w:t xml:space="preserve">:  </w:t>
      </w:r>
      <w:r w:rsidR="009A5DBA">
        <w:rPr>
          <w:lang w:val="en-GB"/>
        </w:rPr>
        <w:t>7</w:t>
      </w:r>
      <w:r w:rsidR="00FC3378">
        <w:rPr>
          <w:lang w:val="en-GB"/>
        </w:rPr>
        <w:t xml:space="preserve"> </w:t>
      </w:r>
      <w:r w:rsidR="009A5DBA">
        <w:rPr>
          <w:lang w:val="en-GB"/>
        </w:rPr>
        <w:t>May</w:t>
      </w:r>
      <w:r w:rsidR="00FC3378">
        <w:rPr>
          <w:lang w:val="en-GB"/>
        </w:rPr>
        <w:t xml:space="preserve"> 2019</w:t>
      </w:r>
      <w:r w:rsidR="003071DC">
        <w:rPr>
          <w:lang w:val="en-GB"/>
        </w:rPr>
        <w:t xml:space="preserve"> 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090C34" w:rsidRDefault="008C5901" w:rsidP="008C0C82">
      <w:pPr>
        <w:pStyle w:val="Heading1"/>
      </w:pPr>
      <w:bookmarkStart w:id="1" w:name="OLE_LINK1"/>
      <w:bookmarkStart w:id="2" w:name="OLE_LINK2"/>
      <w:bookmarkEnd w:id="0"/>
      <w:r>
        <w:lastRenderedPageBreak/>
        <w:t>Meeting Attendees</w:t>
      </w: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969"/>
        <w:gridCol w:w="1379"/>
        <w:gridCol w:w="1819"/>
        <w:gridCol w:w="2496"/>
      </w:tblGrid>
      <w:tr w:rsidR="00FC3378" w:rsidRPr="006B419F" w:rsidTr="00FC3378">
        <w:tc>
          <w:tcPr>
            <w:tcW w:w="120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3378" w:rsidRDefault="00FC3378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  <w:r>
              <w:rPr>
                <w:b/>
                <w:lang w:val="en-GB"/>
              </w:rPr>
              <w:t xml:space="preserve"> /</w:t>
            </w:r>
          </w:p>
          <w:p w:rsidR="00FC3378" w:rsidRPr="006B419F" w:rsidRDefault="00FC3378" w:rsidP="0033425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Associations</w:t>
            </w:r>
          </w:p>
        </w:tc>
        <w:tc>
          <w:tcPr>
            <w:tcW w:w="969" w:type="dxa"/>
            <w:shd w:val="clear" w:color="auto" w:fill="CCCCCC"/>
          </w:tcPr>
          <w:p w:rsidR="00FC3378" w:rsidRPr="006B419F" w:rsidRDefault="00FC3378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379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96" w:type="dxa"/>
            <w:shd w:val="clear" w:color="auto" w:fill="CCCCCC"/>
            <w:vAlign w:val="center"/>
          </w:tcPr>
          <w:p w:rsidR="00FC3378" w:rsidRPr="006B419F" w:rsidRDefault="00FC3378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Michael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2E590C" w:rsidRDefault="00FC3378" w:rsidP="008C590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Blumer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Credit Suisse</w:t>
            </w:r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2E590C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Ravn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</w:tr>
      <w:tr w:rsidR="00172129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2E590C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</w:tr>
      <w:tr w:rsidR="00C11AA0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Ms.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2E590C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1AA0" w:rsidRPr="006B419F" w:rsidRDefault="00C11AA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9A5DBA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9A5DBA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DBA" w:rsidRDefault="009A5DBA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BNYM</w:t>
            </w:r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2E590C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DeAntoni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</w:tr>
      <w:tr w:rsidR="00172129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17212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2E590C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129" w:rsidRPr="006B419F" w:rsidRDefault="00172129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</w:tr>
      <w:tr w:rsidR="00B22470" w:rsidRPr="006B419F" w:rsidTr="00090BBD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22470" w:rsidRPr="006B419F" w:rsidRDefault="00B22470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B22470" w:rsidRPr="006B419F" w:rsidRDefault="00B2247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B22470" w:rsidRPr="006B419F" w:rsidRDefault="00B2247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Dany</w:t>
            </w:r>
          </w:p>
        </w:tc>
        <w:tc>
          <w:tcPr>
            <w:tcW w:w="1819" w:type="dxa"/>
            <w:shd w:val="clear" w:color="auto" w:fill="FFFFFF" w:themeFill="background1"/>
            <w:vAlign w:val="bottom"/>
          </w:tcPr>
          <w:p w:rsidR="00B22470" w:rsidRPr="002E590C" w:rsidRDefault="00B22470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B22470" w:rsidRPr="006B419F" w:rsidRDefault="006E3580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  <w:proofErr w:type="spellEnd"/>
          </w:p>
        </w:tc>
      </w:tr>
      <w:tr w:rsidR="006E3580" w:rsidRPr="006B419F" w:rsidTr="00090BBD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580" w:rsidRPr="006B419F" w:rsidRDefault="006E3580" w:rsidP="0017212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172129" w:rsidRPr="006B419F" w:rsidRDefault="00172129" w:rsidP="0017212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172129" w:rsidRPr="006B419F" w:rsidRDefault="00172129" w:rsidP="0017212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Ruben</w:t>
            </w:r>
          </w:p>
        </w:tc>
        <w:tc>
          <w:tcPr>
            <w:tcW w:w="1819" w:type="dxa"/>
            <w:shd w:val="clear" w:color="auto" w:fill="FFFFFF" w:themeFill="background1"/>
            <w:vAlign w:val="bottom"/>
          </w:tcPr>
          <w:p w:rsidR="00172129" w:rsidRPr="002E590C" w:rsidRDefault="00172129" w:rsidP="00172129">
            <w:pPr>
              <w:spacing w:before="0" w:after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Azevedo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172129" w:rsidRPr="006B419F" w:rsidRDefault="00172129" w:rsidP="00172129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Interbolsa</w:t>
            </w:r>
            <w:proofErr w:type="spellEnd"/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19" w:type="dxa"/>
            <w:shd w:val="clear" w:color="auto" w:fill="FFFFFF" w:themeFill="background1"/>
            <w:vAlign w:val="bottom"/>
          </w:tcPr>
          <w:p w:rsidR="00FC3378" w:rsidRPr="002E590C" w:rsidRDefault="00FC3378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Strandberg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(TF 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19" w:type="dxa"/>
            <w:shd w:val="clear" w:color="auto" w:fill="FFFFFF" w:themeFill="background1"/>
            <w:vAlign w:val="bottom"/>
          </w:tcPr>
          <w:p w:rsidR="00FC3378" w:rsidRPr="002E590C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Littré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 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</w:tr>
      <w:tr w:rsidR="00FC3378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3378" w:rsidRPr="006B419F" w:rsidRDefault="00FC3378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19" w:type="dxa"/>
            <w:shd w:val="clear" w:color="auto" w:fill="FFFFFF" w:themeFill="background1"/>
            <w:vAlign w:val="bottom"/>
          </w:tcPr>
          <w:p w:rsidR="00FC3378" w:rsidRPr="002E590C" w:rsidRDefault="00FC3378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Fumagalli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(TF-co-Chair)</w:t>
            </w:r>
          </w:p>
        </w:tc>
        <w:tc>
          <w:tcPr>
            <w:tcW w:w="2496" w:type="dxa"/>
            <w:shd w:val="clear" w:color="auto" w:fill="FFFFFF" w:themeFill="background1"/>
            <w:vAlign w:val="bottom"/>
          </w:tcPr>
          <w:p w:rsidR="00FC3378" w:rsidRPr="006B419F" w:rsidRDefault="00FC3378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</w:tr>
      <w:tr w:rsidR="006E3580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AFME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6E3580" w:rsidRPr="002E590C" w:rsidRDefault="006E3580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Michael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Collier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6E3580" w:rsidRPr="006B419F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</w:tr>
      <w:tr w:rsidR="006E3580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580" w:rsidRDefault="006E3580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AGC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E3580" w:rsidRDefault="006E3580" w:rsidP="0017212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6E3580" w:rsidRPr="002E590C" w:rsidRDefault="006E3580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Derek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6E3580" w:rsidRDefault="006E3580" w:rsidP="00172129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Coyle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6E3580" w:rsidRPr="006B419F" w:rsidRDefault="006E3580" w:rsidP="0017212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BBH</w:t>
            </w:r>
          </w:p>
        </w:tc>
      </w:tr>
      <w:tr w:rsidR="009A5DBA" w:rsidRPr="006B419F" w:rsidTr="00090BBD">
        <w:tblPrEx>
          <w:tblCellMar>
            <w:left w:w="108" w:type="dxa"/>
            <w:right w:w="108" w:type="dxa"/>
          </w:tblCellMar>
        </w:tblPrEx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ECSDA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A5DBA" w:rsidRDefault="009A5DBA" w:rsidP="009A5DBA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Giuseppe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9A5DBA" w:rsidRDefault="009A5DBA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Lotito</w:t>
            </w:r>
            <w:proofErr w:type="spellEnd"/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9A5DBA" w:rsidRPr="006B419F" w:rsidRDefault="009A5DBA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Monte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Titoli</w:t>
            </w:r>
            <w:proofErr w:type="spellEnd"/>
          </w:p>
        </w:tc>
      </w:tr>
    </w:tbl>
    <w:p w:rsidR="004E61AC" w:rsidRPr="002A3E6E" w:rsidRDefault="004E61AC" w:rsidP="004E61AC">
      <w:pPr>
        <w:pStyle w:val="ListParagraph"/>
        <w:numPr>
          <w:ilvl w:val="0"/>
          <w:numId w:val="0"/>
        </w:numPr>
        <w:ind w:left="360"/>
        <w:jc w:val="both"/>
      </w:pPr>
      <w:bookmarkStart w:id="3" w:name="OLE_LINK5"/>
      <w:bookmarkStart w:id="4" w:name="OLE_LINK8"/>
      <w:bookmarkStart w:id="5" w:name="_Toc436145646"/>
      <w:bookmarkStart w:id="6" w:name="_Toc450127689"/>
      <w:bookmarkStart w:id="7" w:name="_Toc482870653"/>
      <w:bookmarkStart w:id="8" w:name="_Toc513565020"/>
      <w:bookmarkEnd w:id="1"/>
      <w:bookmarkEnd w:id="2"/>
    </w:p>
    <w:p w:rsidR="001E563E" w:rsidRDefault="004A1068" w:rsidP="00FE166B">
      <w:pPr>
        <w:pStyle w:val="Heading1"/>
        <w:jc w:val="both"/>
      </w:pPr>
      <w:r>
        <w:t>Feedback on Remaining Questions to NMPGs</w:t>
      </w:r>
    </w:p>
    <w:p w:rsidR="00390A36" w:rsidRDefault="00D62B12" w:rsidP="00390A36">
      <w:pPr>
        <w:rPr>
          <w:lang w:val="en-GB"/>
        </w:rPr>
      </w:pPr>
      <w:r>
        <w:rPr>
          <w:lang w:val="en-GB"/>
        </w:rPr>
        <w:t xml:space="preserve">Some initial or partial feedback/answers on the remaining questions </w:t>
      </w:r>
      <w:r w:rsidR="00B30235">
        <w:rPr>
          <w:lang w:val="en-GB"/>
        </w:rPr>
        <w:t xml:space="preserve">have been received from </w:t>
      </w:r>
      <w:r>
        <w:rPr>
          <w:lang w:val="en-GB"/>
        </w:rPr>
        <w:t xml:space="preserve">DE, ES, DK, </w:t>
      </w:r>
      <w:proofErr w:type="gramStart"/>
      <w:r>
        <w:rPr>
          <w:lang w:val="en-GB"/>
        </w:rPr>
        <w:t>CH</w:t>
      </w:r>
      <w:proofErr w:type="gramEnd"/>
      <w:r>
        <w:rPr>
          <w:lang w:val="en-GB"/>
        </w:rPr>
        <w:t>, IT</w:t>
      </w:r>
      <w:r w:rsidR="00E4560C">
        <w:rPr>
          <w:lang w:val="en-GB"/>
        </w:rPr>
        <w:t>, FI</w:t>
      </w:r>
      <w:r w:rsidR="00152027">
        <w:rPr>
          <w:lang w:val="en-GB"/>
        </w:rPr>
        <w:t>, FR, NL and have been included in the following document:</w:t>
      </w:r>
    </w:p>
    <w:bookmarkStart w:id="9" w:name="_MON_1618748951"/>
    <w:bookmarkEnd w:id="9"/>
    <w:p w:rsidR="00152027" w:rsidRDefault="00152027" w:rsidP="00390A36">
      <w:pPr>
        <w:rPr>
          <w:lang w:val="en-GB"/>
        </w:rPr>
      </w:pPr>
      <w:r>
        <w:rPr>
          <w:lang w:val="en-GB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618751298" r:id="rId14">
            <o:FieldCodes>\s</o:FieldCodes>
          </o:OLEObject>
        </w:object>
      </w:r>
    </w:p>
    <w:p w:rsidR="00D62B12" w:rsidRDefault="00D62B12" w:rsidP="00390A36">
      <w:pPr>
        <w:rPr>
          <w:lang w:val="en-GB"/>
        </w:rPr>
      </w:pPr>
      <w:r>
        <w:rPr>
          <w:lang w:val="en-GB"/>
        </w:rPr>
        <w:t>LU, UK&amp;IE will send feedback/answers very soon.</w:t>
      </w:r>
    </w:p>
    <w:p w:rsidR="00B30235" w:rsidRDefault="00B30235" w:rsidP="00390A36">
      <w:pPr>
        <w:rPr>
          <w:lang w:val="en-GB"/>
        </w:rPr>
      </w:pPr>
      <w:r>
        <w:rPr>
          <w:lang w:val="en-GB"/>
        </w:rPr>
        <w:t>S</w:t>
      </w:r>
      <w:r>
        <w:rPr>
          <w:lang w:val="en-GB"/>
        </w:rPr>
        <w:t>ee list of remaining question</w:t>
      </w:r>
      <w:r>
        <w:rPr>
          <w:lang w:val="en-GB"/>
        </w:rPr>
        <w:t>s at the end of these minutes.</w:t>
      </w:r>
    </w:p>
    <w:p w:rsidR="00D62B12" w:rsidRPr="00C27455" w:rsidRDefault="00D62B12" w:rsidP="00390A36">
      <w:pPr>
        <w:rPr>
          <w:color w:val="FF0000"/>
          <w:u w:val="single"/>
          <w:lang w:val="en-GB"/>
        </w:rPr>
      </w:pPr>
      <w:r w:rsidRPr="00C27455">
        <w:rPr>
          <w:color w:val="FF0000"/>
          <w:u w:val="single"/>
          <w:lang w:val="en-GB"/>
        </w:rPr>
        <w:t>Agreed Actions:</w:t>
      </w:r>
    </w:p>
    <w:p w:rsidR="00D62B12" w:rsidRDefault="00D62B12" w:rsidP="00D62B12">
      <w:pPr>
        <w:pStyle w:val="ListParagraph"/>
        <w:numPr>
          <w:ilvl w:val="0"/>
          <w:numId w:val="36"/>
        </w:numPr>
      </w:pPr>
      <w:r w:rsidRPr="00C27455">
        <w:rPr>
          <w:u w:val="single"/>
        </w:rPr>
        <w:t>Jacques</w:t>
      </w:r>
      <w:r w:rsidRPr="00D62B12">
        <w:t xml:space="preserve"> will consolidate the feedback received before next call</w:t>
      </w:r>
    </w:p>
    <w:p w:rsidR="00B30235" w:rsidRDefault="00B30235" w:rsidP="00D62B12">
      <w:pPr>
        <w:pStyle w:val="ListParagraph"/>
        <w:numPr>
          <w:ilvl w:val="0"/>
          <w:numId w:val="36"/>
        </w:numPr>
      </w:pPr>
      <w:r w:rsidRPr="00C27455">
        <w:rPr>
          <w:u w:val="single"/>
        </w:rPr>
        <w:t>Remaining NMPGs</w:t>
      </w:r>
      <w:r>
        <w:t xml:space="preserve"> and other Associations to provide feedback as soon as possible</w:t>
      </w:r>
      <w:r w:rsidR="001A2228">
        <w:t>.</w:t>
      </w:r>
    </w:p>
    <w:p w:rsidR="00152027" w:rsidRDefault="00152027" w:rsidP="00A7518E">
      <w:pPr>
        <w:pStyle w:val="Heading2"/>
      </w:pPr>
      <w:r>
        <w:t>Additional Requirements from FR</w:t>
      </w:r>
      <w:r w:rsidR="00A7518E">
        <w:t xml:space="preserve"> on Shareholder Identification</w:t>
      </w:r>
    </w:p>
    <w:p w:rsidR="00152027" w:rsidRDefault="00152027" w:rsidP="00152027">
      <w:pPr>
        <w:rPr>
          <w:lang w:val="en-GB"/>
        </w:rPr>
      </w:pPr>
      <w:proofErr w:type="spellStart"/>
      <w:r>
        <w:rPr>
          <w:lang w:val="en-GB"/>
        </w:rPr>
        <w:t>Ilyas</w:t>
      </w:r>
      <w:proofErr w:type="spellEnd"/>
      <w:r>
        <w:rPr>
          <w:lang w:val="en-GB"/>
        </w:rPr>
        <w:t xml:space="preserve"> has provided </w:t>
      </w:r>
      <w:r w:rsidR="00C27455">
        <w:rPr>
          <w:lang w:val="en-GB"/>
        </w:rPr>
        <w:t xml:space="preserve">the following </w:t>
      </w:r>
      <w:r>
        <w:rPr>
          <w:lang w:val="en-GB"/>
        </w:rPr>
        <w:t xml:space="preserve">list of additional information on the shareholder likely to be required by the future FR transposition law. </w:t>
      </w:r>
    </w:p>
    <w:tbl>
      <w:tblPr>
        <w:tblW w:w="10371" w:type="dxa"/>
        <w:tblInd w:w="-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100"/>
        <w:gridCol w:w="3540"/>
        <w:gridCol w:w="3261"/>
      </w:tblGrid>
      <w:tr w:rsidR="00C27455" w:rsidTr="00D75823">
        <w:trPr>
          <w:trHeight w:val="1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fr-BE"/>
              </w:rPr>
            </w:pPr>
            <w: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t>Data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t>Definition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t>Value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Nationality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Nationality of the investor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ISO 3166 country code</w:t>
            </w:r>
            <w:r>
              <w:t xml:space="preserve"> 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Quality code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Defines the profile of the investor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01 legal entity</w:t>
            </w:r>
            <w:r>
              <w:rPr>
                <w:rFonts w:ascii="Verdana" w:hAnsi="Verdana"/>
                <w:sz w:val="16"/>
                <w:szCs w:val="16"/>
              </w:rPr>
              <w:br/>
              <w:t>02 Listed intermediary</w:t>
            </w:r>
            <w:r>
              <w:rPr>
                <w:rFonts w:ascii="Verdana" w:hAnsi="Verdana"/>
                <w:sz w:val="16"/>
                <w:szCs w:val="16"/>
              </w:rPr>
              <w:br/>
              <w:t>03 Mr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04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br/>
              <w:t>05 Miss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06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Indivision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br/>
              <w:t>08 Joint bank account</w:t>
            </w:r>
            <w:r>
              <w:rPr>
                <w:rFonts w:ascii="Verdana" w:hAnsi="Verdana"/>
                <w:sz w:val="16"/>
                <w:szCs w:val="16"/>
              </w:rPr>
              <w:br/>
              <w:t>09 Mutual Funds</w:t>
            </w:r>
            <w:r>
              <w:rPr>
                <w:rFonts w:ascii="Verdana" w:hAnsi="Verdana"/>
                <w:sz w:val="16"/>
                <w:szCs w:val="16"/>
              </w:rPr>
              <w:br/>
              <w:t>10 Trade account</w:t>
            </w:r>
            <w:r>
              <w:rPr>
                <w:rFonts w:ascii="Verdana" w:hAnsi="Verdana"/>
                <w:sz w:val="16"/>
                <w:szCs w:val="16"/>
              </w:rPr>
              <w:br/>
              <w:t>11 Pension plan and pension fund</w:t>
            </w:r>
            <w:r>
              <w:rPr>
                <w:rFonts w:ascii="Verdana" w:hAnsi="Verdana"/>
                <w:sz w:val="16"/>
                <w:szCs w:val="16"/>
              </w:rPr>
              <w:br/>
              <w:t>12 Investment club</w:t>
            </w:r>
            <w:r>
              <w:rPr>
                <w:rFonts w:ascii="Verdana" w:hAnsi="Verdana"/>
                <w:sz w:val="16"/>
                <w:szCs w:val="16"/>
              </w:rPr>
              <w:br/>
              <w:t>13 Other physical persons</w:t>
            </w:r>
            <w:r>
              <w:rPr>
                <w:rFonts w:ascii="Verdana" w:hAnsi="Verdana"/>
                <w:sz w:val="16"/>
                <w:szCs w:val="16"/>
              </w:rPr>
              <w:br/>
              <w:t>14 Other artificial person</w:t>
            </w:r>
            <w:r>
              <w:rPr>
                <w:rFonts w:ascii="Verdana" w:hAnsi="Verdana"/>
                <w:sz w:val="16"/>
                <w:szCs w:val="16"/>
              </w:rPr>
              <w:br/>
              <w:t>15 Securities to receive</w:t>
            </w:r>
            <w:r>
              <w:rPr>
                <w:rFonts w:ascii="Verdana" w:hAnsi="Verdana"/>
                <w:sz w:val="16"/>
                <w:szCs w:val="16"/>
              </w:rPr>
              <w:br/>
              <w:t>16 Securities to deliver</w:t>
            </w:r>
            <w:r>
              <w:t xml:space="preserve"> 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Year of birth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Year of birth of the investor (natural person only)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Year of birth</w:t>
            </w:r>
            <w:r>
              <w:t xml:space="preserve"> 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Activity of investor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Defines the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economical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activity of the  investor (legal person only)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Code in line with European or domestic classification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economical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activities (NACE, APE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,…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Indicator Pro - Non pro investor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Indicates whether the investor is considered as a professional investor, an eligible counterpart or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non professional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investor in the meaning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Mifid</w:t>
            </w:r>
            <w:proofErr w:type="spellEnd"/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• PRO = professional investor</w:t>
            </w:r>
            <w:r>
              <w:rPr>
                <w:rFonts w:ascii="Verdana" w:hAnsi="Verdana"/>
                <w:sz w:val="16"/>
                <w:szCs w:val="16"/>
              </w:rPr>
              <w:br/>
              <w:t>• ELC =  eligible counterpart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• NPR =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Non professional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investor</w:t>
            </w:r>
            <w:r>
              <w:t xml:space="preserve"> </w:t>
            </w:r>
          </w:p>
        </w:tc>
      </w:tr>
      <w:tr w:rsidR="00C27455" w:rsidTr="00D75823">
        <w:trPr>
          <w:trHeight w:val="120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Funds distributor</w:t>
            </w:r>
            <w: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The legal entity which has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commercialised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the investment fund to the investor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455" w:rsidRDefault="00C27455" w:rsidP="00D75823">
            <w:pPr>
              <w:spacing w:line="120" w:lineRule="atLeast"/>
            </w:pPr>
            <w:r>
              <w:rPr>
                <w:rFonts w:ascii="Verdana" w:hAnsi="Verdana"/>
                <w:sz w:val="16"/>
                <w:szCs w:val="16"/>
              </w:rPr>
              <w:t>Name of the funds distributor and its unique identifier (BIC, LEI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,…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  <w:r>
              <w:t xml:space="preserve"> </w:t>
            </w:r>
          </w:p>
        </w:tc>
      </w:tr>
    </w:tbl>
    <w:p w:rsidR="00C27455" w:rsidRDefault="00C27455" w:rsidP="00152027">
      <w:pPr>
        <w:rPr>
          <w:lang w:val="en-GB"/>
        </w:rPr>
      </w:pPr>
    </w:p>
    <w:p w:rsidR="00152027" w:rsidRDefault="00152027" w:rsidP="00152027">
      <w:pPr>
        <w:rPr>
          <w:lang w:val="en-GB"/>
        </w:rPr>
      </w:pPr>
      <w:r>
        <w:rPr>
          <w:lang w:val="en-GB"/>
        </w:rPr>
        <w:t>However the following pieces of information are questionable:</w:t>
      </w:r>
    </w:p>
    <w:p w:rsidR="00152027" w:rsidRDefault="00C27455" w:rsidP="00152027">
      <w:pPr>
        <w:pStyle w:val="ListParagraph"/>
        <w:numPr>
          <w:ilvl w:val="0"/>
          <w:numId w:val="39"/>
        </w:numPr>
      </w:pPr>
      <w:r>
        <w:t>Funds Distributor</w:t>
      </w:r>
    </w:p>
    <w:p w:rsidR="00C27455" w:rsidRDefault="00C27455" w:rsidP="00152027">
      <w:pPr>
        <w:pStyle w:val="ListParagraph"/>
        <w:numPr>
          <w:ilvl w:val="0"/>
          <w:numId w:val="39"/>
        </w:numPr>
      </w:pPr>
      <w:r>
        <w:t xml:space="preserve">Some of the quality codes like titles “Mr.” being mixed up with “Securities </w:t>
      </w:r>
      <w:proofErr w:type="gramStart"/>
      <w:r>
        <w:t>To</w:t>
      </w:r>
      <w:proofErr w:type="gramEnd"/>
      <w:r>
        <w:t xml:space="preserve"> Receive” code or “Other artificial Person” and “Mutual Funds”.</w:t>
      </w:r>
    </w:p>
    <w:p w:rsidR="00C27455" w:rsidRDefault="00C27455" w:rsidP="00C27455">
      <w:pPr>
        <w:ind w:left="465"/>
      </w:pPr>
      <w:r>
        <w:t>The list of quality codes seems awkward as it mixes up code values which do not have lots of things in common.</w:t>
      </w:r>
    </w:p>
    <w:p w:rsidR="00C27455" w:rsidRPr="00C27455" w:rsidRDefault="00C27455" w:rsidP="00C27455">
      <w:pPr>
        <w:rPr>
          <w:color w:val="FF0000"/>
          <w:u w:val="single"/>
        </w:rPr>
      </w:pPr>
      <w:r w:rsidRPr="00C27455">
        <w:rPr>
          <w:color w:val="FF0000"/>
          <w:u w:val="single"/>
        </w:rPr>
        <w:t>Agreed Actions:</w:t>
      </w:r>
    </w:p>
    <w:p w:rsidR="00344BDD" w:rsidRDefault="00C27455" w:rsidP="00344BDD">
      <w:pPr>
        <w:pStyle w:val="ListParagraph"/>
        <w:numPr>
          <w:ilvl w:val="0"/>
          <w:numId w:val="36"/>
        </w:numPr>
      </w:pPr>
      <w:proofErr w:type="spellStart"/>
      <w:proofErr w:type="gramStart"/>
      <w:r w:rsidRPr="00A7518E">
        <w:rPr>
          <w:u w:val="single"/>
        </w:rPr>
        <w:t>Ilyas</w:t>
      </w:r>
      <w:proofErr w:type="spellEnd"/>
      <w:r>
        <w:t xml:space="preserve">  to</w:t>
      </w:r>
      <w:proofErr w:type="gramEnd"/>
      <w:r>
        <w:t xml:space="preserve"> come back with a clarification / justification for the presence on some of the code values and on the consistency of some values with others.</w:t>
      </w:r>
    </w:p>
    <w:p w:rsidR="00344BDD" w:rsidRDefault="00344BDD" w:rsidP="00344BDD">
      <w:pPr>
        <w:pStyle w:val="Heading2"/>
      </w:pPr>
      <w:r>
        <w:t>Additional Requirements from DK</w:t>
      </w:r>
    </w:p>
    <w:p w:rsidR="00A7518E" w:rsidRDefault="00344BDD" w:rsidP="00344BDD">
      <w:r>
        <w:t xml:space="preserve">DK requests to have tax information added in the shareholder Identification responses like Tax Identification. However usually several tax ID </w:t>
      </w:r>
      <w:r w:rsidR="00A7518E">
        <w:t>could be provided depending on whether it is the Tax ID from where the investor resides or a tax ID from where he invests and the need for it is not obvious.</w:t>
      </w:r>
    </w:p>
    <w:p w:rsidR="00A7518E" w:rsidRPr="00C27455" w:rsidRDefault="00A7518E" w:rsidP="00A7518E">
      <w:pPr>
        <w:rPr>
          <w:color w:val="FF0000"/>
          <w:u w:val="single"/>
        </w:rPr>
      </w:pPr>
      <w:r w:rsidRPr="00C27455">
        <w:rPr>
          <w:color w:val="FF0000"/>
          <w:u w:val="single"/>
        </w:rPr>
        <w:t>Agreed Actions:</w:t>
      </w:r>
    </w:p>
    <w:p w:rsidR="00A7518E" w:rsidRDefault="00A7518E" w:rsidP="00A7518E">
      <w:pPr>
        <w:pStyle w:val="ListParagraph"/>
        <w:numPr>
          <w:ilvl w:val="0"/>
          <w:numId w:val="36"/>
        </w:numPr>
      </w:pPr>
      <w:r w:rsidRPr="00A7518E">
        <w:rPr>
          <w:u w:val="single"/>
        </w:rPr>
        <w:t>Charlotte</w:t>
      </w:r>
      <w:r>
        <w:t xml:space="preserve"> to come back with a clarification / justification for the presence </w:t>
      </w:r>
      <w:r>
        <w:t>of tax identification in the response message</w:t>
      </w:r>
      <w:r w:rsidR="008C59FB">
        <w:t>.</w:t>
      </w:r>
    </w:p>
    <w:p w:rsidR="00344BDD" w:rsidRPr="00E508F0" w:rsidRDefault="001A2228" w:rsidP="001A2228">
      <w:pPr>
        <w:pStyle w:val="ListParagraph"/>
        <w:numPr>
          <w:ilvl w:val="0"/>
          <w:numId w:val="36"/>
        </w:numPr>
      </w:pPr>
      <w:r>
        <w:rPr>
          <w:u w:val="single"/>
        </w:rPr>
        <w:t xml:space="preserve">Other NMPG </w:t>
      </w:r>
      <w:r w:rsidRPr="001A2228">
        <w:t>to provide new requirements</w:t>
      </w:r>
      <w:r>
        <w:t xml:space="preserve"> for additional shareholders information as soo</w:t>
      </w:r>
      <w:r w:rsidRPr="001A2228">
        <w:t>n as possible</w:t>
      </w:r>
      <w:r>
        <w:t xml:space="preserve"> if any.</w:t>
      </w:r>
      <w:r>
        <w:rPr>
          <w:u w:val="single"/>
        </w:rPr>
        <w:t xml:space="preserve"> </w:t>
      </w:r>
    </w:p>
    <w:bookmarkEnd w:id="3"/>
    <w:bookmarkEnd w:id="4"/>
    <w:bookmarkEnd w:id="5"/>
    <w:bookmarkEnd w:id="6"/>
    <w:bookmarkEnd w:id="7"/>
    <w:bookmarkEnd w:id="8"/>
    <w:p w:rsidR="00E508F0" w:rsidRDefault="00E508F0" w:rsidP="00E508F0">
      <w:pPr>
        <w:pStyle w:val="Heading2"/>
      </w:pPr>
      <w:r>
        <w:lastRenderedPageBreak/>
        <w:t>Additional Status Message on the Shareholder</w:t>
      </w:r>
      <w:r w:rsidR="00C75AE4">
        <w:t xml:space="preserve"> </w:t>
      </w:r>
      <w:r>
        <w:t>Identification Response</w:t>
      </w:r>
    </w:p>
    <w:p w:rsidR="006D01FC" w:rsidRDefault="006D01FC" w:rsidP="00C83020">
      <w:pPr>
        <w:rPr>
          <w:lang w:val="en-GB"/>
        </w:rPr>
      </w:pPr>
      <w:r>
        <w:rPr>
          <w:lang w:val="en-GB"/>
        </w:rPr>
        <w:t>A need for a new status message had been identified in previous meetings to provide status to the Shareholder Identification response and on the cancellation of the response.</w:t>
      </w:r>
    </w:p>
    <w:p w:rsidR="00E508F0" w:rsidRDefault="006D01FC" w:rsidP="00C83020">
      <w:pPr>
        <w:rPr>
          <w:lang w:val="en-GB"/>
        </w:rPr>
      </w:pPr>
      <w:r>
        <w:rPr>
          <w:lang w:val="en-GB"/>
        </w:rPr>
        <w:t>The status should be quite simple like “Accept” or “Reject”. At this stage there are no business case</w:t>
      </w:r>
      <w:r w:rsidR="005057C1">
        <w:rPr>
          <w:lang w:val="en-GB"/>
        </w:rPr>
        <w:t>s</w:t>
      </w:r>
      <w:r>
        <w:rPr>
          <w:lang w:val="en-GB"/>
        </w:rPr>
        <w:t xml:space="preserve"> to have reason codes </w:t>
      </w:r>
      <w:r w:rsidR="005057C1">
        <w:rPr>
          <w:lang w:val="en-GB"/>
        </w:rPr>
        <w:t>added.</w:t>
      </w:r>
    </w:p>
    <w:p w:rsidR="005057C1" w:rsidRDefault="005057C1" w:rsidP="00C83020">
      <w:pPr>
        <w:rPr>
          <w:lang w:val="en-GB"/>
        </w:rPr>
      </w:pPr>
      <w:r>
        <w:rPr>
          <w:lang w:val="en-GB"/>
        </w:rPr>
        <w:t xml:space="preserve">Jacques will check whether we could eventually re-use some existing simple ISO 20022 status messages </w:t>
      </w:r>
      <w:r w:rsidR="00C83020">
        <w:rPr>
          <w:lang w:val="en-GB"/>
        </w:rPr>
        <w:t xml:space="preserve">like the </w:t>
      </w:r>
      <w:proofErr w:type="gramStart"/>
      <w:r w:rsidR="00C83020">
        <w:rPr>
          <w:lang w:val="en-GB"/>
        </w:rPr>
        <w:t>admi.007 ?</w:t>
      </w:r>
      <w:proofErr w:type="gramEnd"/>
    </w:p>
    <w:p w:rsidR="00C83020" w:rsidRDefault="004F0010" w:rsidP="00C83020">
      <w:pPr>
        <w:pStyle w:val="Heading2"/>
      </w:pPr>
      <w:r>
        <w:t xml:space="preserve">PV - </w:t>
      </w:r>
      <w:r w:rsidR="00C83020">
        <w:t xml:space="preserve">Request for a </w:t>
      </w:r>
      <w:r w:rsidR="00C83020" w:rsidRPr="00BE5BCF">
        <w:t>Confirmation of the recording and counting of votes</w:t>
      </w:r>
      <w:r>
        <w:t xml:space="preserve"> (Remaining Q17)</w:t>
      </w:r>
    </w:p>
    <w:p w:rsidR="001667CE" w:rsidRDefault="004F0010" w:rsidP="004F0010">
      <w:pPr>
        <w:rPr>
          <w:lang w:val="en-GB"/>
        </w:rPr>
      </w:pPr>
      <w:r>
        <w:rPr>
          <w:lang w:val="en-GB"/>
        </w:rPr>
        <w:t xml:space="preserve">The meeting instruction message (seev.004) includes already such a flag </w:t>
      </w:r>
      <w:r w:rsidR="001667CE">
        <w:rPr>
          <w:lang w:val="en-GB"/>
        </w:rPr>
        <w:t>with the “</w:t>
      </w:r>
      <w:proofErr w:type="spellStart"/>
      <w:r w:rsidR="001667CE">
        <w:rPr>
          <w:lang w:val="en-GB"/>
        </w:rPr>
        <w:t>VoteInstructionConfirmation</w:t>
      </w:r>
      <w:proofErr w:type="spellEnd"/>
      <w:r w:rsidR="001667CE">
        <w:rPr>
          <w:lang w:val="en-GB"/>
        </w:rPr>
        <w:t>” indicator element.</w:t>
      </w:r>
    </w:p>
    <w:p w:rsidR="001667CE" w:rsidRDefault="001667CE" w:rsidP="004F0010">
      <w:pPr>
        <w:rPr>
          <w:lang w:val="en-GB"/>
        </w:rPr>
      </w:pPr>
      <w:r>
        <w:rPr>
          <w:lang w:val="en-GB"/>
        </w:rPr>
        <w:t>It is not yet fully clear whether we need in addition a new message specifically for such an off-line request?</w:t>
      </w:r>
    </w:p>
    <w:p w:rsidR="00C83020" w:rsidRPr="00E508F0" w:rsidRDefault="00C83020" w:rsidP="004F0010">
      <w:pPr>
        <w:rPr>
          <w:lang w:val="en-GB"/>
        </w:rPr>
      </w:pPr>
      <w:bookmarkStart w:id="10" w:name="_GoBack"/>
      <w:bookmarkEnd w:id="10"/>
    </w:p>
    <w:p w:rsidR="004C47B0" w:rsidRPr="00076711" w:rsidRDefault="001D08DD" w:rsidP="005767E3">
      <w:pPr>
        <w:pStyle w:val="Heading1"/>
      </w:pPr>
      <w:r>
        <w:t xml:space="preserve">Reminder - </w:t>
      </w:r>
      <w:r w:rsidR="00D126DD">
        <w:t>QUESTIONS FOR NMPGs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17"/>
      </w:tblGrid>
      <w:tr w:rsidR="005767E3" w:rsidTr="00AA7973">
        <w:tc>
          <w:tcPr>
            <w:tcW w:w="9158" w:type="dxa"/>
            <w:gridSpan w:val="2"/>
          </w:tcPr>
          <w:p w:rsidR="005767E3" w:rsidRPr="00F8188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F81883">
              <w:rPr>
                <w:b/>
              </w:rPr>
              <w:t>seev.001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Attendance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Proxy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Revocability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Early with premium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with premium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7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securities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8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participation deadline – do you use this deadline and do you agree with the current definition?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9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In the NotificationStatus element, do we need also a Complete/Incomplete code in addition to Confirmed/Unconfirmed?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AttendanceConfirmationInformation – currently this is a narrative. Do you think we would need formatted codes? If so, which ones?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11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Date Status – do you agree in removing codes CANC and NOQO as they are redundant? Equivalent codes exist in the cancellation message (seev. 002)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12</w:t>
            </w:r>
          </w:p>
        </w:tc>
        <w:tc>
          <w:tcPr>
            <w:tcW w:w="8417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In 15022, we have one CAEV per meeting type: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lastRenderedPageBreak/>
              <w:t>BMET – bondholder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CMET – court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MEET – annual general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OMET – ordinary general meeting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XMET – extraordinary or special general meeting</w:t>
            </w:r>
          </w:p>
          <w:p w:rsidR="005767E3" w:rsidRDefault="005767E3" w:rsidP="00AA7973">
            <w:pPr>
              <w:jc w:val="both"/>
            </w:pPr>
          </w:p>
          <w:p w:rsidR="005767E3" w:rsidRDefault="005767E3" w:rsidP="00AA7973">
            <w:pPr>
              <w:jc w:val="both"/>
            </w:pPr>
            <w:r>
              <w:t>In 20022, we have the type of meeting (Tp):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XMET – extraordinary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GMET – general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MIXD – mixed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SPCL – special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BMET – bondholder meeting</w:t>
            </w:r>
          </w:p>
          <w:p w:rsidR="005767E3" w:rsidRDefault="005767E3" w:rsidP="00AA7973">
            <w:pPr>
              <w:jc w:val="both"/>
            </w:pPr>
            <w:r>
              <w:t>which should be completed along with the Classification (Classfctn):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AMET – annual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OMET – ordinary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CLAS – class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ISSU – Issuer Initiated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VRHI – voting rights holder initiated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CORT – court</w:t>
            </w:r>
          </w:p>
          <w:p w:rsidR="005767E3" w:rsidRDefault="005767E3" w:rsidP="00AA7973">
            <w:pPr>
              <w:jc w:val="both"/>
            </w:pPr>
          </w:p>
          <w:p w:rsidR="005767E3" w:rsidRDefault="005767E3" w:rsidP="00AA7973">
            <w:pPr>
              <w:jc w:val="both"/>
            </w:pPr>
            <w:r>
              <w:t>Please find enclosed a document (page 6) describing the mapping between the CAEV in 15022 to the type/classification in 20022:</w:t>
            </w:r>
          </w:p>
          <w:bookmarkStart w:id="11" w:name="_MON_1617802462"/>
          <w:bookmarkEnd w:id="11"/>
          <w:p w:rsidR="005767E3" w:rsidRDefault="005767E3" w:rsidP="00AA7973">
            <w:pPr>
              <w:jc w:val="both"/>
            </w:pPr>
            <w:r>
              <w:object w:dxaOrig="1551" w:dyaOrig="1004">
                <v:shape id="_x0000_i1025" type="#_x0000_t75" style="width:77.25pt;height:50.25pt" o:ole="">
                  <v:imagedata r:id="rId15" o:title=""/>
                </v:shape>
                <o:OLEObject Type="Embed" ProgID="Word.Document.8" ShapeID="_x0000_i1025" DrawAspect="Icon" ObjectID="_1618751299" r:id="rId16">
                  <o:FieldCodes>\s</o:FieldCodes>
                </o:OLEObject>
              </w:object>
            </w:r>
          </w:p>
          <w:p w:rsidR="005767E3" w:rsidRDefault="005767E3" w:rsidP="00AA7973">
            <w:pPr>
              <w:jc w:val="both"/>
            </w:pPr>
            <w:r>
              <w:t>Can you please review the above (20022) list and confirm which one is needed in your market and if there is any that is missing?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lastRenderedPageBreak/>
              <w:t>13</w:t>
            </w:r>
          </w:p>
        </w:tc>
        <w:tc>
          <w:tcPr>
            <w:tcW w:w="8417" w:type="dxa"/>
          </w:tcPr>
          <w:p w:rsidR="005767E3" w:rsidRPr="00042911" w:rsidRDefault="005767E3" w:rsidP="00AA7973">
            <w:r>
              <w:t>In 20022, there are 4 VotInstructionCode that can be used to list the voting options, as follows: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  <w:rPr>
                <w:lang w:val="fr-FR"/>
              </w:rPr>
            </w:pPr>
            <w:r w:rsidRPr="00042911">
              <w:rPr>
                <w:lang w:val="fr-FR"/>
              </w:rPr>
              <w:t>“VoteInstruction1Code” – CFOR, CAGS, ABST, WTHH, NOAC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  <w:rPr>
                <w:lang w:val="fr-FR"/>
              </w:rPr>
            </w:pPr>
            <w:r w:rsidRPr="00042911">
              <w:rPr>
                <w:lang w:val="fr-FR"/>
              </w:rPr>
              <w:t xml:space="preserve">“VoteInstruction2Code” – CFOR, CAGS, ABST, WTHH, </w:t>
            </w:r>
            <w:r w:rsidRPr="00042911">
              <w:rPr>
                <w:color w:val="FF0000"/>
                <w:lang w:val="fr-FR"/>
              </w:rPr>
              <w:t>WMGT, AMGT</w:t>
            </w:r>
            <w:r w:rsidRPr="00042911">
              <w:rPr>
                <w:lang w:val="fr-FR"/>
              </w:rPr>
              <w:t xml:space="preserve">, NOAC, </w:t>
            </w:r>
            <w:r w:rsidRPr="00042911">
              <w:rPr>
                <w:color w:val="FF0000"/>
                <w:lang w:val="fr-FR"/>
              </w:rPr>
              <w:t>DISC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</w:pPr>
            <w:r w:rsidRPr="00042911">
              <w:t xml:space="preserve">“VoteInstruction3Code” – ABST, CAGS, AMGT, DISC, CFOR, NOAC, WTHH, WMGT, </w:t>
            </w:r>
            <w:r w:rsidRPr="00042911">
              <w:rPr>
                <w:color w:val="FF0000"/>
              </w:rPr>
              <w:t>ONEY, THRY, TWOY</w:t>
            </w:r>
          </w:p>
          <w:p w:rsidR="005767E3" w:rsidRPr="00042911" w:rsidRDefault="005767E3" w:rsidP="005767E3">
            <w:pPr>
              <w:pStyle w:val="ListParagraph"/>
              <w:numPr>
                <w:ilvl w:val="0"/>
                <w:numId w:val="25"/>
              </w:numPr>
              <w:spacing w:before="0" w:after="0"/>
              <w:ind w:left="714" w:hanging="357"/>
            </w:pPr>
            <w:r w:rsidRPr="00042911">
              <w:t xml:space="preserve">“VoteInstruction4Code” – ABST, CAGS, AMGT, </w:t>
            </w:r>
            <w:r w:rsidRPr="00042911">
              <w:rPr>
                <w:color w:val="FF0000"/>
              </w:rPr>
              <w:t xml:space="preserve">CHRM, </w:t>
            </w:r>
            <w:r w:rsidRPr="00042911">
              <w:t xml:space="preserve">CFOR, NOAC, WTHH, WMGT, </w:t>
            </w:r>
            <w:r w:rsidRPr="00042911">
              <w:rPr>
                <w:color w:val="FF0000"/>
              </w:rPr>
              <w:t>ONEY, THRY, TWOY</w:t>
            </w:r>
          </w:p>
          <w:p w:rsidR="005767E3" w:rsidRDefault="005767E3" w:rsidP="00AA7973">
            <w:pPr>
              <w:jc w:val="both"/>
            </w:pPr>
          </w:p>
          <w:p w:rsidR="005767E3" w:rsidRDefault="005767E3" w:rsidP="00AA7973">
            <w:pPr>
              <w:jc w:val="both"/>
            </w:pPr>
            <w:r>
              <w:t>Jacques investigated the reason of these differences:</w:t>
            </w:r>
          </w:p>
          <w:p w:rsidR="005767E3" w:rsidRPr="003A3AA4" w:rsidRDefault="005767E3" w:rsidP="00AA7973">
            <w:pPr>
              <w:rPr>
                <w:i/>
                <w:color w:val="0000FF"/>
              </w:rPr>
            </w:pPr>
            <w:r w:rsidRPr="00AC558A">
              <w:rPr>
                <w:i/>
              </w:rPr>
              <w:t xml:space="preserve">VoteInstruction1Code: used in seev.001 </w:t>
            </w:r>
            <w:r>
              <w:rPr>
                <w:i/>
              </w:rPr>
              <w:t xml:space="preserve">(notification) </w:t>
            </w:r>
            <w:r w:rsidRPr="00AC558A">
              <w:rPr>
                <w:i/>
              </w:rPr>
              <w:t>for Resolution/ManagementRecommendation and ResolutionNotyfyingPartyRecommendation</w:t>
            </w:r>
            <w:r>
              <w:rPr>
                <w:i/>
              </w:rPr>
              <w:t xml:space="preserve"> – </w:t>
            </w:r>
            <w:r w:rsidRPr="003A3AA4">
              <w:rPr>
                <w:i/>
                <w:color w:val="0000FF"/>
              </w:rPr>
              <w:lastRenderedPageBreak/>
              <w:t>Could be ok eventually that the Management related votes are not listed here.</w:t>
            </w:r>
          </w:p>
          <w:p w:rsidR="005767E3" w:rsidRPr="00AC558A" w:rsidRDefault="005767E3" w:rsidP="00AA7973">
            <w:pPr>
              <w:rPr>
                <w:i/>
              </w:rPr>
            </w:pPr>
            <w:r w:rsidRPr="00AC558A">
              <w:rPr>
                <w:i/>
              </w:rPr>
              <w:t>VoteInstruction2Code: used in seev.001 for VoteInstructionType</w:t>
            </w:r>
          </w:p>
          <w:p w:rsidR="005767E3" w:rsidRPr="00AC558A" w:rsidRDefault="005767E3" w:rsidP="00AA7973">
            <w:pPr>
              <w:rPr>
                <w:i/>
              </w:rPr>
            </w:pPr>
            <w:r w:rsidRPr="00AC558A">
              <w:rPr>
                <w:i/>
              </w:rPr>
              <w:t>VoteInstruction3Code: Used in seev.004 for Proxy/GlobalVoteInstruction</w:t>
            </w:r>
            <w:r>
              <w:rPr>
                <w:i/>
              </w:rPr>
              <w:t xml:space="preserve"> – Does the “Say on Pay” types of votes (One Year, Two years, Three years) applies only on the instruction message?- It seems ackward that those types are not in the notification. Should replace </w:t>
            </w:r>
            <w:r w:rsidRPr="00AC558A">
              <w:rPr>
                <w:i/>
              </w:rPr>
              <w:t>VoteInstruction2Code</w:t>
            </w:r>
            <w:r>
              <w:rPr>
                <w:i/>
              </w:rPr>
              <w:t xml:space="preserve"> probably.</w:t>
            </w:r>
          </w:p>
          <w:p w:rsidR="005767E3" w:rsidRPr="00AC558A" w:rsidRDefault="005767E3" w:rsidP="00AA7973">
            <w:pPr>
              <w:rPr>
                <w:i/>
              </w:rPr>
            </w:pPr>
            <w:r w:rsidRPr="00AC558A">
              <w:rPr>
                <w:i/>
              </w:rPr>
              <w:t>VoteInstruction4Code: Used in seev.004 in VoteDetails/VoteForMeetingResolution</w:t>
            </w:r>
            <w:r>
              <w:rPr>
                <w:i/>
              </w:rPr>
              <w:t xml:space="preserve"> – Does CHRM (Vote with Chairman) type of vote applies only to votes for resolutions proposed at meeting? If yes, this difference legitimate. If no, it should replace </w:t>
            </w:r>
            <w:r w:rsidRPr="00AC558A">
              <w:rPr>
                <w:i/>
              </w:rPr>
              <w:t>VoteInstruction2Code</w:t>
            </w:r>
            <w:r>
              <w:rPr>
                <w:i/>
              </w:rPr>
              <w:t xml:space="preserve"> and VoteInstruction3</w:t>
            </w:r>
            <w:r w:rsidRPr="00AC558A">
              <w:rPr>
                <w:i/>
              </w:rPr>
              <w:t>Code</w:t>
            </w:r>
            <w:r>
              <w:rPr>
                <w:i/>
              </w:rPr>
              <w:t xml:space="preserve">. </w:t>
            </w:r>
          </w:p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 xml:space="preserve">Can you please review the results of Jacques’ analysis? </w:t>
            </w:r>
          </w:p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 w:rsidRPr="00293089">
              <w:rPr>
                <w:color w:val="0000FF"/>
              </w:rPr>
              <w:t xml:space="preserve">Would you agree that ONEY, THRY, TWOY </w:t>
            </w:r>
            <w:r>
              <w:rPr>
                <w:color w:val="0000FF"/>
              </w:rPr>
              <w:t xml:space="preserve">(and CHRM) </w:t>
            </w:r>
            <w:r w:rsidRPr="00293089">
              <w:rPr>
                <w:color w:val="0000FF"/>
              </w:rPr>
              <w:t xml:space="preserve">should also be added to </w:t>
            </w:r>
            <w:r w:rsidRPr="00293089">
              <w:rPr>
                <w:color w:val="0000FF"/>
                <w:lang w:val="fr-FR"/>
              </w:rPr>
              <w:t>VoteInstruction2Code</w:t>
            </w:r>
            <w:r w:rsidRPr="00293089">
              <w:rPr>
                <w:color w:val="0000FF"/>
              </w:rPr>
              <w:t xml:space="preserve">? If so, then </w:t>
            </w:r>
            <w:r w:rsidRPr="00293089">
              <w:rPr>
                <w:color w:val="0000FF"/>
                <w:lang w:val="fr-FR"/>
              </w:rPr>
              <w:t>VoteInstruction2Code</w:t>
            </w:r>
            <w:r w:rsidRPr="00293089">
              <w:rPr>
                <w:color w:val="0000FF"/>
              </w:rPr>
              <w:t xml:space="preserve"> and </w:t>
            </w:r>
            <w:r w:rsidRPr="00293089">
              <w:rPr>
                <w:color w:val="0000FF"/>
                <w:lang w:val="fr-FR"/>
              </w:rPr>
              <w:t>VoteInstruction3Code</w:t>
            </w:r>
            <w:r w:rsidRPr="0029308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and </w:t>
            </w:r>
            <w:r w:rsidRPr="00952053">
              <w:rPr>
                <w:i/>
                <w:color w:val="0000FF"/>
              </w:rPr>
              <w:t>VoteInstruction4Code</w:t>
            </w:r>
            <w:r w:rsidRPr="00952053">
              <w:rPr>
                <w:color w:val="0000FF"/>
              </w:rPr>
              <w:t xml:space="preserve"> </w:t>
            </w:r>
            <w:r w:rsidRPr="00293089">
              <w:rPr>
                <w:color w:val="0000FF"/>
              </w:rPr>
              <w:t>will be identical. We would then recommend removing one of them. Would you agree?</w:t>
            </w:r>
          </w:p>
        </w:tc>
      </w:tr>
      <w:tr w:rsidR="005767E3" w:rsidTr="00AA7973">
        <w:tc>
          <w:tcPr>
            <w:tcW w:w="9158" w:type="dxa"/>
            <w:gridSpan w:val="2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 w:rsidRPr="00F81883">
              <w:rPr>
                <w:b/>
              </w:rPr>
              <w:lastRenderedPageBreak/>
              <w:t>seev.</w:t>
            </w:r>
            <w:r>
              <w:rPr>
                <w:b/>
              </w:rPr>
              <w:t>004, seev.005, seev.006 and seev.007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14</w:t>
            </w:r>
          </w:p>
        </w:tc>
        <w:tc>
          <w:tcPr>
            <w:tcW w:w="8417" w:type="dxa"/>
          </w:tcPr>
          <w:p w:rsidR="005767E3" w:rsidRDefault="005767E3" w:rsidP="00AA7973">
            <w:pPr>
              <w:jc w:val="both"/>
            </w:pPr>
            <w:r>
              <w:t xml:space="preserve">The instruction message (seev.004) allows for multiple instructions to be included in the same message. A reference is assigned at message level and a reference is also assigned at the level of each instruction. </w:t>
            </w:r>
          </w:p>
          <w:p w:rsidR="005767E3" w:rsidRDefault="005767E3" w:rsidP="00AA7973">
            <w:pPr>
              <w:jc w:val="both"/>
            </w:pPr>
            <w:r>
              <w:t xml:space="preserve">The meeting status message (seev.006) allows to either sending a confirmation at global (message) or single instruction level. </w:t>
            </w:r>
          </w:p>
          <w:p w:rsidR="005767E3" w:rsidRDefault="005767E3" w:rsidP="00AA7973">
            <w:pPr>
              <w:jc w:val="both"/>
            </w:pPr>
            <w:r>
              <w:t xml:space="preserve">The cancellation message (seev.005) only allows </w:t>
            </w:r>
            <w:proofErr w:type="gramStart"/>
            <w:r>
              <w:t>to cancel</w:t>
            </w:r>
            <w:proofErr w:type="gramEnd"/>
            <w:r>
              <w:t xml:space="preserve"> a previously sent instruction message, not an individual instruction. </w:t>
            </w:r>
          </w:p>
          <w:p w:rsidR="005767E3" w:rsidRDefault="005767E3" w:rsidP="00AA7973">
            <w:pPr>
              <w:jc w:val="both"/>
            </w:pPr>
            <w:r>
              <w:t xml:space="preserve">The vote execution confirmation (seev.007) </w:t>
            </w:r>
            <w:r w:rsidRPr="00F81883">
              <w:t xml:space="preserve">can only be </w:t>
            </w:r>
            <w:r>
              <w:t xml:space="preserve">sent </w:t>
            </w:r>
            <w:r w:rsidRPr="00F81883">
              <w:t xml:space="preserve">per instruction as per the instruction ID provided in seev.004. </w:t>
            </w:r>
          </w:p>
          <w:p w:rsidR="005767E3" w:rsidRDefault="005767E3" w:rsidP="00AA7973">
            <w:pPr>
              <w:jc w:val="both"/>
            </w:pPr>
            <w:r>
              <w:t>For consistency, we should: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2"/>
              </w:numPr>
              <w:spacing w:before="0" w:after="200" w:line="276" w:lineRule="auto"/>
              <w:contextualSpacing/>
              <w:jc w:val="both"/>
            </w:pPr>
            <w:r>
              <w:t>either amend seev.005 to allow cancellation at instruction level and not only at message level; OR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2"/>
              </w:numPr>
              <w:spacing w:before="0" w:after="200" w:line="276" w:lineRule="auto"/>
              <w:contextualSpacing/>
              <w:jc w:val="both"/>
            </w:pPr>
            <w:proofErr w:type="gramStart"/>
            <w:r>
              <w:t>amend</w:t>
            </w:r>
            <w:proofErr w:type="gramEnd"/>
            <w:r>
              <w:t xml:space="preserve"> the structure of seev.004 and seev.007 to align to the CA messages and only allow one instruction per message.</w:t>
            </w:r>
          </w:p>
        </w:tc>
      </w:tr>
      <w:tr w:rsidR="005767E3" w:rsidTr="00AA7973">
        <w:tc>
          <w:tcPr>
            <w:tcW w:w="9158" w:type="dxa"/>
            <w:gridSpan w:val="2"/>
          </w:tcPr>
          <w:p w:rsidR="005767E3" w:rsidRDefault="005767E3" w:rsidP="00AA7973">
            <w:pPr>
              <w:jc w:val="both"/>
            </w:pPr>
            <w:r>
              <w:rPr>
                <w:b/>
              </w:rPr>
              <w:t xml:space="preserve">seev.006 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15</w:t>
            </w:r>
          </w:p>
        </w:tc>
        <w:tc>
          <w:tcPr>
            <w:tcW w:w="8417" w:type="dxa"/>
          </w:tcPr>
          <w:p w:rsidR="005767E3" w:rsidRDefault="005767E3" w:rsidP="00AA7973">
            <w:pPr>
              <w:jc w:val="both"/>
            </w:pPr>
            <w:r>
              <w:t>We need to add a PEND status and reason codes to this message. Can we have a list of reason codes we want to use for PEND?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16</w:t>
            </w:r>
          </w:p>
        </w:tc>
        <w:tc>
          <w:tcPr>
            <w:tcW w:w="8417" w:type="dxa"/>
          </w:tcPr>
          <w:p w:rsidR="005767E3" w:rsidRDefault="005767E3" w:rsidP="00AA7973">
            <w:pPr>
              <w:jc w:val="both"/>
            </w:pPr>
            <w:r>
              <w:t>The existing status/reason codes set up in meeting messages is different to what we have in CA. Should we align it?</w:t>
            </w:r>
          </w:p>
        </w:tc>
      </w:tr>
      <w:tr w:rsidR="005767E3" w:rsidTr="00AA7973">
        <w:tc>
          <w:tcPr>
            <w:tcW w:w="9158" w:type="dxa"/>
            <w:gridSpan w:val="2"/>
          </w:tcPr>
          <w:p w:rsidR="005767E3" w:rsidRPr="00BE5BCF" w:rsidRDefault="005767E3" w:rsidP="00AA7973">
            <w:pPr>
              <w:jc w:val="both"/>
              <w:rPr>
                <w:b/>
              </w:rPr>
            </w:pPr>
            <w:r w:rsidRPr="00BE5BCF">
              <w:rPr>
                <w:b/>
              </w:rPr>
              <w:t>Confirmation of the recording and counting of votes</w:t>
            </w:r>
          </w:p>
        </w:tc>
      </w:tr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17</w:t>
            </w:r>
          </w:p>
        </w:tc>
        <w:tc>
          <w:tcPr>
            <w:tcW w:w="8417" w:type="dxa"/>
          </w:tcPr>
          <w:p w:rsidR="005767E3" w:rsidRDefault="005767E3" w:rsidP="00AA7973">
            <w:pPr>
              <w:jc w:val="both"/>
            </w:pPr>
            <w:r>
              <w:t>According to art.9.5 of the implementing regulation, the confirmation of recording and counting of votes shall be provided by the issuer in a timely manner and no later than 15 days after the request or general meeting, whichever occurs later, unless the information is already available.</w:t>
            </w:r>
          </w:p>
          <w:p w:rsidR="005767E3" w:rsidRDefault="005767E3" w:rsidP="00AA7973">
            <w:pPr>
              <w:jc w:val="both"/>
            </w:pPr>
            <w:r>
              <w:t>How is the request supposed to be forwarded to the issuer/issuer agent: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lastRenderedPageBreak/>
              <w:t>should we add something to the instruction message (seev.004), OR</w:t>
            </w:r>
          </w:p>
          <w:p w:rsidR="005767E3" w:rsidRDefault="005767E3" w:rsidP="005767E3">
            <w:pPr>
              <w:pStyle w:val="ListParagraph"/>
              <w:numPr>
                <w:ilvl w:val="0"/>
                <w:numId w:val="33"/>
              </w:numPr>
              <w:jc w:val="both"/>
            </w:pPr>
            <w:proofErr w:type="gramStart"/>
            <w:r>
              <w:t>should</w:t>
            </w:r>
            <w:proofErr w:type="gramEnd"/>
            <w:r>
              <w:t xml:space="preserve"> we consider having to create a new message to request the record and counting of votes?</w:t>
            </w:r>
          </w:p>
          <w:p w:rsidR="005767E3" w:rsidRDefault="005767E3" w:rsidP="00AA7973">
            <w:pPr>
              <w:jc w:val="both"/>
            </w:pPr>
          </w:p>
        </w:tc>
      </w:tr>
    </w:tbl>
    <w:p w:rsidR="005767E3" w:rsidRDefault="005767E3" w:rsidP="005767E3">
      <w:pPr>
        <w:rPr>
          <w:lang w:val="en-GB"/>
        </w:rPr>
      </w:pPr>
    </w:p>
    <w:p w:rsidR="005767E3" w:rsidRPr="00BE5BCF" w:rsidRDefault="005767E3" w:rsidP="005767E3">
      <w:pPr>
        <w:pStyle w:val="ListParagraph"/>
        <w:numPr>
          <w:ilvl w:val="0"/>
          <w:numId w:val="0"/>
        </w:numPr>
        <w:ind w:left="360"/>
        <w:jc w:val="both"/>
        <w:rPr>
          <w:b/>
        </w:rPr>
      </w:pPr>
      <w:r>
        <w:rPr>
          <w:b/>
        </w:rPr>
        <w:t>SHAREHOLDER IDENTIFICATION – REQUESTS FROM</w:t>
      </w:r>
      <w:r w:rsidRPr="00BE5BCF">
        <w:rPr>
          <w:b/>
        </w:rPr>
        <w:t xml:space="preserve"> NMPGs – deadline 30 April 2019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17"/>
      </w:tblGrid>
      <w:tr w:rsidR="005767E3" w:rsidTr="00AA7973">
        <w:tc>
          <w:tcPr>
            <w:tcW w:w="741" w:type="dxa"/>
          </w:tcPr>
          <w:p w:rsidR="005767E3" w:rsidRDefault="005767E3" w:rsidP="00AA7973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5767E3" w:rsidRDefault="005767E3" w:rsidP="00AA7973">
            <w:pPr>
              <w:jc w:val="both"/>
            </w:pPr>
            <w:r>
              <w:t>NMPGs requiring additional information to be added to the legal or natural person elements in the response messages to provide such elements by 30/04.</w:t>
            </w:r>
          </w:p>
          <w:p w:rsidR="005767E3" w:rsidRDefault="005767E3" w:rsidP="00AA7973">
            <w:pPr>
              <w:jc w:val="both"/>
            </w:pPr>
          </w:p>
        </w:tc>
      </w:tr>
    </w:tbl>
    <w:p w:rsidR="007A710B" w:rsidRDefault="007A710B" w:rsidP="00D06238">
      <w:pPr>
        <w:rPr>
          <w:lang w:val="en-GB"/>
        </w:rPr>
      </w:pPr>
    </w:p>
    <w:p w:rsidR="005767E3" w:rsidRDefault="005767E3" w:rsidP="005767E3">
      <w:pPr>
        <w:pStyle w:val="Heading1"/>
      </w:pPr>
      <w:r>
        <w:t>Next Conference Calls</w:t>
      </w:r>
    </w:p>
    <w:p w:rsidR="005767E3" w:rsidRPr="0012621F" w:rsidRDefault="005767E3" w:rsidP="004A1068">
      <w:r w:rsidRPr="0012621F">
        <w:t xml:space="preserve">Thursday May 9 from 3:00 to 5:00 PM CET </w:t>
      </w:r>
    </w:p>
    <w:p w:rsidR="005767E3" w:rsidRDefault="005767E3" w:rsidP="00D06238">
      <w:pPr>
        <w:rPr>
          <w:lang w:val="en-GB"/>
        </w:rPr>
      </w:pPr>
    </w:p>
    <w:sectPr w:rsidR="005767E3" w:rsidSect="0033425B">
      <w:headerReference w:type="even" r:id="rId17"/>
      <w:headerReference w:type="default" r:id="rId18"/>
      <w:headerReference w:type="first" r:id="rId1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0D" w:rsidRDefault="00601D0D" w:rsidP="00592037">
      <w:r>
        <w:separator/>
      </w:r>
    </w:p>
    <w:p w:rsidR="00601D0D" w:rsidRDefault="00601D0D" w:rsidP="00592037"/>
  </w:endnote>
  <w:endnote w:type="continuationSeparator" w:id="0">
    <w:p w:rsidR="00601D0D" w:rsidRDefault="00601D0D" w:rsidP="00592037">
      <w:r>
        <w:continuationSeparator/>
      </w:r>
    </w:p>
    <w:p w:rsidR="00601D0D" w:rsidRDefault="00601D0D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2BBF" w:rsidRDefault="00482BBF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Pr="00C40CE5" w:rsidRDefault="00FC3378" w:rsidP="00592037">
    <w:pPr>
      <w:pStyle w:val="Footer"/>
      <w:rPr>
        <w:lang w:val="en-GB"/>
      </w:rPr>
    </w:pPr>
    <w:r>
      <w:t xml:space="preserve">Conference Call </w:t>
    </w:r>
    <w:r w:rsidR="009A5DBA">
      <w:t>May</w:t>
    </w:r>
    <w:r>
      <w:t xml:space="preserve"> </w:t>
    </w:r>
    <w:r w:rsidR="009A5DBA">
      <w:t>2</w:t>
    </w:r>
    <w:r w:rsidR="00482BBF" w:rsidRPr="00F446A3">
      <w:t xml:space="preserve"> Meeting Minutes</w:t>
    </w:r>
    <w:r w:rsidR="00482BBF" w:rsidRPr="00C40CE5">
      <w:rPr>
        <w:lang w:val="en-GB"/>
      </w:rPr>
      <w:tab/>
    </w:r>
    <w:r w:rsidR="00482BBF">
      <w:rPr>
        <w:lang w:val="en-GB"/>
      </w:rPr>
      <w:tab/>
    </w:r>
    <w:r w:rsidR="00482BBF" w:rsidRPr="00C40CE5">
      <w:rPr>
        <w:lang w:val="en-GB"/>
      </w:rPr>
      <w:t xml:space="preserve">Page </w:t>
    </w:r>
    <w:r w:rsidR="00482BBF" w:rsidRPr="00D53847">
      <w:rPr>
        <w:lang w:val="fr-BE"/>
      </w:rPr>
      <w:fldChar w:fldCharType="begin"/>
    </w:r>
    <w:r w:rsidR="00482BBF" w:rsidRPr="00C40CE5">
      <w:rPr>
        <w:lang w:val="en-GB"/>
      </w:rPr>
      <w:instrText xml:space="preserve"> PAGE   \* MERGEFORMAT </w:instrText>
    </w:r>
    <w:r w:rsidR="00482BBF" w:rsidRPr="00D53847">
      <w:rPr>
        <w:lang w:val="fr-BE"/>
      </w:rPr>
      <w:fldChar w:fldCharType="separate"/>
    </w:r>
    <w:r w:rsidR="00D126DD">
      <w:rPr>
        <w:noProof/>
        <w:lang w:val="en-GB"/>
      </w:rPr>
      <w:t>4</w:t>
    </w:r>
    <w:r w:rsidR="00482BBF"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0D" w:rsidRDefault="00601D0D" w:rsidP="00592037">
      <w:r>
        <w:separator/>
      </w:r>
    </w:p>
    <w:p w:rsidR="00601D0D" w:rsidRDefault="00601D0D" w:rsidP="00592037"/>
  </w:footnote>
  <w:footnote w:type="continuationSeparator" w:id="0">
    <w:p w:rsidR="00601D0D" w:rsidRDefault="00601D0D" w:rsidP="00592037">
      <w:r>
        <w:continuationSeparator/>
      </w:r>
    </w:p>
    <w:p w:rsidR="00601D0D" w:rsidRDefault="00601D0D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Pr="00F446A3" w:rsidRDefault="00482BBF" w:rsidP="005B2C4D">
    <w:pPr>
      <w:tabs>
        <w:tab w:val="right" w:pos="9270"/>
      </w:tabs>
      <w:rPr>
        <w:b/>
      </w:rPr>
    </w:pPr>
    <w:r w:rsidRPr="00F446A3"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95F1A2B" wp14:editId="507BEC84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6A3">
      <w:rPr>
        <w:b/>
      </w:rPr>
      <w:t xml:space="preserve"> </w:t>
    </w:r>
    <w:r w:rsidRPr="00F446A3">
      <w:rPr>
        <w:b/>
      </w:rPr>
      <w:fldChar w:fldCharType="begin"/>
    </w:r>
    <w:r w:rsidRPr="00F446A3">
      <w:rPr>
        <w:b/>
        <w:lang w:val="sv-SE"/>
      </w:rPr>
      <w:instrText xml:space="preserve"> FILENAME </w:instrText>
    </w:r>
    <w:r w:rsidRPr="00F446A3">
      <w:rPr>
        <w:b/>
      </w:rPr>
      <w:fldChar w:fldCharType="separate"/>
    </w:r>
    <w:r w:rsidR="00C11AA0">
      <w:rPr>
        <w:b/>
        <w:noProof/>
        <w:lang w:val="sv-SE"/>
      </w:rPr>
      <w:t>SRD2_ISO_Messages_TF_April24_Minutes_v1</w:t>
    </w:r>
    <w:r w:rsidRPr="00F446A3">
      <w:rPr>
        <w:b/>
      </w:rPr>
      <w:fldChar w:fldCharType="end"/>
    </w:r>
    <w:r w:rsidRPr="00F446A3"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70EDB"/>
    <w:multiLevelType w:val="hybridMultilevel"/>
    <w:tmpl w:val="6F8E222E"/>
    <w:lvl w:ilvl="0" w:tplc="FDEA9A28">
      <w:start w:val="2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00"/>
    <w:multiLevelType w:val="hybridMultilevel"/>
    <w:tmpl w:val="85349518"/>
    <w:lvl w:ilvl="0" w:tplc="8F4238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7ABE"/>
    <w:multiLevelType w:val="hybridMultilevel"/>
    <w:tmpl w:val="A8AC7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311"/>
    <w:multiLevelType w:val="hybridMultilevel"/>
    <w:tmpl w:val="D844416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E5FF5"/>
    <w:multiLevelType w:val="hybridMultilevel"/>
    <w:tmpl w:val="F9A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1BA6"/>
    <w:multiLevelType w:val="hybridMultilevel"/>
    <w:tmpl w:val="2CC28022"/>
    <w:lvl w:ilvl="0" w:tplc="6EC4CA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93725"/>
    <w:multiLevelType w:val="hybridMultilevel"/>
    <w:tmpl w:val="7EA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902"/>
    <w:multiLevelType w:val="hybridMultilevel"/>
    <w:tmpl w:val="79EA82D8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B7744"/>
    <w:multiLevelType w:val="multilevel"/>
    <w:tmpl w:val="1EBC99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>
    <w:nsid w:val="396067B5"/>
    <w:multiLevelType w:val="hybridMultilevel"/>
    <w:tmpl w:val="DE8A0060"/>
    <w:lvl w:ilvl="0" w:tplc="C2A838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386449"/>
    <w:multiLevelType w:val="hybridMultilevel"/>
    <w:tmpl w:val="1EA0669A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F4412"/>
    <w:multiLevelType w:val="hybridMultilevel"/>
    <w:tmpl w:val="36CEDAC6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91415"/>
    <w:multiLevelType w:val="hybridMultilevel"/>
    <w:tmpl w:val="4EA0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917"/>
    <w:multiLevelType w:val="hybridMultilevel"/>
    <w:tmpl w:val="90E65BD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64C9E"/>
    <w:multiLevelType w:val="hybridMultilevel"/>
    <w:tmpl w:val="3E046ABE"/>
    <w:lvl w:ilvl="0" w:tplc="08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496A3239"/>
    <w:multiLevelType w:val="hybridMultilevel"/>
    <w:tmpl w:val="E26E4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D06C13"/>
    <w:multiLevelType w:val="hybridMultilevel"/>
    <w:tmpl w:val="FFE240D0"/>
    <w:lvl w:ilvl="0" w:tplc="8F4238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461F0E"/>
    <w:multiLevelType w:val="hybridMultilevel"/>
    <w:tmpl w:val="C4C08C7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77695"/>
    <w:multiLevelType w:val="hybridMultilevel"/>
    <w:tmpl w:val="E34E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D58E8"/>
    <w:multiLevelType w:val="hybridMultilevel"/>
    <w:tmpl w:val="0B2C17BA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DFA41C0"/>
    <w:multiLevelType w:val="hybridMultilevel"/>
    <w:tmpl w:val="C6485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B2C0C"/>
    <w:multiLevelType w:val="hybridMultilevel"/>
    <w:tmpl w:val="F820AC12"/>
    <w:lvl w:ilvl="0" w:tplc="FDEA9A28">
      <w:start w:val="23"/>
      <w:numFmt w:val="bullet"/>
      <w:lvlText w:val=""/>
      <w:lvlJc w:val="left"/>
      <w:pPr>
        <w:ind w:left="82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06E0"/>
    <w:multiLevelType w:val="hybridMultilevel"/>
    <w:tmpl w:val="E650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940A9"/>
    <w:multiLevelType w:val="hybridMultilevel"/>
    <w:tmpl w:val="2176EF34"/>
    <w:lvl w:ilvl="0" w:tplc="85406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CF82E9A"/>
    <w:multiLevelType w:val="hybridMultilevel"/>
    <w:tmpl w:val="28C44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E34C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4">
    <w:nsid w:val="746A4ADF"/>
    <w:multiLevelType w:val="hybridMultilevel"/>
    <w:tmpl w:val="02B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27DFB"/>
    <w:multiLevelType w:val="hybridMultilevel"/>
    <w:tmpl w:val="CC4AED9A"/>
    <w:lvl w:ilvl="0" w:tplc="0DA2655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64D26"/>
    <w:multiLevelType w:val="hybridMultilevel"/>
    <w:tmpl w:val="F2B23A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25"/>
  </w:num>
  <w:num w:numId="7">
    <w:abstractNumId w:val="11"/>
  </w:num>
  <w:num w:numId="8">
    <w:abstractNumId w:val="3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2"/>
  </w:num>
  <w:num w:numId="12">
    <w:abstractNumId w:val="16"/>
  </w:num>
  <w:num w:numId="13">
    <w:abstractNumId w:val="9"/>
  </w:num>
  <w:num w:numId="14">
    <w:abstractNumId w:val="14"/>
  </w:num>
  <w:num w:numId="15">
    <w:abstractNumId w:val="18"/>
  </w:num>
  <w:num w:numId="16">
    <w:abstractNumId w:val="3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36"/>
  </w:num>
  <w:num w:numId="23">
    <w:abstractNumId w:val="26"/>
  </w:num>
  <w:num w:numId="24">
    <w:abstractNumId w:val="35"/>
  </w:num>
  <w:num w:numId="25">
    <w:abstractNumId w:val="6"/>
  </w:num>
  <w:num w:numId="26">
    <w:abstractNumId w:val="23"/>
  </w:num>
  <w:num w:numId="27">
    <w:abstractNumId w:val="7"/>
  </w:num>
  <w:num w:numId="28">
    <w:abstractNumId w:val="19"/>
  </w:num>
  <w:num w:numId="29">
    <w:abstractNumId w:val="2"/>
  </w:num>
  <w:num w:numId="30">
    <w:abstractNumId w:val="31"/>
  </w:num>
  <w:num w:numId="31">
    <w:abstractNumId w:val="2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8"/>
  </w:num>
  <w:num w:numId="36">
    <w:abstractNumId w:val="1"/>
  </w:num>
  <w:num w:numId="37">
    <w:abstractNumId w:val="24"/>
  </w:num>
  <w:num w:numId="38">
    <w:abstractNumId w:val="22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1815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219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0FF1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26A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6FD"/>
    <w:rsid w:val="000357FF"/>
    <w:rsid w:val="00037351"/>
    <w:rsid w:val="00037DB1"/>
    <w:rsid w:val="0004011F"/>
    <w:rsid w:val="00040918"/>
    <w:rsid w:val="000410CD"/>
    <w:rsid w:val="00042840"/>
    <w:rsid w:val="00042911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11"/>
    <w:rsid w:val="00076786"/>
    <w:rsid w:val="000768FB"/>
    <w:rsid w:val="00076FB9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BBD"/>
    <w:rsid w:val="00090C34"/>
    <w:rsid w:val="00090E46"/>
    <w:rsid w:val="000910EF"/>
    <w:rsid w:val="00091A02"/>
    <w:rsid w:val="00091C2C"/>
    <w:rsid w:val="00092790"/>
    <w:rsid w:val="000927AA"/>
    <w:rsid w:val="00092FDC"/>
    <w:rsid w:val="00093B84"/>
    <w:rsid w:val="00093ED6"/>
    <w:rsid w:val="0009483B"/>
    <w:rsid w:val="00095B6F"/>
    <w:rsid w:val="00095ECB"/>
    <w:rsid w:val="0009607D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3F9C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6475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171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0F7E72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21F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6BC5"/>
    <w:rsid w:val="001470EA"/>
    <w:rsid w:val="001474F5"/>
    <w:rsid w:val="00147A6F"/>
    <w:rsid w:val="00147C1D"/>
    <w:rsid w:val="00147F04"/>
    <w:rsid w:val="00150FA8"/>
    <w:rsid w:val="00151580"/>
    <w:rsid w:val="00152027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17F7"/>
    <w:rsid w:val="00162C6E"/>
    <w:rsid w:val="00163115"/>
    <w:rsid w:val="00163878"/>
    <w:rsid w:val="00163E9F"/>
    <w:rsid w:val="00164CCB"/>
    <w:rsid w:val="0016508C"/>
    <w:rsid w:val="001661A6"/>
    <w:rsid w:val="001667CE"/>
    <w:rsid w:val="001671A7"/>
    <w:rsid w:val="001676C8"/>
    <w:rsid w:val="00167B04"/>
    <w:rsid w:val="0017019E"/>
    <w:rsid w:val="00171970"/>
    <w:rsid w:val="00171F2F"/>
    <w:rsid w:val="00172129"/>
    <w:rsid w:val="001725CB"/>
    <w:rsid w:val="00172D93"/>
    <w:rsid w:val="0017306F"/>
    <w:rsid w:val="001735FA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5D2A"/>
    <w:rsid w:val="00196DC2"/>
    <w:rsid w:val="001A0FFD"/>
    <w:rsid w:val="001A13AA"/>
    <w:rsid w:val="001A172C"/>
    <w:rsid w:val="001A2228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2B0"/>
    <w:rsid w:val="001C0466"/>
    <w:rsid w:val="001C072E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D11"/>
    <w:rsid w:val="001C7F55"/>
    <w:rsid w:val="001D053B"/>
    <w:rsid w:val="001D08DD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6F8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63E"/>
    <w:rsid w:val="001E5AAA"/>
    <w:rsid w:val="001E69F8"/>
    <w:rsid w:val="001E6BED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4AE5"/>
    <w:rsid w:val="00205310"/>
    <w:rsid w:val="002053BA"/>
    <w:rsid w:val="002058BD"/>
    <w:rsid w:val="00206B1C"/>
    <w:rsid w:val="00206DF5"/>
    <w:rsid w:val="002110AE"/>
    <w:rsid w:val="00211C67"/>
    <w:rsid w:val="00212594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66ADC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0E2E"/>
    <w:rsid w:val="00281F26"/>
    <w:rsid w:val="00281FE5"/>
    <w:rsid w:val="0028242A"/>
    <w:rsid w:val="002836BB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3C5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4A"/>
    <w:rsid w:val="002A2EA8"/>
    <w:rsid w:val="002A3638"/>
    <w:rsid w:val="002A3E6E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3A7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8FD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D33"/>
    <w:rsid w:val="002D606A"/>
    <w:rsid w:val="002D621D"/>
    <w:rsid w:val="002E08BB"/>
    <w:rsid w:val="002E10E4"/>
    <w:rsid w:val="002E2A49"/>
    <w:rsid w:val="002E395C"/>
    <w:rsid w:val="002E590C"/>
    <w:rsid w:val="002E6F31"/>
    <w:rsid w:val="002E7147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071DC"/>
    <w:rsid w:val="00310F30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4BDD"/>
    <w:rsid w:val="00345C11"/>
    <w:rsid w:val="0034611B"/>
    <w:rsid w:val="00346733"/>
    <w:rsid w:val="003467E2"/>
    <w:rsid w:val="003468FB"/>
    <w:rsid w:val="00346A58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6F5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A36"/>
    <w:rsid w:val="00390CCC"/>
    <w:rsid w:val="0039109C"/>
    <w:rsid w:val="00391C35"/>
    <w:rsid w:val="00391DE3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3C25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1F2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04E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083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47317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17B7"/>
    <w:rsid w:val="00463021"/>
    <w:rsid w:val="004631CE"/>
    <w:rsid w:val="00464DFF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21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BBF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068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2B4"/>
    <w:rsid w:val="004B7DFC"/>
    <w:rsid w:val="004B7E15"/>
    <w:rsid w:val="004B7E5A"/>
    <w:rsid w:val="004B7FE3"/>
    <w:rsid w:val="004B7FE6"/>
    <w:rsid w:val="004C000F"/>
    <w:rsid w:val="004C0038"/>
    <w:rsid w:val="004C0409"/>
    <w:rsid w:val="004C05D1"/>
    <w:rsid w:val="004C09AB"/>
    <w:rsid w:val="004C0F4A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7B0"/>
    <w:rsid w:val="004C4855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1AC"/>
    <w:rsid w:val="004E62F4"/>
    <w:rsid w:val="004E646D"/>
    <w:rsid w:val="004E6B21"/>
    <w:rsid w:val="004E6B86"/>
    <w:rsid w:val="004E7310"/>
    <w:rsid w:val="004E7C60"/>
    <w:rsid w:val="004E7FAD"/>
    <w:rsid w:val="004F0010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57C1"/>
    <w:rsid w:val="00506869"/>
    <w:rsid w:val="00506F40"/>
    <w:rsid w:val="00507357"/>
    <w:rsid w:val="00510025"/>
    <w:rsid w:val="00510058"/>
    <w:rsid w:val="00510BCA"/>
    <w:rsid w:val="005110C4"/>
    <w:rsid w:val="0051150C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3998"/>
    <w:rsid w:val="00534016"/>
    <w:rsid w:val="00534622"/>
    <w:rsid w:val="005347E2"/>
    <w:rsid w:val="00534F9F"/>
    <w:rsid w:val="00535450"/>
    <w:rsid w:val="005356AB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467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82B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7E3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0AF8"/>
    <w:rsid w:val="005A1627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7EA"/>
    <w:rsid w:val="005D6D52"/>
    <w:rsid w:val="005D7750"/>
    <w:rsid w:val="005E0945"/>
    <w:rsid w:val="005E0B6F"/>
    <w:rsid w:val="005E15F2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6AAF"/>
    <w:rsid w:val="005F76A1"/>
    <w:rsid w:val="006000EB"/>
    <w:rsid w:val="00601B63"/>
    <w:rsid w:val="00601C9B"/>
    <w:rsid w:val="00601D0D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4045"/>
    <w:rsid w:val="00615336"/>
    <w:rsid w:val="00615639"/>
    <w:rsid w:val="00615E91"/>
    <w:rsid w:val="0061636A"/>
    <w:rsid w:val="0061750F"/>
    <w:rsid w:val="00617C4D"/>
    <w:rsid w:val="00617D25"/>
    <w:rsid w:val="00621709"/>
    <w:rsid w:val="00622B75"/>
    <w:rsid w:val="00622E9B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2C6B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181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475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0A1C"/>
    <w:rsid w:val="00671693"/>
    <w:rsid w:val="006726C1"/>
    <w:rsid w:val="006731E7"/>
    <w:rsid w:val="00673558"/>
    <w:rsid w:val="00675796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06E9"/>
    <w:rsid w:val="0069103E"/>
    <w:rsid w:val="0069126A"/>
    <w:rsid w:val="0069148C"/>
    <w:rsid w:val="0069152B"/>
    <w:rsid w:val="00691670"/>
    <w:rsid w:val="0069319A"/>
    <w:rsid w:val="00693555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01FC"/>
    <w:rsid w:val="006D151A"/>
    <w:rsid w:val="006D1985"/>
    <w:rsid w:val="006D1C81"/>
    <w:rsid w:val="006D1DE0"/>
    <w:rsid w:val="006D207E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3580"/>
    <w:rsid w:val="006E505C"/>
    <w:rsid w:val="006E5F77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6EA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467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A8C"/>
    <w:rsid w:val="00750D97"/>
    <w:rsid w:val="0075126E"/>
    <w:rsid w:val="007530F5"/>
    <w:rsid w:val="0075342D"/>
    <w:rsid w:val="007535A4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219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0A9B"/>
    <w:rsid w:val="00791D31"/>
    <w:rsid w:val="00791DDD"/>
    <w:rsid w:val="007925CC"/>
    <w:rsid w:val="00792DB9"/>
    <w:rsid w:val="00792EA9"/>
    <w:rsid w:val="00792F70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C46"/>
    <w:rsid w:val="007A710B"/>
    <w:rsid w:val="007A7D84"/>
    <w:rsid w:val="007B01F8"/>
    <w:rsid w:val="007B02CB"/>
    <w:rsid w:val="007B090B"/>
    <w:rsid w:val="007B1009"/>
    <w:rsid w:val="007B172E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0D86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5B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3FA5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5CF1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5BB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23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6C5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93A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0A3"/>
    <w:rsid w:val="008C025F"/>
    <w:rsid w:val="008C06D2"/>
    <w:rsid w:val="008C0AD3"/>
    <w:rsid w:val="008C0B15"/>
    <w:rsid w:val="008C0C82"/>
    <w:rsid w:val="008C1535"/>
    <w:rsid w:val="008C28E6"/>
    <w:rsid w:val="008C30B6"/>
    <w:rsid w:val="008C3137"/>
    <w:rsid w:val="008C3632"/>
    <w:rsid w:val="008C5901"/>
    <w:rsid w:val="008C59FB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699"/>
    <w:rsid w:val="008E171A"/>
    <w:rsid w:val="008E19E4"/>
    <w:rsid w:val="008E1D1A"/>
    <w:rsid w:val="008E2024"/>
    <w:rsid w:val="008E28E4"/>
    <w:rsid w:val="008E387F"/>
    <w:rsid w:val="008E4396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210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34D1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477F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4B1"/>
    <w:rsid w:val="00990EA3"/>
    <w:rsid w:val="009919CC"/>
    <w:rsid w:val="00991DD7"/>
    <w:rsid w:val="0099255F"/>
    <w:rsid w:val="00992C70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3B4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5DBA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0C7B"/>
    <w:rsid w:val="009C1599"/>
    <w:rsid w:val="009C1AFC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26F2"/>
    <w:rsid w:val="009E30FB"/>
    <w:rsid w:val="009E32D2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CC1"/>
    <w:rsid w:val="00A01EB9"/>
    <w:rsid w:val="00A01EEA"/>
    <w:rsid w:val="00A02058"/>
    <w:rsid w:val="00A02203"/>
    <w:rsid w:val="00A040E2"/>
    <w:rsid w:val="00A0455A"/>
    <w:rsid w:val="00A054ED"/>
    <w:rsid w:val="00A0635A"/>
    <w:rsid w:val="00A06939"/>
    <w:rsid w:val="00A06EE5"/>
    <w:rsid w:val="00A07459"/>
    <w:rsid w:val="00A077B2"/>
    <w:rsid w:val="00A0783D"/>
    <w:rsid w:val="00A1017F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38F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18E"/>
    <w:rsid w:val="00A7539A"/>
    <w:rsid w:val="00A765A4"/>
    <w:rsid w:val="00A7696B"/>
    <w:rsid w:val="00A76B2B"/>
    <w:rsid w:val="00A80DFD"/>
    <w:rsid w:val="00A80F8D"/>
    <w:rsid w:val="00A820ED"/>
    <w:rsid w:val="00A82118"/>
    <w:rsid w:val="00A8283B"/>
    <w:rsid w:val="00A82BB8"/>
    <w:rsid w:val="00A82DD7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58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0E6A"/>
    <w:rsid w:val="00AF2227"/>
    <w:rsid w:val="00AF3C2B"/>
    <w:rsid w:val="00AF44E2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404B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470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235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29F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120D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714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C"/>
    <w:rsid w:val="00BC669F"/>
    <w:rsid w:val="00BC713B"/>
    <w:rsid w:val="00BC7210"/>
    <w:rsid w:val="00BC775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E7C8B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4445"/>
    <w:rsid w:val="00C050EC"/>
    <w:rsid w:val="00C05288"/>
    <w:rsid w:val="00C06B13"/>
    <w:rsid w:val="00C06EFA"/>
    <w:rsid w:val="00C072B5"/>
    <w:rsid w:val="00C10BBF"/>
    <w:rsid w:val="00C10F02"/>
    <w:rsid w:val="00C110E3"/>
    <w:rsid w:val="00C115FA"/>
    <w:rsid w:val="00C11A81"/>
    <w:rsid w:val="00C11AA0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455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098F"/>
    <w:rsid w:val="00C60F16"/>
    <w:rsid w:val="00C61167"/>
    <w:rsid w:val="00C615ED"/>
    <w:rsid w:val="00C630EA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AE4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020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A3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B5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350"/>
    <w:rsid w:val="00CE04DC"/>
    <w:rsid w:val="00CE078B"/>
    <w:rsid w:val="00CE1022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238"/>
    <w:rsid w:val="00D06D8E"/>
    <w:rsid w:val="00D07072"/>
    <w:rsid w:val="00D075AB"/>
    <w:rsid w:val="00D07ED5"/>
    <w:rsid w:val="00D1047C"/>
    <w:rsid w:val="00D1060C"/>
    <w:rsid w:val="00D10871"/>
    <w:rsid w:val="00D10BEC"/>
    <w:rsid w:val="00D10EC8"/>
    <w:rsid w:val="00D1189D"/>
    <w:rsid w:val="00D126D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36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2B12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00B"/>
    <w:rsid w:val="00D72173"/>
    <w:rsid w:val="00D744CF"/>
    <w:rsid w:val="00D747F6"/>
    <w:rsid w:val="00D74881"/>
    <w:rsid w:val="00D75BD8"/>
    <w:rsid w:val="00D75CB5"/>
    <w:rsid w:val="00D75DB9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29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1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032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DDA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AFA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60C"/>
    <w:rsid w:val="00E45C02"/>
    <w:rsid w:val="00E472D9"/>
    <w:rsid w:val="00E47B77"/>
    <w:rsid w:val="00E47BFA"/>
    <w:rsid w:val="00E47EAE"/>
    <w:rsid w:val="00E501CF"/>
    <w:rsid w:val="00E508F0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4B38"/>
    <w:rsid w:val="00E65686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816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110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6A3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1F00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3B51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DB8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37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166B"/>
    <w:rsid w:val="00FE2328"/>
    <w:rsid w:val="00FE2A44"/>
    <w:rsid w:val="00FE2CAE"/>
    <w:rsid w:val="00FE2CBE"/>
    <w:rsid w:val="00FE3AB7"/>
    <w:rsid w:val="00FE43F4"/>
    <w:rsid w:val="00FE493D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2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2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Word_Document1.docx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EE92-069A-4531-9F23-C9EB7EF3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10370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18</cp:revision>
  <cp:lastPrinted>2019-04-17T08:25:00Z</cp:lastPrinted>
  <dcterms:created xsi:type="dcterms:W3CDTF">2019-05-07T13:16:00Z</dcterms:created>
  <dcterms:modified xsi:type="dcterms:W3CDTF">2019-05-07T14:21:00Z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2945780d-abe5-4dce-a43e-b3d4bd9ddae1</vt:lpwstr>
  </property>
</Properties>
</file>