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08D9" w14:textId="77777777" w:rsidR="00E60462" w:rsidRPr="007A69C8" w:rsidRDefault="00E60462" w:rsidP="00592037">
      <w:pPr>
        <w:rPr>
          <w:lang w:val="en-GB"/>
        </w:rPr>
      </w:pPr>
      <w:r>
        <w:rPr>
          <w:lang w:val="en-GB"/>
        </w:rPr>
        <w:tab/>
      </w:r>
    </w:p>
    <w:p w14:paraId="044127E1" w14:textId="77777777" w:rsidR="00E60462" w:rsidRPr="007A69C8" w:rsidRDefault="00B747C8" w:rsidP="00B747C8">
      <w:pPr>
        <w:ind w:left="1440"/>
        <w:rPr>
          <w:lang w:val="en-GB"/>
        </w:rPr>
      </w:pPr>
      <w:r>
        <w:rPr>
          <w:noProof/>
        </w:rPr>
        <w:drawing>
          <wp:inline distT="0" distB="0" distL="0" distR="0" wp14:anchorId="616705D8" wp14:editId="4858234F">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14:paraId="52A39B4F" w14:textId="77777777" w:rsidR="00E60462" w:rsidRDefault="00E60462" w:rsidP="00592037">
      <w:pPr>
        <w:rPr>
          <w:lang w:val="en-GB"/>
        </w:rPr>
      </w:pPr>
    </w:p>
    <w:p w14:paraId="698A04DB" w14:textId="77777777" w:rsidR="00B747C8" w:rsidRDefault="00B747C8" w:rsidP="00592037">
      <w:pPr>
        <w:rPr>
          <w:lang w:val="en-GB"/>
        </w:rPr>
      </w:pPr>
    </w:p>
    <w:p w14:paraId="6EE9399F" w14:textId="77777777" w:rsidR="00B747C8" w:rsidRDefault="00B747C8" w:rsidP="00592037">
      <w:pPr>
        <w:rPr>
          <w:lang w:val="en-GB"/>
        </w:rPr>
      </w:pPr>
    </w:p>
    <w:p w14:paraId="04547077" w14:textId="77777777" w:rsidR="00B747C8" w:rsidRDefault="00B747C8" w:rsidP="00592037">
      <w:pPr>
        <w:rPr>
          <w:lang w:val="en-GB"/>
        </w:rPr>
      </w:pPr>
    </w:p>
    <w:p w14:paraId="366B47B1" w14:textId="77777777" w:rsidR="00B747C8" w:rsidRPr="007A69C8" w:rsidRDefault="00B747C8" w:rsidP="00592037">
      <w:pPr>
        <w:rPr>
          <w:lang w:val="en-GB"/>
        </w:rPr>
      </w:pPr>
    </w:p>
    <w:p w14:paraId="4CAA2F8F" w14:textId="77777777"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14:paraId="37EF6E1F" w14:textId="77777777" w:rsidR="00E60462" w:rsidRPr="007A69C8" w:rsidRDefault="00E60462" w:rsidP="00A738EA">
      <w:pPr>
        <w:pStyle w:val="Header"/>
        <w:rPr>
          <w:lang w:val="en-GB"/>
        </w:rPr>
      </w:pPr>
      <w:r>
        <w:rPr>
          <w:lang w:val="en-GB"/>
        </w:rPr>
        <w:t>Telephone Conference Minutes</w:t>
      </w:r>
    </w:p>
    <w:p w14:paraId="776067AF" w14:textId="5D3A82DF" w:rsidR="00E60462" w:rsidRDefault="00A074F6" w:rsidP="00A738EA">
      <w:pPr>
        <w:pStyle w:val="Header"/>
        <w:rPr>
          <w:lang w:val="en-GB"/>
        </w:rPr>
      </w:pPr>
      <w:r>
        <w:rPr>
          <w:lang w:val="en-GB"/>
        </w:rPr>
        <w:t>1</w:t>
      </w:r>
      <w:r w:rsidRPr="00A074F6">
        <w:rPr>
          <w:vertAlign w:val="superscript"/>
          <w:lang w:val="en-GB"/>
        </w:rPr>
        <w:t>st</w:t>
      </w:r>
      <w:r>
        <w:rPr>
          <w:lang w:val="en-GB"/>
        </w:rPr>
        <w:t xml:space="preserve"> July</w:t>
      </w:r>
      <w:r w:rsidR="00F07291">
        <w:rPr>
          <w:lang w:val="en-GB"/>
        </w:rPr>
        <w:t xml:space="preserve"> 2021</w:t>
      </w:r>
    </w:p>
    <w:p w14:paraId="4876AF44" w14:textId="77777777" w:rsidR="00E60462" w:rsidRPr="00C10F02" w:rsidRDefault="00E60462" w:rsidP="00592037">
      <w:pPr>
        <w:rPr>
          <w:lang w:val="en-GB"/>
        </w:rPr>
      </w:pPr>
    </w:p>
    <w:p w14:paraId="0C2EA5F0" w14:textId="77777777" w:rsidR="00E60462" w:rsidRPr="00C10F02" w:rsidRDefault="00E60462" w:rsidP="00592037">
      <w:pPr>
        <w:rPr>
          <w:lang w:val="en-GB"/>
        </w:rPr>
      </w:pPr>
    </w:p>
    <w:p w14:paraId="74A0A0AE" w14:textId="77777777" w:rsidR="00E60462" w:rsidRPr="00C10F02" w:rsidRDefault="00E60462" w:rsidP="00592037">
      <w:pPr>
        <w:rPr>
          <w:lang w:val="en-GB"/>
        </w:rPr>
      </w:pPr>
    </w:p>
    <w:p w14:paraId="514131C4" w14:textId="77777777" w:rsidR="00E60462" w:rsidRDefault="00E60462" w:rsidP="00592037">
      <w:pPr>
        <w:rPr>
          <w:lang w:val="en-GB"/>
        </w:rPr>
      </w:pPr>
    </w:p>
    <w:p w14:paraId="4D1EFE19" w14:textId="77777777" w:rsidR="00E60462" w:rsidRPr="00C10F02" w:rsidRDefault="00E60462" w:rsidP="00592037">
      <w:pPr>
        <w:rPr>
          <w:lang w:val="en-GB"/>
        </w:rPr>
      </w:pPr>
    </w:p>
    <w:p w14:paraId="3906F361" w14:textId="77777777" w:rsidR="00E60462" w:rsidRDefault="00E60462" w:rsidP="00592037">
      <w:pPr>
        <w:rPr>
          <w:lang w:val="en-GB"/>
        </w:rPr>
      </w:pPr>
    </w:p>
    <w:p w14:paraId="5AB39219" w14:textId="77777777" w:rsidR="00B747C8" w:rsidRDefault="00B747C8" w:rsidP="00592037">
      <w:pPr>
        <w:rPr>
          <w:lang w:val="en-GB"/>
        </w:rPr>
      </w:pPr>
    </w:p>
    <w:p w14:paraId="35F8BC53" w14:textId="77777777" w:rsidR="00B747C8" w:rsidRDefault="00B747C8" w:rsidP="00592037">
      <w:pPr>
        <w:rPr>
          <w:lang w:val="en-GB"/>
        </w:rPr>
      </w:pPr>
    </w:p>
    <w:p w14:paraId="225D7D91" w14:textId="77777777" w:rsidR="00B747C8" w:rsidRPr="00C10F02" w:rsidRDefault="00B747C8" w:rsidP="00592037">
      <w:pPr>
        <w:rPr>
          <w:lang w:val="en-GB"/>
        </w:rPr>
      </w:pPr>
    </w:p>
    <w:p w14:paraId="77A6ED1A" w14:textId="77777777" w:rsidR="00B747C8" w:rsidRDefault="00B747C8" w:rsidP="00592037">
      <w:pPr>
        <w:rPr>
          <w:lang w:val="en-GB"/>
        </w:rPr>
      </w:pPr>
    </w:p>
    <w:p w14:paraId="59E2FEF2" w14:textId="77777777" w:rsidR="00B747C8" w:rsidRDefault="00B747C8" w:rsidP="00592037">
      <w:pPr>
        <w:rPr>
          <w:lang w:val="en-GB"/>
        </w:rPr>
      </w:pPr>
    </w:p>
    <w:p w14:paraId="745B7788" w14:textId="77777777" w:rsidR="00B747C8" w:rsidRDefault="00B747C8" w:rsidP="00592037">
      <w:pPr>
        <w:rPr>
          <w:lang w:val="en-GB"/>
        </w:rPr>
      </w:pPr>
    </w:p>
    <w:p w14:paraId="740592A4" w14:textId="711644A5" w:rsidR="00E60462" w:rsidRPr="00C10F02" w:rsidRDefault="001C5BDD" w:rsidP="00592037">
      <w:pPr>
        <w:rPr>
          <w:lang w:val="en-GB"/>
        </w:rPr>
      </w:pPr>
      <w:r>
        <w:rPr>
          <w:lang w:val="en-GB"/>
        </w:rPr>
        <w:t>Publication:</w:t>
      </w:r>
      <w:r w:rsidR="00EF7F89">
        <w:rPr>
          <w:lang w:val="en-GB"/>
        </w:rPr>
        <w:t xml:space="preserve"> </w:t>
      </w:r>
      <w:r w:rsidR="00546600">
        <w:rPr>
          <w:lang w:val="en-GB"/>
        </w:rPr>
        <w:t xml:space="preserve">August </w:t>
      </w:r>
      <w:r w:rsidR="005B6C04">
        <w:rPr>
          <w:lang w:val="en-GB"/>
        </w:rPr>
        <w:t>2021</w:t>
      </w:r>
    </w:p>
    <w:p w14:paraId="14D78FB2" w14:textId="77777777" w:rsidR="00E60462" w:rsidRDefault="00E60462" w:rsidP="00592037">
      <w:pPr>
        <w:pStyle w:val="Title1"/>
      </w:pPr>
      <w:bookmarkStart w:id="0" w:name="_Toc54501830"/>
    </w:p>
    <w:p w14:paraId="2CB06BB8" w14:textId="77777777" w:rsidR="00743D57" w:rsidRDefault="00743D57" w:rsidP="00592037">
      <w:pPr>
        <w:pStyle w:val="Title1"/>
      </w:pPr>
    </w:p>
    <w:p w14:paraId="07213356" w14:textId="77777777" w:rsidR="00743D57" w:rsidRDefault="00743D57" w:rsidP="00592037">
      <w:pPr>
        <w:pStyle w:val="Title1"/>
      </w:pPr>
    </w:p>
    <w:p w14:paraId="1FBB1447" w14:textId="77777777" w:rsidR="00743D57" w:rsidRDefault="00743D57" w:rsidP="00592037">
      <w:pPr>
        <w:pStyle w:val="Title1"/>
      </w:pPr>
    </w:p>
    <w:p w14:paraId="6705BDCF" w14:textId="77777777" w:rsidR="00E60462" w:rsidRDefault="00E60462" w:rsidP="00592037">
      <w:pPr>
        <w:pStyle w:val="Title1"/>
      </w:pPr>
    </w:p>
    <w:p w14:paraId="624F9C1E" w14:textId="77777777" w:rsidR="00E60462" w:rsidRDefault="00E60462" w:rsidP="00592037">
      <w:pPr>
        <w:pStyle w:val="Title1"/>
      </w:pPr>
      <w:r>
        <w:t>Table of Contents</w:t>
      </w:r>
    </w:p>
    <w:p w14:paraId="7A31C89A" w14:textId="2BD520DD" w:rsidR="00531554" w:rsidRDefault="00E60462">
      <w:pPr>
        <w:pStyle w:val="TOC1"/>
        <w:rPr>
          <w:rFonts w:asciiTheme="minorHAnsi" w:eastAsiaTheme="minorEastAsia" w:hAnsiTheme="minorHAnsi" w:cstheme="minorBidi"/>
          <w:b w:val="0"/>
          <w:bCs w:val="0"/>
          <w:sz w:val="22"/>
          <w:szCs w:val="22"/>
          <w:lang w:val="en-GB" w:eastAsia="zh-CN"/>
        </w:rPr>
      </w:pPr>
      <w:r>
        <w:fldChar w:fldCharType="begin"/>
      </w:r>
      <w:r>
        <w:instrText xml:space="preserve"> TOC \o "1-3" \h \z \u </w:instrText>
      </w:r>
      <w:r>
        <w:fldChar w:fldCharType="separate"/>
      </w:r>
      <w:hyperlink w:anchor="_Toc80119639" w:history="1">
        <w:r w:rsidR="00531554" w:rsidRPr="00C64FBC">
          <w:rPr>
            <w:rStyle w:val="Hyperlink"/>
          </w:rPr>
          <w:t>Attendees</w:t>
        </w:r>
        <w:r w:rsidR="00531554">
          <w:rPr>
            <w:webHidden/>
          </w:rPr>
          <w:tab/>
        </w:r>
        <w:r w:rsidR="00531554">
          <w:rPr>
            <w:webHidden/>
          </w:rPr>
          <w:fldChar w:fldCharType="begin"/>
        </w:r>
        <w:r w:rsidR="00531554">
          <w:rPr>
            <w:webHidden/>
          </w:rPr>
          <w:instrText xml:space="preserve"> PAGEREF _Toc80119639 \h </w:instrText>
        </w:r>
        <w:r w:rsidR="00531554">
          <w:rPr>
            <w:webHidden/>
          </w:rPr>
        </w:r>
        <w:r w:rsidR="00531554">
          <w:rPr>
            <w:webHidden/>
          </w:rPr>
          <w:fldChar w:fldCharType="separate"/>
        </w:r>
        <w:r w:rsidR="00531554">
          <w:rPr>
            <w:webHidden/>
          </w:rPr>
          <w:t>2</w:t>
        </w:r>
        <w:r w:rsidR="00531554">
          <w:rPr>
            <w:webHidden/>
          </w:rPr>
          <w:fldChar w:fldCharType="end"/>
        </w:r>
      </w:hyperlink>
    </w:p>
    <w:p w14:paraId="62E9BF11" w14:textId="4EF6DB45" w:rsidR="00531554" w:rsidRDefault="00531554">
      <w:pPr>
        <w:pStyle w:val="TOC1"/>
        <w:rPr>
          <w:rFonts w:asciiTheme="minorHAnsi" w:eastAsiaTheme="minorEastAsia" w:hAnsiTheme="minorHAnsi" w:cstheme="minorBidi"/>
          <w:b w:val="0"/>
          <w:bCs w:val="0"/>
          <w:sz w:val="22"/>
          <w:szCs w:val="22"/>
          <w:lang w:val="en-GB" w:eastAsia="zh-CN"/>
        </w:rPr>
      </w:pPr>
      <w:hyperlink w:anchor="_Toc80119640" w:history="1">
        <w:r w:rsidRPr="00C64FBC">
          <w:rPr>
            <w:rStyle w:val="Hyperlink"/>
          </w:rPr>
          <w:t>Approval of April 2021 minutes call</w:t>
        </w:r>
        <w:r>
          <w:rPr>
            <w:webHidden/>
          </w:rPr>
          <w:tab/>
        </w:r>
        <w:r>
          <w:rPr>
            <w:webHidden/>
          </w:rPr>
          <w:fldChar w:fldCharType="begin"/>
        </w:r>
        <w:r>
          <w:rPr>
            <w:webHidden/>
          </w:rPr>
          <w:instrText xml:space="preserve"> PAGEREF _Toc80119640 \h </w:instrText>
        </w:r>
        <w:r>
          <w:rPr>
            <w:webHidden/>
          </w:rPr>
        </w:r>
        <w:r>
          <w:rPr>
            <w:webHidden/>
          </w:rPr>
          <w:fldChar w:fldCharType="separate"/>
        </w:r>
        <w:r>
          <w:rPr>
            <w:webHidden/>
          </w:rPr>
          <w:t>3</w:t>
        </w:r>
        <w:r>
          <w:rPr>
            <w:webHidden/>
          </w:rPr>
          <w:fldChar w:fldCharType="end"/>
        </w:r>
      </w:hyperlink>
    </w:p>
    <w:p w14:paraId="3C53EA95" w14:textId="29FE2E77" w:rsidR="00531554" w:rsidRDefault="00531554">
      <w:pPr>
        <w:pStyle w:val="TOC1"/>
        <w:rPr>
          <w:rFonts w:asciiTheme="minorHAnsi" w:eastAsiaTheme="minorEastAsia" w:hAnsiTheme="minorHAnsi" w:cstheme="minorBidi"/>
          <w:b w:val="0"/>
          <w:bCs w:val="0"/>
          <w:sz w:val="22"/>
          <w:szCs w:val="22"/>
          <w:lang w:val="en-GB" w:eastAsia="zh-CN"/>
        </w:rPr>
      </w:pPr>
      <w:hyperlink w:anchor="_Toc80119641" w:history="1">
        <w:r w:rsidRPr="00C64FBC">
          <w:rPr>
            <w:rStyle w:val="Hyperlink"/>
          </w:rPr>
          <w:t>Tax on Non-Distributed Proceeds Indicator (TNDP)</w:t>
        </w:r>
        <w:r>
          <w:rPr>
            <w:webHidden/>
          </w:rPr>
          <w:tab/>
        </w:r>
        <w:r>
          <w:rPr>
            <w:webHidden/>
          </w:rPr>
          <w:fldChar w:fldCharType="begin"/>
        </w:r>
        <w:r>
          <w:rPr>
            <w:webHidden/>
          </w:rPr>
          <w:instrText xml:space="preserve"> PAGEREF _Toc80119641 \h </w:instrText>
        </w:r>
        <w:r>
          <w:rPr>
            <w:webHidden/>
          </w:rPr>
        </w:r>
        <w:r>
          <w:rPr>
            <w:webHidden/>
          </w:rPr>
          <w:fldChar w:fldCharType="separate"/>
        </w:r>
        <w:r>
          <w:rPr>
            <w:webHidden/>
          </w:rPr>
          <w:t>3</w:t>
        </w:r>
        <w:r>
          <w:rPr>
            <w:webHidden/>
          </w:rPr>
          <w:fldChar w:fldCharType="end"/>
        </w:r>
      </w:hyperlink>
    </w:p>
    <w:p w14:paraId="7A5B362F" w14:textId="55252824" w:rsidR="00531554" w:rsidRDefault="00531554">
      <w:pPr>
        <w:pStyle w:val="TOC1"/>
        <w:rPr>
          <w:rFonts w:asciiTheme="minorHAnsi" w:eastAsiaTheme="minorEastAsia" w:hAnsiTheme="minorHAnsi" w:cstheme="minorBidi"/>
          <w:b w:val="0"/>
          <w:bCs w:val="0"/>
          <w:sz w:val="22"/>
          <w:szCs w:val="22"/>
          <w:lang w:val="en-GB" w:eastAsia="zh-CN"/>
        </w:rPr>
      </w:pPr>
      <w:hyperlink w:anchor="_Toc80119642" w:history="1">
        <w:r w:rsidRPr="00C64FBC">
          <w:rPr>
            <w:rStyle w:val="Hyperlink"/>
          </w:rPr>
          <w:t>Tax “Refunds” in the Opposite Direction.</w:t>
        </w:r>
        <w:r>
          <w:rPr>
            <w:webHidden/>
          </w:rPr>
          <w:tab/>
        </w:r>
        <w:r>
          <w:rPr>
            <w:webHidden/>
          </w:rPr>
          <w:fldChar w:fldCharType="begin"/>
        </w:r>
        <w:r>
          <w:rPr>
            <w:webHidden/>
          </w:rPr>
          <w:instrText xml:space="preserve"> PAGEREF _Toc80119642 \h </w:instrText>
        </w:r>
        <w:r>
          <w:rPr>
            <w:webHidden/>
          </w:rPr>
        </w:r>
        <w:r>
          <w:rPr>
            <w:webHidden/>
          </w:rPr>
          <w:fldChar w:fldCharType="separate"/>
        </w:r>
        <w:r>
          <w:rPr>
            <w:webHidden/>
          </w:rPr>
          <w:t>6</w:t>
        </w:r>
        <w:r>
          <w:rPr>
            <w:webHidden/>
          </w:rPr>
          <w:fldChar w:fldCharType="end"/>
        </w:r>
      </w:hyperlink>
    </w:p>
    <w:p w14:paraId="183AA409" w14:textId="049A5202" w:rsidR="00531554" w:rsidRDefault="00531554">
      <w:pPr>
        <w:pStyle w:val="TOC1"/>
        <w:rPr>
          <w:rFonts w:asciiTheme="minorHAnsi" w:eastAsiaTheme="minorEastAsia" w:hAnsiTheme="minorHAnsi" w:cstheme="minorBidi"/>
          <w:b w:val="0"/>
          <w:bCs w:val="0"/>
          <w:sz w:val="22"/>
          <w:szCs w:val="22"/>
          <w:lang w:val="en-GB" w:eastAsia="zh-CN"/>
        </w:rPr>
      </w:pPr>
      <w:hyperlink w:anchor="_Toc80119643" w:history="1">
        <w:r w:rsidRPr="00C64FBC">
          <w:rPr>
            <w:rStyle w:val="Hyperlink"/>
          </w:rPr>
          <w:t>CA 438 Review GMP1 section 3.14 - (Movement Sequence &amp; Tax Rates)</w:t>
        </w:r>
        <w:r>
          <w:rPr>
            <w:webHidden/>
          </w:rPr>
          <w:tab/>
        </w:r>
        <w:r>
          <w:rPr>
            <w:webHidden/>
          </w:rPr>
          <w:fldChar w:fldCharType="begin"/>
        </w:r>
        <w:r>
          <w:rPr>
            <w:webHidden/>
          </w:rPr>
          <w:instrText xml:space="preserve"> PAGEREF _Toc80119643 \h </w:instrText>
        </w:r>
        <w:r>
          <w:rPr>
            <w:webHidden/>
          </w:rPr>
        </w:r>
        <w:r>
          <w:rPr>
            <w:webHidden/>
          </w:rPr>
          <w:fldChar w:fldCharType="separate"/>
        </w:r>
        <w:r>
          <w:rPr>
            <w:webHidden/>
          </w:rPr>
          <w:t>12</w:t>
        </w:r>
        <w:r>
          <w:rPr>
            <w:webHidden/>
          </w:rPr>
          <w:fldChar w:fldCharType="end"/>
        </w:r>
      </w:hyperlink>
    </w:p>
    <w:p w14:paraId="1CB3A398" w14:textId="64DEED31" w:rsidR="00531554" w:rsidRDefault="00531554">
      <w:pPr>
        <w:pStyle w:val="TOC1"/>
        <w:rPr>
          <w:rFonts w:asciiTheme="minorHAnsi" w:eastAsiaTheme="minorEastAsia" w:hAnsiTheme="minorHAnsi" w:cstheme="minorBidi"/>
          <w:b w:val="0"/>
          <w:bCs w:val="0"/>
          <w:sz w:val="22"/>
          <w:szCs w:val="22"/>
          <w:lang w:val="en-GB" w:eastAsia="zh-CN"/>
        </w:rPr>
      </w:pPr>
      <w:hyperlink w:anchor="_Toc80119644" w:history="1">
        <w:r w:rsidRPr="00C64FBC">
          <w:rPr>
            <w:rStyle w:val="Hyperlink"/>
          </w:rPr>
          <w:t>CA470 DVOP - How Best to Reflect Tax and CINL on DVOP</w:t>
        </w:r>
        <w:r>
          <w:rPr>
            <w:webHidden/>
          </w:rPr>
          <w:tab/>
        </w:r>
        <w:r>
          <w:rPr>
            <w:webHidden/>
          </w:rPr>
          <w:fldChar w:fldCharType="begin"/>
        </w:r>
        <w:r>
          <w:rPr>
            <w:webHidden/>
          </w:rPr>
          <w:instrText xml:space="preserve"> PAGEREF _Toc80119644 \h </w:instrText>
        </w:r>
        <w:r>
          <w:rPr>
            <w:webHidden/>
          </w:rPr>
        </w:r>
        <w:r>
          <w:rPr>
            <w:webHidden/>
          </w:rPr>
          <w:fldChar w:fldCharType="separate"/>
        </w:r>
        <w:r>
          <w:rPr>
            <w:webHidden/>
          </w:rPr>
          <w:t>14</w:t>
        </w:r>
        <w:r>
          <w:rPr>
            <w:webHidden/>
          </w:rPr>
          <w:fldChar w:fldCharType="end"/>
        </w:r>
      </w:hyperlink>
    </w:p>
    <w:p w14:paraId="3297CC25" w14:textId="5BA6474B" w:rsidR="00531554" w:rsidRDefault="00531554">
      <w:pPr>
        <w:pStyle w:val="TOC1"/>
        <w:rPr>
          <w:rFonts w:asciiTheme="minorHAnsi" w:eastAsiaTheme="minorEastAsia" w:hAnsiTheme="minorHAnsi" w:cstheme="minorBidi"/>
          <w:b w:val="0"/>
          <w:bCs w:val="0"/>
          <w:sz w:val="22"/>
          <w:szCs w:val="22"/>
          <w:lang w:val="en-GB" w:eastAsia="zh-CN"/>
        </w:rPr>
      </w:pPr>
      <w:hyperlink w:anchor="_Toc80119645" w:history="1">
        <w:r w:rsidRPr="00C64FBC">
          <w:rPr>
            <w:rStyle w:val="Hyperlink"/>
          </w:rPr>
          <w:t>Market updates</w:t>
        </w:r>
        <w:r>
          <w:rPr>
            <w:webHidden/>
          </w:rPr>
          <w:tab/>
        </w:r>
        <w:r>
          <w:rPr>
            <w:webHidden/>
          </w:rPr>
          <w:fldChar w:fldCharType="begin"/>
        </w:r>
        <w:r>
          <w:rPr>
            <w:webHidden/>
          </w:rPr>
          <w:instrText xml:space="preserve"> PAGEREF _Toc80119645 \h </w:instrText>
        </w:r>
        <w:r>
          <w:rPr>
            <w:webHidden/>
          </w:rPr>
        </w:r>
        <w:r>
          <w:rPr>
            <w:webHidden/>
          </w:rPr>
          <w:fldChar w:fldCharType="separate"/>
        </w:r>
        <w:r>
          <w:rPr>
            <w:webHidden/>
          </w:rPr>
          <w:t>15</w:t>
        </w:r>
        <w:r>
          <w:rPr>
            <w:webHidden/>
          </w:rPr>
          <w:fldChar w:fldCharType="end"/>
        </w:r>
      </w:hyperlink>
    </w:p>
    <w:p w14:paraId="047F7DB0" w14:textId="753B9581" w:rsidR="00531554" w:rsidRDefault="00531554">
      <w:pPr>
        <w:pStyle w:val="TOC1"/>
        <w:rPr>
          <w:rFonts w:asciiTheme="minorHAnsi" w:eastAsiaTheme="minorEastAsia" w:hAnsiTheme="minorHAnsi" w:cstheme="minorBidi"/>
          <w:b w:val="0"/>
          <w:bCs w:val="0"/>
          <w:sz w:val="22"/>
          <w:szCs w:val="22"/>
          <w:lang w:val="en-GB" w:eastAsia="zh-CN"/>
        </w:rPr>
      </w:pPr>
      <w:hyperlink w:anchor="_Toc80119646" w:history="1">
        <w:r w:rsidRPr="00C64FBC">
          <w:rPr>
            <w:rStyle w:val="Hyperlink"/>
          </w:rPr>
          <w:t>Next Conference Calls</w:t>
        </w:r>
        <w:r>
          <w:rPr>
            <w:webHidden/>
          </w:rPr>
          <w:tab/>
        </w:r>
        <w:r>
          <w:rPr>
            <w:webHidden/>
          </w:rPr>
          <w:fldChar w:fldCharType="begin"/>
        </w:r>
        <w:r>
          <w:rPr>
            <w:webHidden/>
          </w:rPr>
          <w:instrText xml:space="preserve"> PAGEREF _Toc80119646 \h </w:instrText>
        </w:r>
        <w:r>
          <w:rPr>
            <w:webHidden/>
          </w:rPr>
        </w:r>
        <w:r>
          <w:rPr>
            <w:webHidden/>
          </w:rPr>
          <w:fldChar w:fldCharType="separate"/>
        </w:r>
        <w:r>
          <w:rPr>
            <w:webHidden/>
          </w:rPr>
          <w:t>15</w:t>
        </w:r>
        <w:r>
          <w:rPr>
            <w:webHidden/>
          </w:rPr>
          <w:fldChar w:fldCharType="end"/>
        </w:r>
      </w:hyperlink>
    </w:p>
    <w:p w14:paraId="698E7BFA" w14:textId="2A057F0A" w:rsidR="00E60462" w:rsidRDefault="00E60462">
      <w:r>
        <w:fldChar w:fldCharType="end"/>
      </w:r>
    </w:p>
    <w:p w14:paraId="1A37117F" w14:textId="77777777" w:rsidR="006E5035" w:rsidRDefault="006E5035"/>
    <w:p w14:paraId="4DA6E949" w14:textId="77777777" w:rsidR="006E5035" w:rsidRDefault="006E5035"/>
    <w:p w14:paraId="17507F8C" w14:textId="77777777" w:rsidR="006E5035" w:rsidRDefault="006E5035"/>
    <w:p w14:paraId="0639D22A" w14:textId="77777777" w:rsidR="006E5035" w:rsidRDefault="006E5035"/>
    <w:p w14:paraId="7340407D" w14:textId="77777777" w:rsidR="006E5035" w:rsidRDefault="006E5035"/>
    <w:p w14:paraId="02F6F433" w14:textId="77777777" w:rsidR="006E5035" w:rsidRDefault="006E5035"/>
    <w:p w14:paraId="5702F482" w14:textId="77777777" w:rsidR="006E5035" w:rsidRDefault="006E5035"/>
    <w:p w14:paraId="276B10F9" w14:textId="77777777" w:rsidR="006E5035" w:rsidRDefault="006E5035"/>
    <w:p w14:paraId="5176E098" w14:textId="77777777" w:rsidR="006E5035" w:rsidRDefault="006E5035"/>
    <w:p w14:paraId="589313A4" w14:textId="77777777" w:rsidR="006E5035" w:rsidRDefault="006E5035"/>
    <w:p w14:paraId="1D654E0D" w14:textId="77777777" w:rsidR="006E5035" w:rsidRDefault="006E5035"/>
    <w:p w14:paraId="52700989" w14:textId="77777777" w:rsidR="006E5035" w:rsidRDefault="006E5035"/>
    <w:p w14:paraId="2F2AAB2E" w14:textId="77777777" w:rsidR="006E5035" w:rsidRDefault="006E5035"/>
    <w:p w14:paraId="12F5D875" w14:textId="77777777" w:rsidR="006E5035" w:rsidRDefault="006E5035"/>
    <w:p w14:paraId="7C7DC4AF" w14:textId="634728AE" w:rsidR="006E5035" w:rsidRDefault="006E5035"/>
    <w:p w14:paraId="3BF08709" w14:textId="77777777" w:rsidR="00546600" w:rsidRDefault="00546600"/>
    <w:p w14:paraId="7FEF7903" w14:textId="77777777" w:rsidR="006E5035" w:rsidRDefault="006E5035"/>
    <w:p w14:paraId="210269A5" w14:textId="77777777" w:rsidR="006E5035" w:rsidRDefault="006E5035"/>
    <w:p w14:paraId="749B94AA" w14:textId="77777777" w:rsidR="006E5035" w:rsidRDefault="006E5035"/>
    <w:p w14:paraId="0FA320AB" w14:textId="77777777" w:rsidR="006E5035" w:rsidRDefault="006E5035"/>
    <w:p w14:paraId="0028EA9C" w14:textId="77777777" w:rsidR="006E5035" w:rsidRDefault="006E5035"/>
    <w:p w14:paraId="3CBD15C6" w14:textId="77777777" w:rsidR="006E5035" w:rsidRDefault="006E5035"/>
    <w:p w14:paraId="3CF92220" w14:textId="77777777" w:rsidR="006E5035" w:rsidRDefault="006E5035"/>
    <w:p w14:paraId="3C9EFBA5" w14:textId="77777777" w:rsidR="001E4538" w:rsidRDefault="001E4538"/>
    <w:p w14:paraId="3A28B080" w14:textId="77777777" w:rsidR="003E1F1B" w:rsidRDefault="003E1F1B"/>
    <w:p w14:paraId="4607E3E2" w14:textId="75A44151" w:rsidR="00DC4698" w:rsidRDefault="00E60462" w:rsidP="001D7DB1">
      <w:pPr>
        <w:pStyle w:val="Heading1"/>
        <w:numPr>
          <w:ilvl w:val="0"/>
          <w:numId w:val="0"/>
        </w:numPr>
      </w:pPr>
      <w:bookmarkStart w:id="1" w:name="OLE_LINK1"/>
      <w:bookmarkStart w:id="2" w:name="OLE_LINK2"/>
      <w:bookmarkStart w:id="3" w:name="_Toc80119639"/>
      <w:r w:rsidRPr="002D59A3">
        <w:lastRenderedPageBreak/>
        <w:t>Attendees</w:t>
      </w:r>
      <w:bookmarkEnd w:id="0"/>
      <w:bookmarkEnd w:id="3"/>
    </w:p>
    <w:tbl>
      <w:tblPr>
        <w:tblW w:w="9500" w:type="dxa"/>
        <w:tblLook w:val="04A0" w:firstRow="1" w:lastRow="0" w:firstColumn="1" w:lastColumn="0" w:noHBand="0" w:noVBand="1"/>
      </w:tblPr>
      <w:tblGrid>
        <w:gridCol w:w="1120"/>
        <w:gridCol w:w="983"/>
        <w:gridCol w:w="567"/>
        <w:gridCol w:w="1583"/>
        <w:gridCol w:w="1577"/>
        <w:gridCol w:w="2242"/>
        <w:gridCol w:w="1428"/>
      </w:tblGrid>
      <w:tr w:rsidR="004A5979" w:rsidRPr="004A5979" w14:paraId="1C108C2F" w14:textId="77777777" w:rsidTr="00FA651A">
        <w:trPr>
          <w:trHeight w:val="315"/>
        </w:trPr>
        <w:tc>
          <w:tcPr>
            <w:tcW w:w="1120" w:type="dxa"/>
            <w:tcBorders>
              <w:top w:val="nil"/>
              <w:left w:val="nil"/>
              <w:bottom w:val="nil"/>
              <w:right w:val="nil"/>
            </w:tcBorders>
            <w:shd w:val="clear" w:color="auto" w:fill="auto"/>
            <w:noWrap/>
            <w:vAlign w:val="bottom"/>
            <w:hideMark/>
          </w:tcPr>
          <w:p w14:paraId="126B159E" w14:textId="77777777" w:rsidR="004A5979" w:rsidRPr="004A5979" w:rsidRDefault="004A5979" w:rsidP="004A5979">
            <w:pPr>
              <w:spacing w:after="0"/>
              <w:rPr>
                <w:rFonts w:ascii="Times New Roman" w:hAnsi="Times New Roman" w:cs="Times New Roman"/>
                <w:sz w:val="24"/>
                <w:szCs w:val="24"/>
                <w:lang w:val="en-GB" w:eastAsia="zh-CN"/>
              </w:rPr>
            </w:pPr>
          </w:p>
        </w:tc>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28FCA1" w14:textId="77777777" w:rsidR="004A5979" w:rsidRPr="004A5979" w:rsidRDefault="004A5979" w:rsidP="004A5979">
            <w:pPr>
              <w:spacing w:after="0"/>
              <w:jc w:val="center"/>
              <w:rPr>
                <w:b/>
                <w:bCs/>
                <w:color w:val="000000"/>
                <w:lang w:val="en-GB" w:eastAsia="zh-CN"/>
              </w:rPr>
            </w:pPr>
            <w:r w:rsidRPr="004A5979">
              <w:rPr>
                <w:b/>
                <w:bCs/>
                <w:color w:val="000000"/>
                <w:lang w:val="en-GB" w:eastAsia="zh-CN"/>
              </w:rPr>
              <w:t>Country</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C70891A" w14:textId="77777777" w:rsidR="004A5979" w:rsidRPr="004A5979" w:rsidRDefault="004A5979" w:rsidP="004A5979">
            <w:pPr>
              <w:spacing w:after="0"/>
              <w:jc w:val="center"/>
              <w:rPr>
                <w:b/>
                <w:bCs/>
                <w:color w:val="000000"/>
                <w:lang w:val="en-GB" w:eastAsia="zh-CN"/>
              </w:rPr>
            </w:pPr>
            <w:r w:rsidRPr="004A5979">
              <w:rPr>
                <w:b/>
                <w:bCs/>
                <w:color w:val="000000"/>
                <w:lang w:val="en-GB" w:eastAsia="zh-CN"/>
              </w:rPr>
              <w:t> </w:t>
            </w:r>
          </w:p>
        </w:tc>
        <w:tc>
          <w:tcPr>
            <w:tcW w:w="1583" w:type="dxa"/>
            <w:tcBorders>
              <w:top w:val="single" w:sz="8" w:space="0" w:color="auto"/>
              <w:left w:val="nil"/>
              <w:bottom w:val="single" w:sz="8" w:space="0" w:color="auto"/>
              <w:right w:val="single" w:sz="8" w:space="0" w:color="auto"/>
            </w:tcBorders>
            <w:shd w:val="clear" w:color="auto" w:fill="auto"/>
            <w:vAlign w:val="center"/>
            <w:hideMark/>
          </w:tcPr>
          <w:p w14:paraId="54487167" w14:textId="77777777" w:rsidR="004A5979" w:rsidRPr="004A5979" w:rsidRDefault="004A5979" w:rsidP="004A5979">
            <w:pPr>
              <w:spacing w:after="0"/>
              <w:rPr>
                <w:b/>
                <w:bCs/>
                <w:color w:val="000000"/>
                <w:lang w:val="en-GB" w:eastAsia="zh-CN"/>
              </w:rPr>
            </w:pPr>
            <w:r w:rsidRPr="004A5979">
              <w:rPr>
                <w:b/>
                <w:bCs/>
                <w:color w:val="000000"/>
                <w:lang w:val="en-GB" w:eastAsia="zh-CN"/>
              </w:rPr>
              <w:t>First Name</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14:paraId="7A3356C7" w14:textId="77777777" w:rsidR="004A5979" w:rsidRPr="004A5979" w:rsidRDefault="004A5979" w:rsidP="004A5979">
            <w:pPr>
              <w:spacing w:after="0"/>
              <w:rPr>
                <w:b/>
                <w:bCs/>
                <w:color w:val="000000"/>
                <w:lang w:val="en-GB" w:eastAsia="zh-CN"/>
              </w:rPr>
            </w:pPr>
            <w:r w:rsidRPr="004A5979">
              <w:rPr>
                <w:b/>
                <w:bCs/>
                <w:color w:val="000000"/>
                <w:lang w:val="en-GB" w:eastAsia="zh-CN"/>
              </w:rPr>
              <w:t>Last Name</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14:paraId="1E9512BF" w14:textId="77777777" w:rsidR="004A5979" w:rsidRPr="004A5979" w:rsidRDefault="004A5979" w:rsidP="004A5979">
            <w:pPr>
              <w:spacing w:after="0"/>
              <w:rPr>
                <w:b/>
                <w:bCs/>
                <w:color w:val="000000"/>
                <w:lang w:val="en-GB" w:eastAsia="zh-CN"/>
              </w:rPr>
            </w:pPr>
            <w:r w:rsidRPr="004A5979">
              <w:rPr>
                <w:b/>
                <w:bCs/>
                <w:color w:val="000000"/>
                <w:lang w:val="en-GB" w:eastAsia="zh-CN"/>
              </w:rPr>
              <w:t>Institution</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57FCE601" w14:textId="77777777" w:rsidR="004A5979" w:rsidRPr="004A5979" w:rsidRDefault="004A5979" w:rsidP="004A5979">
            <w:pPr>
              <w:spacing w:after="0"/>
              <w:jc w:val="center"/>
              <w:rPr>
                <w:b/>
                <w:bCs/>
                <w:color w:val="000000"/>
                <w:lang w:val="en-GB" w:eastAsia="zh-CN"/>
              </w:rPr>
            </w:pPr>
            <w:r w:rsidRPr="004A5979">
              <w:rPr>
                <w:b/>
                <w:bCs/>
                <w:color w:val="000000"/>
                <w:lang w:val="en-GB" w:eastAsia="zh-CN"/>
              </w:rPr>
              <w:t>Participation</w:t>
            </w:r>
          </w:p>
        </w:tc>
      </w:tr>
      <w:tr w:rsidR="004A5979" w:rsidRPr="004A5979" w14:paraId="36B7D696" w14:textId="77777777" w:rsidTr="00FA651A">
        <w:trPr>
          <w:trHeight w:val="315"/>
        </w:trPr>
        <w:tc>
          <w:tcPr>
            <w:tcW w:w="1120" w:type="dxa"/>
            <w:tcBorders>
              <w:top w:val="nil"/>
              <w:left w:val="nil"/>
              <w:bottom w:val="nil"/>
              <w:right w:val="nil"/>
            </w:tcBorders>
            <w:shd w:val="clear" w:color="auto" w:fill="auto"/>
            <w:noWrap/>
            <w:vAlign w:val="bottom"/>
            <w:hideMark/>
          </w:tcPr>
          <w:p w14:paraId="41DE960E" w14:textId="77777777" w:rsidR="004A5979" w:rsidRPr="004A5979" w:rsidRDefault="004A5979" w:rsidP="004A5979">
            <w:pPr>
              <w:spacing w:after="0"/>
              <w:jc w:val="center"/>
              <w:rPr>
                <w:b/>
                <w:bCs/>
                <w:color w:val="000000"/>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132F6CA8" w14:textId="77777777" w:rsidR="004A5979" w:rsidRPr="004A5979" w:rsidRDefault="004A5979" w:rsidP="004A5979">
            <w:pPr>
              <w:spacing w:after="0"/>
              <w:jc w:val="center"/>
              <w:rPr>
                <w:rFonts w:ascii="Calibri" w:hAnsi="Calibri" w:cs="Calibri"/>
                <w:sz w:val="22"/>
                <w:szCs w:val="22"/>
                <w:lang w:val="en-GB" w:eastAsia="zh-CN"/>
              </w:rPr>
            </w:pPr>
            <w:r w:rsidRPr="004A5979">
              <w:rPr>
                <w:rFonts w:ascii="Calibri" w:hAnsi="Calibri" w:cs="Calibri"/>
                <w:sz w:val="22"/>
                <w:szCs w:val="22"/>
                <w:lang w:val="en-GB" w:eastAsia="zh-CN"/>
              </w:rPr>
              <w:t>BE</w:t>
            </w:r>
          </w:p>
        </w:tc>
        <w:tc>
          <w:tcPr>
            <w:tcW w:w="567" w:type="dxa"/>
            <w:tcBorders>
              <w:top w:val="nil"/>
              <w:left w:val="nil"/>
              <w:bottom w:val="single" w:sz="8" w:space="0" w:color="auto"/>
              <w:right w:val="single" w:sz="8" w:space="0" w:color="auto"/>
            </w:tcBorders>
            <w:shd w:val="clear" w:color="auto" w:fill="auto"/>
            <w:vAlign w:val="center"/>
            <w:hideMark/>
          </w:tcPr>
          <w:p w14:paraId="1D682D25" w14:textId="77777777" w:rsidR="004A5979" w:rsidRPr="004A5979" w:rsidRDefault="004A5979" w:rsidP="004A5979">
            <w:pPr>
              <w:spacing w:after="0"/>
              <w:jc w:val="center"/>
              <w:rPr>
                <w:rFonts w:ascii="Calibri" w:hAnsi="Calibri" w:cs="Calibri"/>
                <w:sz w:val="22"/>
                <w:szCs w:val="22"/>
                <w:lang w:val="en-GB" w:eastAsia="zh-CN"/>
              </w:rPr>
            </w:pPr>
            <w:r w:rsidRPr="004A5979">
              <w:rPr>
                <w:rFonts w:ascii="Calibri" w:hAnsi="Calibri" w:cs="Calibri"/>
                <w:sz w:val="22"/>
                <w:szCs w:val="22"/>
                <w:lang w:val="en-GB" w:eastAsia="zh-CN"/>
              </w:rPr>
              <w:t>Mrs</w:t>
            </w:r>
          </w:p>
        </w:tc>
        <w:tc>
          <w:tcPr>
            <w:tcW w:w="1583" w:type="dxa"/>
            <w:tcBorders>
              <w:top w:val="nil"/>
              <w:left w:val="nil"/>
              <w:bottom w:val="single" w:sz="8" w:space="0" w:color="auto"/>
              <w:right w:val="single" w:sz="8" w:space="0" w:color="auto"/>
            </w:tcBorders>
            <w:shd w:val="clear" w:color="auto" w:fill="auto"/>
            <w:vAlign w:val="center"/>
            <w:hideMark/>
          </w:tcPr>
          <w:p w14:paraId="40989C30" w14:textId="77777777" w:rsidR="004A5979" w:rsidRPr="004A5979" w:rsidRDefault="004A5979" w:rsidP="004A5979">
            <w:pPr>
              <w:spacing w:after="0"/>
              <w:rPr>
                <w:rFonts w:ascii="Calibri" w:hAnsi="Calibri" w:cs="Calibri"/>
                <w:sz w:val="22"/>
                <w:szCs w:val="22"/>
                <w:lang w:val="en-GB" w:eastAsia="zh-CN"/>
              </w:rPr>
            </w:pPr>
            <w:proofErr w:type="spellStart"/>
            <w:r w:rsidRPr="004A5979">
              <w:rPr>
                <w:rFonts w:ascii="Calibri" w:hAnsi="Calibri" w:cs="Calibri"/>
                <w:sz w:val="22"/>
                <w:szCs w:val="22"/>
                <w:lang w:val="en-GB" w:eastAsia="zh-CN"/>
              </w:rPr>
              <w:t>Véronique</w:t>
            </w:r>
            <w:proofErr w:type="spellEnd"/>
          </w:p>
        </w:tc>
        <w:tc>
          <w:tcPr>
            <w:tcW w:w="1577" w:type="dxa"/>
            <w:tcBorders>
              <w:top w:val="nil"/>
              <w:left w:val="nil"/>
              <w:bottom w:val="single" w:sz="8" w:space="0" w:color="auto"/>
              <w:right w:val="single" w:sz="8" w:space="0" w:color="auto"/>
            </w:tcBorders>
            <w:shd w:val="clear" w:color="auto" w:fill="auto"/>
            <w:vAlign w:val="center"/>
            <w:hideMark/>
          </w:tcPr>
          <w:p w14:paraId="39ACBCAC" w14:textId="77777777" w:rsidR="004A5979" w:rsidRPr="004A5979" w:rsidRDefault="004A5979" w:rsidP="004A5979">
            <w:pPr>
              <w:spacing w:after="0"/>
              <w:rPr>
                <w:rFonts w:ascii="Calibri" w:hAnsi="Calibri" w:cs="Calibri"/>
                <w:sz w:val="22"/>
                <w:szCs w:val="22"/>
                <w:lang w:val="en-GB" w:eastAsia="zh-CN"/>
              </w:rPr>
            </w:pPr>
            <w:r w:rsidRPr="004A5979">
              <w:rPr>
                <w:rFonts w:ascii="Calibri" w:hAnsi="Calibri" w:cs="Calibri"/>
                <w:sz w:val="22"/>
                <w:szCs w:val="22"/>
                <w:lang w:val="en-GB" w:eastAsia="zh-CN"/>
              </w:rPr>
              <w:t>Peeters</w:t>
            </w:r>
          </w:p>
        </w:tc>
        <w:tc>
          <w:tcPr>
            <w:tcW w:w="2242" w:type="dxa"/>
            <w:tcBorders>
              <w:top w:val="nil"/>
              <w:left w:val="nil"/>
              <w:bottom w:val="single" w:sz="8" w:space="0" w:color="auto"/>
              <w:right w:val="single" w:sz="8" w:space="0" w:color="auto"/>
            </w:tcBorders>
            <w:shd w:val="clear" w:color="auto" w:fill="auto"/>
            <w:vAlign w:val="center"/>
            <w:hideMark/>
          </w:tcPr>
          <w:p w14:paraId="32CEE728" w14:textId="77777777" w:rsidR="004A5979" w:rsidRPr="004A5979" w:rsidRDefault="004A5979" w:rsidP="004A5979">
            <w:pPr>
              <w:spacing w:after="0"/>
              <w:rPr>
                <w:rFonts w:ascii="Calibri" w:hAnsi="Calibri" w:cs="Calibri"/>
                <w:sz w:val="22"/>
                <w:szCs w:val="22"/>
                <w:lang w:val="en-GB" w:eastAsia="zh-CN"/>
              </w:rPr>
            </w:pPr>
            <w:r w:rsidRPr="004A5979">
              <w:rPr>
                <w:rFonts w:ascii="Calibri" w:hAnsi="Calibri" w:cs="Calibri"/>
                <w:sz w:val="22"/>
                <w:szCs w:val="22"/>
                <w:lang w:val="en-GB" w:eastAsia="zh-CN"/>
              </w:rPr>
              <w:t>BNY Mellon</w:t>
            </w:r>
          </w:p>
        </w:tc>
        <w:tc>
          <w:tcPr>
            <w:tcW w:w="1428" w:type="dxa"/>
            <w:tcBorders>
              <w:top w:val="nil"/>
              <w:left w:val="nil"/>
              <w:bottom w:val="single" w:sz="8" w:space="0" w:color="auto"/>
              <w:right w:val="single" w:sz="8" w:space="0" w:color="auto"/>
            </w:tcBorders>
            <w:shd w:val="clear" w:color="auto" w:fill="auto"/>
            <w:noWrap/>
            <w:vAlign w:val="bottom"/>
            <w:hideMark/>
          </w:tcPr>
          <w:p w14:paraId="4686A6BF"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34FF409B" w14:textId="77777777" w:rsidTr="00FA651A">
        <w:trPr>
          <w:trHeight w:val="315"/>
        </w:trPr>
        <w:tc>
          <w:tcPr>
            <w:tcW w:w="1120" w:type="dxa"/>
            <w:tcBorders>
              <w:top w:val="nil"/>
              <w:left w:val="nil"/>
              <w:bottom w:val="nil"/>
              <w:right w:val="nil"/>
            </w:tcBorders>
            <w:shd w:val="clear" w:color="auto" w:fill="auto"/>
            <w:noWrap/>
            <w:vAlign w:val="bottom"/>
            <w:hideMark/>
          </w:tcPr>
          <w:p w14:paraId="45B0133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Facilitator</w:t>
            </w: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0EDE9701"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N / A</w:t>
            </w:r>
          </w:p>
        </w:tc>
        <w:tc>
          <w:tcPr>
            <w:tcW w:w="567" w:type="dxa"/>
            <w:tcBorders>
              <w:top w:val="nil"/>
              <w:left w:val="nil"/>
              <w:bottom w:val="single" w:sz="8" w:space="0" w:color="auto"/>
              <w:right w:val="single" w:sz="8" w:space="0" w:color="auto"/>
            </w:tcBorders>
            <w:shd w:val="clear" w:color="auto" w:fill="auto"/>
            <w:vAlign w:val="center"/>
            <w:hideMark/>
          </w:tcPr>
          <w:p w14:paraId="0C53A94E"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0092C1B3"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Jacques</w:t>
            </w:r>
          </w:p>
        </w:tc>
        <w:tc>
          <w:tcPr>
            <w:tcW w:w="1577" w:type="dxa"/>
            <w:tcBorders>
              <w:top w:val="nil"/>
              <w:left w:val="nil"/>
              <w:bottom w:val="single" w:sz="8" w:space="0" w:color="auto"/>
              <w:right w:val="single" w:sz="8" w:space="0" w:color="auto"/>
            </w:tcBorders>
            <w:shd w:val="clear" w:color="auto" w:fill="auto"/>
            <w:vAlign w:val="center"/>
            <w:hideMark/>
          </w:tcPr>
          <w:p w14:paraId="191D9186"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Littré</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1E647C94"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SWIFT</w:t>
            </w:r>
          </w:p>
        </w:tc>
        <w:tc>
          <w:tcPr>
            <w:tcW w:w="1428" w:type="dxa"/>
            <w:tcBorders>
              <w:top w:val="nil"/>
              <w:left w:val="nil"/>
              <w:bottom w:val="single" w:sz="8" w:space="0" w:color="auto"/>
              <w:right w:val="single" w:sz="8" w:space="0" w:color="auto"/>
            </w:tcBorders>
            <w:shd w:val="clear" w:color="auto" w:fill="auto"/>
            <w:noWrap/>
            <w:vAlign w:val="bottom"/>
            <w:hideMark/>
          </w:tcPr>
          <w:p w14:paraId="100BEFE8"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1F322DAC" w14:textId="77777777" w:rsidTr="00FA651A">
        <w:trPr>
          <w:trHeight w:val="315"/>
        </w:trPr>
        <w:tc>
          <w:tcPr>
            <w:tcW w:w="1120" w:type="dxa"/>
            <w:tcBorders>
              <w:top w:val="nil"/>
              <w:left w:val="nil"/>
              <w:bottom w:val="nil"/>
              <w:right w:val="nil"/>
            </w:tcBorders>
            <w:shd w:val="clear" w:color="auto" w:fill="auto"/>
            <w:noWrap/>
            <w:vAlign w:val="bottom"/>
            <w:hideMark/>
          </w:tcPr>
          <w:p w14:paraId="3F5E47AC"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1EF06D03"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CH</w:t>
            </w:r>
          </w:p>
        </w:tc>
        <w:tc>
          <w:tcPr>
            <w:tcW w:w="567" w:type="dxa"/>
            <w:tcBorders>
              <w:top w:val="nil"/>
              <w:left w:val="nil"/>
              <w:bottom w:val="single" w:sz="8" w:space="0" w:color="auto"/>
              <w:right w:val="single" w:sz="8" w:space="0" w:color="auto"/>
            </w:tcBorders>
            <w:shd w:val="clear" w:color="auto" w:fill="auto"/>
            <w:vAlign w:val="center"/>
            <w:hideMark/>
          </w:tcPr>
          <w:p w14:paraId="0892CDE1"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02F0F6A7"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Reto</w:t>
            </w:r>
            <w:proofErr w:type="spellEnd"/>
          </w:p>
        </w:tc>
        <w:tc>
          <w:tcPr>
            <w:tcW w:w="1577" w:type="dxa"/>
            <w:tcBorders>
              <w:top w:val="nil"/>
              <w:left w:val="nil"/>
              <w:bottom w:val="single" w:sz="8" w:space="0" w:color="auto"/>
              <w:right w:val="single" w:sz="8" w:space="0" w:color="auto"/>
            </w:tcBorders>
            <w:shd w:val="clear" w:color="auto" w:fill="auto"/>
            <w:vAlign w:val="center"/>
            <w:hideMark/>
          </w:tcPr>
          <w:p w14:paraId="713303D6"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Baumgartner</w:t>
            </w:r>
          </w:p>
        </w:tc>
        <w:tc>
          <w:tcPr>
            <w:tcW w:w="2242" w:type="dxa"/>
            <w:tcBorders>
              <w:top w:val="nil"/>
              <w:left w:val="nil"/>
              <w:bottom w:val="single" w:sz="8" w:space="0" w:color="auto"/>
              <w:right w:val="single" w:sz="8" w:space="0" w:color="auto"/>
            </w:tcBorders>
            <w:shd w:val="clear" w:color="auto" w:fill="auto"/>
            <w:vAlign w:val="center"/>
            <w:hideMark/>
          </w:tcPr>
          <w:p w14:paraId="4D27182A"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Credit Suisse</w:t>
            </w:r>
          </w:p>
        </w:tc>
        <w:tc>
          <w:tcPr>
            <w:tcW w:w="1428" w:type="dxa"/>
            <w:tcBorders>
              <w:top w:val="nil"/>
              <w:left w:val="nil"/>
              <w:bottom w:val="single" w:sz="8" w:space="0" w:color="auto"/>
              <w:right w:val="single" w:sz="8" w:space="0" w:color="auto"/>
            </w:tcBorders>
            <w:shd w:val="clear" w:color="auto" w:fill="auto"/>
            <w:noWrap/>
            <w:vAlign w:val="bottom"/>
            <w:hideMark/>
          </w:tcPr>
          <w:p w14:paraId="6FD6D18E"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2EEEE06A" w14:textId="77777777" w:rsidTr="00FA651A">
        <w:trPr>
          <w:trHeight w:val="315"/>
        </w:trPr>
        <w:tc>
          <w:tcPr>
            <w:tcW w:w="1120" w:type="dxa"/>
            <w:tcBorders>
              <w:top w:val="nil"/>
              <w:left w:val="nil"/>
              <w:bottom w:val="nil"/>
              <w:right w:val="nil"/>
            </w:tcBorders>
            <w:shd w:val="clear" w:color="auto" w:fill="auto"/>
            <w:noWrap/>
            <w:vAlign w:val="bottom"/>
            <w:hideMark/>
          </w:tcPr>
          <w:p w14:paraId="630EE757"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4DCDD5DD"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DE</w:t>
            </w:r>
          </w:p>
        </w:tc>
        <w:tc>
          <w:tcPr>
            <w:tcW w:w="567" w:type="dxa"/>
            <w:tcBorders>
              <w:top w:val="nil"/>
              <w:left w:val="nil"/>
              <w:bottom w:val="single" w:sz="8" w:space="0" w:color="auto"/>
              <w:right w:val="single" w:sz="8" w:space="0" w:color="auto"/>
            </w:tcBorders>
            <w:shd w:val="clear" w:color="auto" w:fill="auto"/>
            <w:vAlign w:val="center"/>
            <w:hideMark/>
          </w:tcPr>
          <w:p w14:paraId="6C925048"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441EC18F"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Daniel</w:t>
            </w:r>
          </w:p>
        </w:tc>
        <w:tc>
          <w:tcPr>
            <w:tcW w:w="1577" w:type="dxa"/>
            <w:tcBorders>
              <w:top w:val="nil"/>
              <w:left w:val="nil"/>
              <w:bottom w:val="single" w:sz="8" w:space="0" w:color="auto"/>
              <w:right w:val="single" w:sz="8" w:space="0" w:color="auto"/>
            </w:tcBorders>
            <w:shd w:val="clear" w:color="auto" w:fill="auto"/>
            <w:vAlign w:val="center"/>
            <w:hideMark/>
          </w:tcPr>
          <w:p w14:paraId="6AF457E6"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Schaefer</w:t>
            </w:r>
          </w:p>
        </w:tc>
        <w:tc>
          <w:tcPr>
            <w:tcW w:w="2242" w:type="dxa"/>
            <w:tcBorders>
              <w:top w:val="nil"/>
              <w:left w:val="nil"/>
              <w:bottom w:val="single" w:sz="8" w:space="0" w:color="auto"/>
              <w:right w:val="single" w:sz="8" w:space="0" w:color="auto"/>
            </w:tcBorders>
            <w:shd w:val="clear" w:color="auto" w:fill="auto"/>
            <w:vAlign w:val="center"/>
            <w:hideMark/>
          </w:tcPr>
          <w:p w14:paraId="3ADD014D"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HSBC</w:t>
            </w:r>
          </w:p>
        </w:tc>
        <w:tc>
          <w:tcPr>
            <w:tcW w:w="1428" w:type="dxa"/>
            <w:tcBorders>
              <w:top w:val="nil"/>
              <w:left w:val="nil"/>
              <w:bottom w:val="single" w:sz="8" w:space="0" w:color="auto"/>
              <w:right w:val="single" w:sz="8" w:space="0" w:color="auto"/>
            </w:tcBorders>
            <w:shd w:val="clear" w:color="auto" w:fill="auto"/>
            <w:noWrap/>
            <w:vAlign w:val="bottom"/>
            <w:hideMark/>
          </w:tcPr>
          <w:p w14:paraId="4B87AC6E"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339302B0" w14:textId="77777777" w:rsidTr="00FA651A">
        <w:trPr>
          <w:trHeight w:val="315"/>
        </w:trPr>
        <w:tc>
          <w:tcPr>
            <w:tcW w:w="1120" w:type="dxa"/>
            <w:tcBorders>
              <w:top w:val="nil"/>
              <w:left w:val="nil"/>
              <w:bottom w:val="nil"/>
              <w:right w:val="nil"/>
            </w:tcBorders>
            <w:shd w:val="clear" w:color="auto" w:fill="auto"/>
            <w:noWrap/>
            <w:vAlign w:val="bottom"/>
            <w:hideMark/>
          </w:tcPr>
          <w:p w14:paraId="1D23FDEE"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08D14884"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SE</w:t>
            </w:r>
          </w:p>
        </w:tc>
        <w:tc>
          <w:tcPr>
            <w:tcW w:w="567" w:type="dxa"/>
            <w:tcBorders>
              <w:top w:val="nil"/>
              <w:left w:val="nil"/>
              <w:bottom w:val="single" w:sz="8" w:space="0" w:color="auto"/>
              <w:right w:val="single" w:sz="8" w:space="0" w:color="auto"/>
            </w:tcBorders>
            <w:shd w:val="clear" w:color="auto" w:fill="auto"/>
            <w:vAlign w:val="center"/>
            <w:hideMark/>
          </w:tcPr>
          <w:p w14:paraId="5FD79424"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6C5B1F03"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 xml:space="preserve">Urban </w:t>
            </w:r>
          </w:p>
        </w:tc>
        <w:tc>
          <w:tcPr>
            <w:tcW w:w="1577" w:type="dxa"/>
            <w:tcBorders>
              <w:top w:val="nil"/>
              <w:left w:val="nil"/>
              <w:bottom w:val="single" w:sz="8" w:space="0" w:color="auto"/>
              <w:right w:val="single" w:sz="8" w:space="0" w:color="auto"/>
            </w:tcBorders>
            <w:shd w:val="clear" w:color="auto" w:fill="auto"/>
            <w:vAlign w:val="center"/>
            <w:hideMark/>
          </w:tcPr>
          <w:p w14:paraId="7EC1B28B"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Hane</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67EB7375"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Nordea</w:t>
            </w:r>
          </w:p>
        </w:tc>
        <w:tc>
          <w:tcPr>
            <w:tcW w:w="1428" w:type="dxa"/>
            <w:tcBorders>
              <w:top w:val="nil"/>
              <w:left w:val="nil"/>
              <w:bottom w:val="single" w:sz="8" w:space="0" w:color="auto"/>
              <w:right w:val="single" w:sz="8" w:space="0" w:color="auto"/>
            </w:tcBorders>
            <w:shd w:val="clear" w:color="auto" w:fill="auto"/>
            <w:noWrap/>
            <w:vAlign w:val="bottom"/>
            <w:hideMark/>
          </w:tcPr>
          <w:p w14:paraId="4EB93E2C"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608BD0CF" w14:textId="77777777" w:rsidTr="00FA651A">
        <w:trPr>
          <w:trHeight w:val="330"/>
        </w:trPr>
        <w:tc>
          <w:tcPr>
            <w:tcW w:w="1120" w:type="dxa"/>
            <w:tcBorders>
              <w:top w:val="nil"/>
              <w:left w:val="nil"/>
              <w:bottom w:val="nil"/>
              <w:right w:val="nil"/>
            </w:tcBorders>
            <w:shd w:val="clear" w:color="auto" w:fill="auto"/>
            <w:noWrap/>
            <w:vAlign w:val="bottom"/>
            <w:hideMark/>
          </w:tcPr>
          <w:p w14:paraId="29DAF893"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Co-chair</w:t>
            </w: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507EE2B0"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FR</w:t>
            </w:r>
          </w:p>
        </w:tc>
        <w:tc>
          <w:tcPr>
            <w:tcW w:w="567" w:type="dxa"/>
            <w:tcBorders>
              <w:top w:val="nil"/>
              <w:left w:val="nil"/>
              <w:bottom w:val="single" w:sz="8" w:space="0" w:color="auto"/>
              <w:right w:val="single" w:sz="8" w:space="0" w:color="auto"/>
            </w:tcBorders>
            <w:shd w:val="clear" w:color="000000" w:fill="01FF74"/>
            <w:vAlign w:val="center"/>
            <w:hideMark/>
          </w:tcPr>
          <w:p w14:paraId="2ECB5820"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000000" w:fill="01FF74"/>
            <w:vAlign w:val="center"/>
            <w:hideMark/>
          </w:tcPr>
          <w:p w14:paraId="4A008377"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Jean-Pierre</w:t>
            </w:r>
          </w:p>
        </w:tc>
        <w:tc>
          <w:tcPr>
            <w:tcW w:w="1577" w:type="dxa"/>
            <w:tcBorders>
              <w:top w:val="nil"/>
              <w:left w:val="nil"/>
              <w:bottom w:val="single" w:sz="8" w:space="0" w:color="auto"/>
              <w:right w:val="single" w:sz="8" w:space="0" w:color="auto"/>
            </w:tcBorders>
            <w:shd w:val="clear" w:color="000000" w:fill="01FF74"/>
            <w:vAlign w:val="center"/>
            <w:hideMark/>
          </w:tcPr>
          <w:p w14:paraId="10C03CC8"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Klak</w:t>
            </w:r>
          </w:p>
        </w:tc>
        <w:tc>
          <w:tcPr>
            <w:tcW w:w="2242" w:type="dxa"/>
            <w:tcBorders>
              <w:top w:val="nil"/>
              <w:left w:val="nil"/>
              <w:bottom w:val="single" w:sz="8" w:space="0" w:color="auto"/>
              <w:right w:val="single" w:sz="8" w:space="0" w:color="auto"/>
            </w:tcBorders>
            <w:shd w:val="clear" w:color="000000" w:fill="01FF74"/>
            <w:vAlign w:val="center"/>
            <w:hideMark/>
          </w:tcPr>
          <w:p w14:paraId="39E8823F"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State Street</w:t>
            </w:r>
          </w:p>
        </w:tc>
        <w:tc>
          <w:tcPr>
            <w:tcW w:w="1428" w:type="dxa"/>
            <w:tcBorders>
              <w:top w:val="nil"/>
              <w:left w:val="nil"/>
              <w:bottom w:val="single" w:sz="8" w:space="0" w:color="auto"/>
              <w:right w:val="single" w:sz="8" w:space="0" w:color="auto"/>
            </w:tcBorders>
            <w:shd w:val="clear" w:color="000000" w:fill="01FF74"/>
            <w:vAlign w:val="center"/>
            <w:hideMark/>
          </w:tcPr>
          <w:p w14:paraId="27D99091"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26154C6D" w14:textId="77777777" w:rsidTr="00FA651A">
        <w:trPr>
          <w:trHeight w:val="330"/>
        </w:trPr>
        <w:tc>
          <w:tcPr>
            <w:tcW w:w="1120" w:type="dxa"/>
            <w:tcBorders>
              <w:top w:val="nil"/>
              <w:left w:val="nil"/>
              <w:bottom w:val="nil"/>
              <w:right w:val="nil"/>
            </w:tcBorders>
            <w:shd w:val="clear" w:color="auto" w:fill="auto"/>
            <w:noWrap/>
            <w:vAlign w:val="bottom"/>
            <w:hideMark/>
          </w:tcPr>
          <w:p w14:paraId="6ED66FA3"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3385A345"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FR</w:t>
            </w:r>
          </w:p>
        </w:tc>
        <w:tc>
          <w:tcPr>
            <w:tcW w:w="567" w:type="dxa"/>
            <w:tcBorders>
              <w:top w:val="nil"/>
              <w:left w:val="nil"/>
              <w:bottom w:val="single" w:sz="8" w:space="0" w:color="auto"/>
              <w:right w:val="single" w:sz="8" w:space="0" w:color="auto"/>
            </w:tcBorders>
            <w:shd w:val="clear" w:color="000000" w:fill="01FF74"/>
            <w:vAlign w:val="center"/>
            <w:hideMark/>
          </w:tcPr>
          <w:p w14:paraId="28D56D01"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Mrs</w:t>
            </w:r>
          </w:p>
        </w:tc>
        <w:tc>
          <w:tcPr>
            <w:tcW w:w="1583" w:type="dxa"/>
            <w:tcBorders>
              <w:top w:val="nil"/>
              <w:left w:val="nil"/>
              <w:bottom w:val="single" w:sz="8" w:space="0" w:color="auto"/>
              <w:right w:val="single" w:sz="8" w:space="0" w:color="auto"/>
            </w:tcBorders>
            <w:shd w:val="clear" w:color="000000" w:fill="01FF74"/>
            <w:vAlign w:val="center"/>
            <w:hideMark/>
          </w:tcPr>
          <w:p w14:paraId="1EC37829"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Stéphanie</w:t>
            </w:r>
            <w:proofErr w:type="spellEnd"/>
          </w:p>
        </w:tc>
        <w:tc>
          <w:tcPr>
            <w:tcW w:w="1577" w:type="dxa"/>
            <w:tcBorders>
              <w:top w:val="nil"/>
              <w:left w:val="nil"/>
              <w:bottom w:val="single" w:sz="8" w:space="0" w:color="auto"/>
              <w:right w:val="single" w:sz="8" w:space="0" w:color="auto"/>
            </w:tcBorders>
            <w:shd w:val="clear" w:color="000000" w:fill="01FF74"/>
            <w:vAlign w:val="center"/>
            <w:hideMark/>
          </w:tcPr>
          <w:p w14:paraId="4BE58A98"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Clark-Fischer</w:t>
            </w:r>
          </w:p>
        </w:tc>
        <w:tc>
          <w:tcPr>
            <w:tcW w:w="2242" w:type="dxa"/>
            <w:tcBorders>
              <w:top w:val="nil"/>
              <w:left w:val="nil"/>
              <w:bottom w:val="single" w:sz="8" w:space="0" w:color="auto"/>
              <w:right w:val="single" w:sz="8" w:space="0" w:color="auto"/>
            </w:tcBorders>
            <w:shd w:val="clear" w:color="000000" w:fill="01FF74"/>
            <w:vAlign w:val="center"/>
            <w:hideMark/>
          </w:tcPr>
          <w:p w14:paraId="4002D0E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BP2S</w:t>
            </w:r>
          </w:p>
        </w:tc>
        <w:tc>
          <w:tcPr>
            <w:tcW w:w="1428" w:type="dxa"/>
            <w:tcBorders>
              <w:top w:val="nil"/>
              <w:left w:val="nil"/>
              <w:bottom w:val="single" w:sz="8" w:space="0" w:color="auto"/>
              <w:right w:val="single" w:sz="8" w:space="0" w:color="auto"/>
            </w:tcBorders>
            <w:shd w:val="clear" w:color="000000" w:fill="01FF74"/>
            <w:vAlign w:val="center"/>
            <w:hideMark/>
          </w:tcPr>
          <w:p w14:paraId="4715B032"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1AEFDB21" w14:textId="77777777" w:rsidTr="00FA651A">
        <w:trPr>
          <w:trHeight w:val="315"/>
        </w:trPr>
        <w:tc>
          <w:tcPr>
            <w:tcW w:w="1120" w:type="dxa"/>
            <w:tcBorders>
              <w:top w:val="nil"/>
              <w:left w:val="nil"/>
              <w:bottom w:val="nil"/>
              <w:right w:val="nil"/>
            </w:tcBorders>
            <w:shd w:val="clear" w:color="auto" w:fill="auto"/>
            <w:noWrap/>
            <w:vAlign w:val="bottom"/>
            <w:hideMark/>
          </w:tcPr>
          <w:p w14:paraId="1A21B868"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1AAC3A36"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FR</w:t>
            </w:r>
          </w:p>
        </w:tc>
        <w:tc>
          <w:tcPr>
            <w:tcW w:w="567" w:type="dxa"/>
            <w:tcBorders>
              <w:top w:val="nil"/>
              <w:left w:val="nil"/>
              <w:bottom w:val="single" w:sz="8" w:space="0" w:color="auto"/>
              <w:right w:val="single" w:sz="8" w:space="0" w:color="auto"/>
            </w:tcBorders>
            <w:shd w:val="clear" w:color="auto" w:fill="auto"/>
            <w:vAlign w:val="center"/>
            <w:hideMark/>
          </w:tcPr>
          <w:p w14:paraId="5C41E795"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675E2148"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Pierre-Antoine</w:t>
            </w:r>
          </w:p>
        </w:tc>
        <w:tc>
          <w:tcPr>
            <w:tcW w:w="1577" w:type="dxa"/>
            <w:tcBorders>
              <w:top w:val="nil"/>
              <w:left w:val="nil"/>
              <w:bottom w:val="single" w:sz="8" w:space="0" w:color="auto"/>
              <w:right w:val="single" w:sz="8" w:space="0" w:color="auto"/>
            </w:tcBorders>
            <w:shd w:val="clear" w:color="auto" w:fill="auto"/>
            <w:vAlign w:val="center"/>
            <w:hideMark/>
          </w:tcPr>
          <w:p w14:paraId="212FC56A"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Patinet</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40B52975"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BP2S</w:t>
            </w:r>
          </w:p>
        </w:tc>
        <w:tc>
          <w:tcPr>
            <w:tcW w:w="1428" w:type="dxa"/>
            <w:tcBorders>
              <w:top w:val="nil"/>
              <w:left w:val="nil"/>
              <w:bottom w:val="single" w:sz="8" w:space="0" w:color="auto"/>
              <w:right w:val="single" w:sz="8" w:space="0" w:color="auto"/>
            </w:tcBorders>
            <w:shd w:val="clear" w:color="auto" w:fill="auto"/>
            <w:noWrap/>
            <w:vAlign w:val="bottom"/>
            <w:hideMark/>
          </w:tcPr>
          <w:p w14:paraId="01043EF5"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23544E90" w14:textId="77777777" w:rsidTr="00FA651A">
        <w:trPr>
          <w:trHeight w:val="315"/>
        </w:trPr>
        <w:tc>
          <w:tcPr>
            <w:tcW w:w="1120" w:type="dxa"/>
            <w:tcBorders>
              <w:top w:val="nil"/>
              <w:left w:val="nil"/>
              <w:bottom w:val="nil"/>
              <w:right w:val="nil"/>
            </w:tcBorders>
            <w:shd w:val="clear" w:color="auto" w:fill="auto"/>
            <w:noWrap/>
            <w:vAlign w:val="bottom"/>
            <w:hideMark/>
          </w:tcPr>
          <w:p w14:paraId="7EB63536"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2F24551D"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IT</w:t>
            </w:r>
          </w:p>
        </w:tc>
        <w:tc>
          <w:tcPr>
            <w:tcW w:w="567" w:type="dxa"/>
            <w:tcBorders>
              <w:top w:val="nil"/>
              <w:left w:val="nil"/>
              <w:bottom w:val="single" w:sz="8" w:space="0" w:color="auto"/>
              <w:right w:val="single" w:sz="8" w:space="0" w:color="auto"/>
            </w:tcBorders>
            <w:shd w:val="clear" w:color="auto" w:fill="auto"/>
            <w:vAlign w:val="center"/>
            <w:hideMark/>
          </w:tcPr>
          <w:p w14:paraId="1FE1F86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Mrs</w:t>
            </w:r>
          </w:p>
        </w:tc>
        <w:tc>
          <w:tcPr>
            <w:tcW w:w="1583" w:type="dxa"/>
            <w:tcBorders>
              <w:top w:val="nil"/>
              <w:left w:val="nil"/>
              <w:bottom w:val="single" w:sz="8" w:space="0" w:color="auto"/>
              <w:right w:val="single" w:sz="8" w:space="0" w:color="auto"/>
            </w:tcBorders>
            <w:shd w:val="clear" w:color="auto" w:fill="auto"/>
            <w:vAlign w:val="center"/>
            <w:hideMark/>
          </w:tcPr>
          <w:p w14:paraId="3B034A1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Paola</w:t>
            </w:r>
          </w:p>
        </w:tc>
        <w:tc>
          <w:tcPr>
            <w:tcW w:w="1577" w:type="dxa"/>
            <w:tcBorders>
              <w:top w:val="nil"/>
              <w:left w:val="nil"/>
              <w:bottom w:val="single" w:sz="8" w:space="0" w:color="auto"/>
              <w:right w:val="single" w:sz="8" w:space="0" w:color="auto"/>
            </w:tcBorders>
            <w:shd w:val="clear" w:color="auto" w:fill="auto"/>
            <w:vAlign w:val="center"/>
            <w:hideMark/>
          </w:tcPr>
          <w:p w14:paraId="083EBA9D"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Deantoni</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6989D37A"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Societe</w:t>
            </w:r>
            <w:proofErr w:type="spellEnd"/>
            <w:r w:rsidRPr="004A5979">
              <w:rPr>
                <w:rFonts w:ascii="Calibri" w:hAnsi="Calibri" w:cs="Calibri"/>
                <w:color w:val="000000"/>
                <w:sz w:val="22"/>
                <w:szCs w:val="22"/>
                <w:lang w:val="en-GB" w:eastAsia="zh-CN"/>
              </w:rPr>
              <w:t xml:space="preserve"> </w:t>
            </w:r>
            <w:proofErr w:type="spellStart"/>
            <w:r w:rsidRPr="004A5979">
              <w:rPr>
                <w:rFonts w:ascii="Calibri" w:hAnsi="Calibri" w:cs="Calibri"/>
                <w:color w:val="000000"/>
                <w:sz w:val="22"/>
                <w:szCs w:val="22"/>
                <w:lang w:val="en-GB" w:eastAsia="zh-CN"/>
              </w:rPr>
              <w:t>Generale</w:t>
            </w:r>
            <w:proofErr w:type="spellEnd"/>
          </w:p>
        </w:tc>
        <w:tc>
          <w:tcPr>
            <w:tcW w:w="1428" w:type="dxa"/>
            <w:tcBorders>
              <w:top w:val="nil"/>
              <w:left w:val="nil"/>
              <w:bottom w:val="single" w:sz="8" w:space="0" w:color="auto"/>
              <w:right w:val="single" w:sz="8" w:space="0" w:color="auto"/>
            </w:tcBorders>
            <w:shd w:val="clear" w:color="auto" w:fill="auto"/>
            <w:noWrap/>
            <w:vAlign w:val="bottom"/>
            <w:hideMark/>
          </w:tcPr>
          <w:p w14:paraId="6782E33B"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43B7DB23" w14:textId="77777777" w:rsidTr="00FA651A">
        <w:trPr>
          <w:trHeight w:val="330"/>
        </w:trPr>
        <w:tc>
          <w:tcPr>
            <w:tcW w:w="1120" w:type="dxa"/>
            <w:tcBorders>
              <w:top w:val="nil"/>
              <w:left w:val="nil"/>
              <w:bottom w:val="nil"/>
              <w:right w:val="nil"/>
            </w:tcBorders>
            <w:shd w:val="clear" w:color="auto" w:fill="auto"/>
            <w:noWrap/>
            <w:vAlign w:val="bottom"/>
            <w:hideMark/>
          </w:tcPr>
          <w:p w14:paraId="7456B503"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3D6B37F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LU + DE</w:t>
            </w:r>
          </w:p>
        </w:tc>
        <w:tc>
          <w:tcPr>
            <w:tcW w:w="567" w:type="dxa"/>
            <w:tcBorders>
              <w:top w:val="nil"/>
              <w:left w:val="nil"/>
              <w:bottom w:val="single" w:sz="8" w:space="0" w:color="auto"/>
              <w:right w:val="single" w:sz="8" w:space="0" w:color="auto"/>
            </w:tcBorders>
            <w:shd w:val="clear" w:color="000000" w:fill="01FF74"/>
            <w:vAlign w:val="center"/>
            <w:hideMark/>
          </w:tcPr>
          <w:p w14:paraId="554ECC94"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000000" w:fill="01FF74"/>
            <w:vAlign w:val="center"/>
            <w:hideMark/>
          </w:tcPr>
          <w:p w14:paraId="4B0B3F67"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Alexander</w:t>
            </w:r>
          </w:p>
        </w:tc>
        <w:tc>
          <w:tcPr>
            <w:tcW w:w="1577" w:type="dxa"/>
            <w:tcBorders>
              <w:top w:val="nil"/>
              <w:left w:val="nil"/>
              <w:bottom w:val="single" w:sz="8" w:space="0" w:color="auto"/>
              <w:right w:val="single" w:sz="8" w:space="0" w:color="auto"/>
            </w:tcBorders>
            <w:shd w:val="clear" w:color="000000" w:fill="01FF74"/>
            <w:vAlign w:val="center"/>
            <w:hideMark/>
          </w:tcPr>
          <w:p w14:paraId="098C3301"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Reis</w:t>
            </w:r>
          </w:p>
        </w:tc>
        <w:tc>
          <w:tcPr>
            <w:tcW w:w="2242" w:type="dxa"/>
            <w:tcBorders>
              <w:top w:val="nil"/>
              <w:left w:val="nil"/>
              <w:bottom w:val="single" w:sz="8" w:space="0" w:color="auto"/>
              <w:right w:val="single" w:sz="8" w:space="0" w:color="auto"/>
            </w:tcBorders>
            <w:shd w:val="clear" w:color="000000" w:fill="01FF74"/>
            <w:vAlign w:val="center"/>
            <w:hideMark/>
          </w:tcPr>
          <w:p w14:paraId="628D6602"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Clearstream</w:t>
            </w:r>
            <w:proofErr w:type="spellEnd"/>
          </w:p>
        </w:tc>
        <w:tc>
          <w:tcPr>
            <w:tcW w:w="1428" w:type="dxa"/>
            <w:tcBorders>
              <w:top w:val="nil"/>
              <w:left w:val="nil"/>
              <w:bottom w:val="single" w:sz="8" w:space="0" w:color="auto"/>
              <w:right w:val="single" w:sz="8" w:space="0" w:color="auto"/>
            </w:tcBorders>
            <w:shd w:val="clear" w:color="000000" w:fill="01FF74"/>
            <w:vAlign w:val="center"/>
            <w:hideMark/>
          </w:tcPr>
          <w:p w14:paraId="658F40DA"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2038C099" w14:textId="77777777" w:rsidTr="00FA651A">
        <w:trPr>
          <w:trHeight w:val="330"/>
        </w:trPr>
        <w:tc>
          <w:tcPr>
            <w:tcW w:w="1120" w:type="dxa"/>
            <w:tcBorders>
              <w:top w:val="nil"/>
              <w:left w:val="nil"/>
              <w:bottom w:val="nil"/>
              <w:right w:val="nil"/>
            </w:tcBorders>
            <w:shd w:val="clear" w:color="auto" w:fill="auto"/>
            <w:noWrap/>
            <w:vAlign w:val="bottom"/>
            <w:hideMark/>
          </w:tcPr>
          <w:p w14:paraId="7F5EB5C9"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Co-chair</w:t>
            </w: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6F70EBAF"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SG</w:t>
            </w:r>
          </w:p>
        </w:tc>
        <w:tc>
          <w:tcPr>
            <w:tcW w:w="567" w:type="dxa"/>
            <w:tcBorders>
              <w:top w:val="nil"/>
              <w:left w:val="nil"/>
              <w:bottom w:val="single" w:sz="8" w:space="0" w:color="auto"/>
              <w:right w:val="single" w:sz="8" w:space="0" w:color="auto"/>
            </w:tcBorders>
            <w:shd w:val="clear" w:color="000000" w:fill="01FF74"/>
            <w:vAlign w:val="center"/>
            <w:hideMark/>
          </w:tcPr>
          <w:p w14:paraId="5A0E889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000000" w:fill="01FF74"/>
            <w:vAlign w:val="center"/>
            <w:hideMark/>
          </w:tcPr>
          <w:p w14:paraId="7A9AF7F9"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Jyi-Chen</w:t>
            </w:r>
          </w:p>
        </w:tc>
        <w:tc>
          <w:tcPr>
            <w:tcW w:w="1577" w:type="dxa"/>
            <w:tcBorders>
              <w:top w:val="nil"/>
              <w:left w:val="nil"/>
              <w:bottom w:val="single" w:sz="8" w:space="0" w:color="auto"/>
              <w:right w:val="single" w:sz="8" w:space="0" w:color="auto"/>
            </w:tcBorders>
            <w:shd w:val="clear" w:color="000000" w:fill="01FF74"/>
            <w:vAlign w:val="center"/>
            <w:hideMark/>
          </w:tcPr>
          <w:p w14:paraId="2627F39C"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Chueh</w:t>
            </w:r>
          </w:p>
        </w:tc>
        <w:tc>
          <w:tcPr>
            <w:tcW w:w="2242" w:type="dxa"/>
            <w:tcBorders>
              <w:top w:val="nil"/>
              <w:left w:val="nil"/>
              <w:bottom w:val="single" w:sz="8" w:space="0" w:color="auto"/>
              <w:right w:val="single" w:sz="8" w:space="0" w:color="auto"/>
            </w:tcBorders>
            <w:shd w:val="clear" w:color="000000" w:fill="01FF74"/>
            <w:vAlign w:val="center"/>
            <w:hideMark/>
          </w:tcPr>
          <w:p w14:paraId="65B96DBA"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Standard Chartered</w:t>
            </w:r>
          </w:p>
        </w:tc>
        <w:tc>
          <w:tcPr>
            <w:tcW w:w="1428" w:type="dxa"/>
            <w:tcBorders>
              <w:top w:val="nil"/>
              <w:left w:val="nil"/>
              <w:bottom w:val="single" w:sz="8" w:space="0" w:color="auto"/>
              <w:right w:val="single" w:sz="8" w:space="0" w:color="auto"/>
            </w:tcBorders>
            <w:shd w:val="clear" w:color="000000" w:fill="01FF74"/>
            <w:vAlign w:val="center"/>
            <w:hideMark/>
          </w:tcPr>
          <w:p w14:paraId="15B37268"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497CF8F2" w14:textId="77777777" w:rsidTr="00FA651A">
        <w:trPr>
          <w:trHeight w:val="330"/>
        </w:trPr>
        <w:tc>
          <w:tcPr>
            <w:tcW w:w="1120" w:type="dxa"/>
            <w:tcBorders>
              <w:top w:val="nil"/>
              <w:left w:val="nil"/>
              <w:bottom w:val="nil"/>
              <w:right w:val="nil"/>
            </w:tcBorders>
            <w:shd w:val="clear" w:color="auto" w:fill="auto"/>
            <w:noWrap/>
            <w:vAlign w:val="bottom"/>
            <w:hideMark/>
          </w:tcPr>
          <w:p w14:paraId="3C4165A1"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33E4A63C"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UK &amp; IE</w:t>
            </w:r>
          </w:p>
        </w:tc>
        <w:tc>
          <w:tcPr>
            <w:tcW w:w="567" w:type="dxa"/>
            <w:tcBorders>
              <w:top w:val="nil"/>
              <w:left w:val="nil"/>
              <w:bottom w:val="single" w:sz="8" w:space="0" w:color="auto"/>
              <w:right w:val="single" w:sz="8" w:space="0" w:color="auto"/>
            </w:tcBorders>
            <w:shd w:val="clear" w:color="000000" w:fill="01FF74"/>
            <w:vAlign w:val="center"/>
            <w:hideMark/>
          </w:tcPr>
          <w:p w14:paraId="65CA0FFB"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Mrs</w:t>
            </w:r>
          </w:p>
        </w:tc>
        <w:tc>
          <w:tcPr>
            <w:tcW w:w="1583" w:type="dxa"/>
            <w:tcBorders>
              <w:top w:val="nil"/>
              <w:left w:val="nil"/>
              <w:bottom w:val="single" w:sz="8" w:space="0" w:color="auto"/>
              <w:right w:val="single" w:sz="8" w:space="0" w:color="auto"/>
            </w:tcBorders>
            <w:shd w:val="clear" w:color="000000" w:fill="01FF74"/>
            <w:vAlign w:val="center"/>
            <w:hideMark/>
          </w:tcPr>
          <w:p w14:paraId="13D3F544"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Mariangela</w:t>
            </w:r>
          </w:p>
        </w:tc>
        <w:tc>
          <w:tcPr>
            <w:tcW w:w="1577" w:type="dxa"/>
            <w:tcBorders>
              <w:top w:val="nil"/>
              <w:left w:val="nil"/>
              <w:bottom w:val="single" w:sz="8" w:space="0" w:color="auto"/>
              <w:right w:val="single" w:sz="8" w:space="0" w:color="auto"/>
            </w:tcBorders>
            <w:shd w:val="clear" w:color="000000" w:fill="01FF74"/>
            <w:vAlign w:val="center"/>
            <w:hideMark/>
          </w:tcPr>
          <w:p w14:paraId="4574E674"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Fumagalli</w:t>
            </w:r>
            <w:proofErr w:type="spellEnd"/>
          </w:p>
        </w:tc>
        <w:tc>
          <w:tcPr>
            <w:tcW w:w="2242" w:type="dxa"/>
            <w:tcBorders>
              <w:top w:val="nil"/>
              <w:left w:val="nil"/>
              <w:bottom w:val="single" w:sz="8" w:space="0" w:color="auto"/>
              <w:right w:val="single" w:sz="8" w:space="0" w:color="auto"/>
            </w:tcBorders>
            <w:shd w:val="clear" w:color="000000" w:fill="01FF74"/>
            <w:vAlign w:val="center"/>
            <w:hideMark/>
          </w:tcPr>
          <w:p w14:paraId="30B9C52F"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BNP Paribas</w:t>
            </w:r>
          </w:p>
        </w:tc>
        <w:tc>
          <w:tcPr>
            <w:tcW w:w="1428" w:type="dxa"/>
            <w:tcBorders>
              <w:top w:val="nil"/>
              <w:left w:val="nil"/>
              <w:bottom w:val="single" w:sz="8" w:space="0" w:color="auto"/>
              <w:right w:val="single" w:sz="8" w:space="0" w:color="auto"/>
            </w:tcBorders>
            <w:shd w:val="clear" w:color="000000" w:fill="01FF74"/>
            <w:vAlign w:val="center"/>
            <w:hideMark/>
          </w:tcPr>
          <w:p w14:paraId="61CE7C21"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40C22365" w14:textId="77777777" w:rsidTr="00FA651A">
        <w:trPr>
          <w:trHeight w:val="315"/>
        </w:trPr>
        <w:tc>
          <w:tcPr>
            <w:tcW w:w="1120" w:type="dxa"/>
            <w:tcBorders>
              <w:top w:val="nil"/>
              <w:left w:val="nil"/>
              <w:bottom w:val="nil"/>
              <w:right w:val="nil"/>
            </w:tcBorders>
            <w:shd w:val="clear" w:color="auto" w:fill="auto"/>
            <w:noWrap/>
            <w:vAlign w:val="bottom"/>
            <w:hideMark/>
          </w:tcPr>
          <w:p w14:paraId="5A673886"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44F05A00"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53B98C5D"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104AA7E0"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Paul</w:t>
            </w:r>
          </w:p>
        </w:tc>
        <w:tc>
          <w:tcPr>
            <w:tcW w:w="1577" w:type="dxa"/>
            <w:tcBorders>
              <w:top w:val="nil"/>
              <w:left w:val="nil"/>
              <w:bottom w:val="single" w:sz="8" w:space="0" w:color="auto"/>
              <w:right w:val="single" w:sz="8" w:space="0" w:color="auto"/>
            </w:tcBorders>
            <w:shd w:val="clear" w:color="auto" w:fill="auto"/>
            <w:vAlign w:val="center"/>
            <w:hideMark/>
          </w:tcPr>
          <w:p w14:paraId="1B16F8EB"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Fullam</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5B582038"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FIS Global</w:t>
            </w:r>
          </w:p>
        </w:tc>
        <w:tc>
          <w:tcPr>
            <w:tcW w:w="1428" w:type="dxa"/>
            <w:tcBorders>
              <w:top w:val="nil"/>
              <w:left w:val="nil"/>
              <w:bottom w:val="single" w:sz="8" w:space="0" w:color="auto"/>
              <w:right w:val="single" w:sz="8" w:space="0" w:color="auto"/>
            </w:tcBorders>
            <w:shd w:val="clear" w:color="auto" w:fill="auto"/>
            <w:noWrap/>
            <w:vAlign w:val="bottom"/>
            <w:hideMark/>
          </w:tcPr>
          <w:p w14:paraId="5ED8DDCE"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722E0873" w14:textId="77777777" w:rsidTr="00FA651A">
        <w:trPr>
          <w:trHeight w:val="315"/>
        </w:trPr>
        <w:tc>
          <w:tcPr>
            <w:tcW w:w="1120" w:type="dxa"/>
            <w:tcBorders>
              <w:top w:val="nil"/>
              <w:left w:val="nil"/>
              <w:bottom w:val="nil"/>
              <w:right w:val="nil"/>
            </w:tcBorders>
            <w:shd w:val="clear" w:color="auto" w:fill="auto"/>
            <w:noWrap/>
            <w:vAlign w:val="bottom"/>
            <w:hideMark/>
          </w:tcPr>
          <w:p w14:paraId="72D4A152"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623DB981"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7502674C"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Mrs</w:t>
            </w:r>
          </w:p>
        </w:tc>
        <w:tc>
          <w:tcPr>
            <w:tcW w:w="1583" w:type="dxa"/>
            <w:tcBorders>
              <w:top w:val="nil"/>
              <w:left w:val="nil"/>
              <w:bottom w:val="single" w:sz="8" w:space="0" w:color="auto"/>
              <w:right w:val="single" w:sz="8" w:space="0" w:color="auto"/>
            </w:tcBorders>
            <w:shd w:val="clear" w:color="auto" w:fill="auto"/>
            <w:vAlign w:val="center"/>
            <w:hideMark/>
          </w:tcPr>
          <w:p w14:paraId="7841BBDA"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Vandana</w:t>
            </w:r>
          </w:p>
        </w:tc>
        <w:tc>
          <w:tcPr>
            <w:tcW w:w="1577" w:type="dxa"/>
            <w:tcBorders>
              <w:top w:val="nil"/>
              <w:left w:val="nil"/>
              <w:bottom w:val="single" w:sz="8" w:space="0" w:color="auto"/>
              <w:right w:val="single" w:sz="8" w:space="0" w:color="auto"/>
            </w:tcBorders>
            <w:shd w:val="clear" w:color="auto" w:fill="auto"/>
            <w:vAlign w:val="center"/>
            <w:hideMark/>
          </w:tcPr>
          <w:p w14:paraId="0CD0941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Pasricha</w:t>
            </w:r>
          </w:p>
        </w:tc>
        <w:tc>
          <w:tcPr>
            <w:tcW w:w="2242" w:type="dxa"/>
            <w:tcBorders>
              <w:top w:val="nil"/>
              <w:left w:val="nil"/>
              <w:bottom w:val="single" w:sz="8" w:space="0" w:color="auto"/>
              <w:right w:val="single" w:sz="8" w:space="0" w:color="auto"/>
            </w:tcBorders>
            <w:shd w:val="clear" w:color="auto" w:fill="auto"/>
            <w:vAlign w:val="center"/>
            <w:hideMark/>
          </w:tcPr>
          <w:p w14:paraId="38CE97AA"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BBH</w:t>
            </w:r>
          </w:p>
        </w:tc>
        <w:tc>
          <w:tcPr>
            <w:tcW w:w="1428" w:type="dxa"/>
            <w:tcBorders>
              <w:top w:val="nil"/>
              <w:left w:val="nil"/>
              <w:bottom w:val="single" w:sz="8" w:space="0" w:color="auto"/>
              <w:right w:val="single" w:sz="8" w:space="0" w:color="auto"/>
            </w:tcBorders>
            <w:shd w:val="clear" w:color="auto" w:fill="auto"/>
            <w:noWrap/>
            <w:vAlign w:val="bottom"/>
            <w:hideMark/>
          </w:tcPr>
          <w:p w14:paraId="689D3603"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4142435B" w14:textId="77777777" w:rsidTr="00FA651A">
        <w:trPr>
          <w:trHeight w:val="330"/>
        </w:trPr>
        <w:tc>
          <w:tcPr>
            <w:tcW w:w="1120" w:type="dxa"/>
            <w:tcBorders>
              <w:top w:val="nil"/>
              <w:left w:val="nil"/>
              <w:bottom w:val="nil"/>
              <w:right w:val="nil"/>
            </w:tcBorders>
            <w:shd w:val="clear" w:color="auto" w:fill="auto"/>
            <w:noWrap/>
            <w:vAlign w:val="bottom"/>
            <w:hideMark/>
          </w:tcPr>
          <w:p w14:paraId="6B070B2D"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0844B0AB"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000000" w:fill="01FF74"/>
            <w:vAlign w:val="center"/>
            <w:hideMark/>
          </w:tcPr>
          <w:p w14:paraId="4E3A323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Mrs</w:t>
            </w:r>
          </w:p>
        </w:tc>
        <w:tc>
          <w:tcPr>
            <w:tcW w:w="1583" w:type="dxa"/>
            <w:tcBorders>
              <w:top w:val="nil"/>
              <w:left w:val="nil"/>
              <w:bottom w:val="single" w:sz="8" w:space="0" w:color="auto"/>
              <w:right w:val="single" w:sz="8" w:space="0" w:color="auto"/>
            </w:tcBorders>
            <w:shd w:val="clear" w:color="000000" w:fill="01FF74"/>
            <w:vAlign w:val="center"/>
            <w:hideMark/>
          </w:tcPr>
          <w:p w14:paraId="29A53442"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Elizabeth</w:t>
            </w:r>
          </w:p>
        </w:tc>
        <w:tc>
          <w:tcPr>
            <w:tcW w:w="1577" w:type="dxa"/>
            <w:tcBorders>
              <w:top w:val="nil"/>
              <w:left w:val="nil"/>
              <w:bottom w:val="single" w:sz="8" w:space="0" w:color="auto"/>
              <w:right w:val="single" w:sz="8" w:space="0" w:color="auto"/>
            </w:tcBorders>
            <w:shd w:val="clear" w:color="000000" w:fill="01FF74"/>
            <w:vAlign w:val="center"/>
            <w:hideMark/>
          </w:tcPr>
          <w:p w14:paraId="41D29E5E"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Lanfear</w:t>
            </w:r>
          </w:p>
        </w:tc>
        <w:tc>
          <w:tcPr>
            <w:tcW w:w="2242" w:type="dxa"/>
            <w:tcBorders>
              <w:top w:val="nil"/>
              <w:left w:val="nil"/>
              <w:bottom w:val="single" w:sz="8" w:space="0" w:color="auto"/>
              <w:right w:val="single" w:sz="8" w:space="0" w:color="auto"/>
            </w:tcBorders>
            <w:shd w:val="clear" w:color="000000" w:fill="01FF74"/>
            <w:vAlign w:val="center"/>
            <w:hideMark/>
          </w:tcPr>
          <w:p w14:paraId="4812668C"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BBH</w:t>
            </w:r>
          </w:p>
        </w:tc>
        <w:tc>
          <w:tcPr>
            <w:tcW w:w="1428" w:type="dxa"/>
            <w:tcBorders>
              <w:top w:val="nil"/>
              <w:left w:val="nil"/>
              <w:bottom w:val="single" w:sz="8" w:space="0" w:color="auto"/>
              <w:right w:val="single" w:sz="8" w:space="0" w:color="auto"/>
            </w:tcBorders>
            <w:shd w:val="clear" w:color="000000" w:fill="01FF74"/>
            <w:vAlign w:val="center"/>
            <w:hideMark/>
          </w:tcPr>
          <w:p w14:paraId="04F4E001"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14538CF7" w14:textId="77777777" w:rsidTr="00FA651A">
        <w:trPr>
          <w:trHeight w:val="315"/>
        </w:trPr>
        <w:tc>
          <w:tcPr>
            <w:tcW w:w="1120" w:type="dxa"/>
            <w:tcBorders>
              <w:top w:val="nil"/>
              <w:left w:val="nil"/>
              <w:bottom w:val="nil"/>
              <w:right w:val="nil"/>
            </w:tcBorders>
            <w:shd w:val="clear" w:color="auto" w:fill="auto"/>
            <w:noWrap/>
            <w:vAlign w:val="bottom"/>
            <w:hideMark/>
          </w:tcPr>
          <w:p w14:paraId="261ECE5B"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06DF39CD"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3CB91E8D"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24D5E017"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Caleb</w:t>
            </w:r>
          </w:p>
        </w:tc>
        <w:tc>
          <w:tcPr>
            <w:tcW w:w="1577" w:type="dxa"/>
            <w:tcBorders>
              <w:top w:val="nil"/>
              <w:left w:val="nil"/>
              <w:bottom w:val="single" w:sz="8" w:space="0" w:color="auto"/>
              <w:right w:val="single" w:sz="8" w:space="0" w:color="auto"/>
            </w:tcBorders>
            <w:shd w:val="clear" w:color="auto" w:fill="auto"/>
            <w:vAlign w:val="center"/>
            <w:hideMark/>
          </w:tcPr>
          <w:p w14:paraId="3C02962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Lanfear</w:t>
            </w:r>
          </w:p>
        </w:tc>
        <w:tc>
          <w:tcPr>
            <w:tcW w:w="2242" w:type="dxa"/>
            <w:tcBorders>
              <w:top w:val="nil"/>
              <w:left w:val="nil"/>
              <w:bottom w:val="single" w:sz="8" w:space="0" w:color="auto"/>
              <w:right w:val="single" w:sz="8" w:space="0" w:color="auto"/>
            </w:tcBorders>
            <w:shd w:val="clear" w:color="auto" w:fill="auto"/>
            <w:vAlign w:val="center"/>
            <w:hideMark/>
          </w:tcPr>
          <w:p w14:paraId="4A47B1D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BBH</w:t>
            </w:r>
          </w:p>
        </w:tc>
        <w:tc>
          <w:tcPr>
            <w:tcW w:w="1428" w:type="dxa"/>
            <w:tcBorders>
              <w:top w:val="nil"/>
              <w:left w:val="nil"/>
              <w:bottom w:val="single" w:sz="8" w:space="0" w:color="auto"/>
              <w:right w:val="single" w:sz="8" w:space="0" w:color="auto"/>
            </w:tcBorders>
            <w:shd w:val="clear" w:color="auto" w:fill="auto"/>
            <w:noWrap/>
            <w:vAlign w:val="bottom"/>
            <w:hideMark/>
          </w:tcPr>
          <w:p w14:paraId="3B7F0E4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3CFA27D7" w14:textId="77777777" w:rsidTr="00FA651A">
        <w:trPr>
          <w:trHeight w:val="315"/>
        </w:trPr>
        <w:tc>
          <w:tcPr>
            <w:tcW w:w="1120" w:type="dxa"/>
            <w:tcBorders>
              <w:top w:val="nil"/>
              <w:left w:val="nil"/>
              <w:bottom w:val="nil"/>
              <w:right w:val="nil"/>
            </w:tcBorders>
            <w:shd w:val="clear" w:color="auto" w:fill="auto"/>
            <w:noWrap/>
            <w:vAlign w:val="bottom"/>
            <w:hideMark/>
          </w:tcPr>
          <w:p w14:paraId="6453AB08"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78D540CC"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auto" w:fill="auto"/>
            <w:vAlign w:val="center"/>
            <w:hideMark/>
          </w:tcPr>
          <w:p w14:paraId="2823CBB8"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004B2432"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Ian</w:t>
            </w:r>
          </w:p>
        </w:tc>
        <w:tc>
          <w:tcPr>
            <w:tcW w:w="1577" w:type="dxa"/>
            <w:tcBorders>
              <w:top w:val="nil"/>
              <w:left w:val="nil"/>
              <w:bottom w:val="single" w:sz="8" w:space="0" w:color="auto"/>
              <w:right w:val="single" w:sz="8" w:space="0" w:color="auto"/>
            </w:tcBorders>
            <w:shd w:val="clear" w:color="auto" w:fill="auto"/>
            <w:vAlign w:val="center"/>
            <w:hideMark/>
          </w:tcPr>
          <w:p w14:paraId="5DB8372D"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 xml:space="preserve">De </w:t>
            </w:r>
            <w:proofErr w:type="spellStart"/>
            <w:r w:rsidRPr="004A5979">
              <w:rPr>
                <w:rFonts w:ascii="Calibri" w:hAnsi="Calibri" w:cs="Calibri"/>
                <w:color w:val="000000"/>
                <w:sz w:val="22"/>
                <w:szCs w:val="22"/>
                <w:lang w:val="en-GB" w:eastAsia="zh-CN"/>
              </w:rPr>
              <w:t>Sacia</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7F29AF35"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DTCC</w:t>
            </w:r>
          </w:p>
        </w:tc>
        <w:tc>
          <w:tcPr>
            <w:tcW w:w="1428" w:type="dxa"/>
            <w:tcBorders>
              <w:top w:val="nil"/>
              <w:left w:val="nil"/>
              <w:bottom w:val="single" w:sz="8" w:space="0" w:color="auto"/>
              <w:right w:val="single" w:sz="8" w:space="0" w:color="auto"/>
            </w:tcBorders>
            <w:shd w:val="clear" w:color="auto" w:fill="auto"/>
            <w:noWrap/>
            <w:vAlign w:val="bottom"/>
            <w:hideMark/>
          </w:tcPr>
          <w:p w14:paraId="7D338820"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24D44A06" w14:textId="77777777" w:rsidTr="00FA651A">
        <w:trPr>
          <w:trHeight w:val="330"/>
        </w:trPr>
        <w:tc>
          <w:tcPr>
            <w:tcW w:w="1120" w:type="dxa"/>
            <w:tcBorders>
              <w:top w:val="nil"/>
              <w:left w:val="nil"/>
              <w:bottom w:val="nil"/>
              <w:right w:val="nil"/>
            </w:tcBorders>
            <w:shd w:val="clear" w:color="auto" w:fill="auto"/>
            <w:noWrap/>
            <w:vAlign w:val="bottom"/>
            <w:hideMark/>
          </w:tcPr>
          <w:p w14:paraId="63D73274"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51B773B1"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000000" w:fill="01FF74"/>
            <w:vAlign w:val="center"/>
            <w:hideMark/>
          </w:tcPr>
          <w:p w14:paraId="05DE2831"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000000" w:fill="01FF74"/>
            <w:vAlign w:val="center"/>
            <w:hideMark/>
          </w:tcPr>
          <w:p w14:paraId="36B89FF1"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Steven</w:t>
            </w:r>
          </w:p>
        </w:tc>
        <w:tc>
          <w:tcPr>
            <w:tcW w:w="1577" w:type="dxa"/>
            <w:tcBorders>
              <w:top w:val="nil"/>
              <w:left w:val="nil"/>
              <w:bottom w:val="single" w:sz="8" w:space="0" w:color="auto"/>
              <w:right w:val="single" w:sz="8" w:space="0" w:color="auto"/>
            </w:tcBorders>
            <w:shd w:val="clear" w:color="000000" w:fill="01FF74"/>
            <w:vAlign w:val="center"/>
            <w:hideMark/>
          </w:tcPr>
          <w:p w14:paraId="63DCA69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Sloan</w:t>
            </w:r>
          </w:p>
        </w:tc>
        <w:tc>
          <w:tcPr>
            <w:tcW w:w="2242" w:type="dxa"/>
            <w:tcBorders>
              <w:top w:val="nil"/>
              <w:left w:val="nil"/>
              <w:bottom w:val="single" w:sz="8" w:space="0" w:color="auto"/>
              <w:right w:val="single" w:sz="8" w:space="0" w:color="auto"/>
            </w:tcBorders>
            <w:shd w:val="clear" w:color="000000" w:fill="01FF74"/>
            <w:vAlign w:val="center"/>
            <w:hideMark/>
          </w:tcPr>
          <w:p w14:paraId="22F08225"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DTCC</w:t>
            </w:r>
          </w:p>
        </w:tc>
        <w:tc>
          <w:tcPr>
            <w:tcW w:w="1428" w:type="dxa"/>
            <w:tcBorders>
              <w:top w:val="nil"/>
              <w:left w:val="nil"/>
              <w:bottom w:val="single" w:sz="8" w:space="0" w:color="auto"/>
              <w:right w:val="single" w:sz="8" w:space="0" w:color="auto"/>
            </w:tcBorders>
            <w:shd w:val="clear" w:color="000000" w:fill="01FF74"/>
            <w:vAlign w:val="center"/>
            <w:hideMark/>
          </w:tcPr>
          <w:p w14:paraId="7FBD8640"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30AE03C0" w14:textId="77777777" w:rsidTr="00FA651A">
        <w:trPr>
          <w:trHeight w:val="330"/>
        </w:trPr>
        <w:tc>
          <w:tcPr>
            <w:tcW w:w="1120" w:type="dxa"/>
            <w:tcBorders>
              <w:top w:val="nil"/>
              <w:left w:val="nil"/>
              <w:bottom w:val="nil"/>
              <w:right w:val="nil"/>
            </w:tcBorders>
            <w:shd w:val="clear" w:color="auto" w:fill="auto"/>
            <w:noWrap/>
            <w:vAlign w:val="bottom"/>
            <w:hideMark/>
          </w:tcPr>
          <w:p w14:paraId="7F289CEC"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vAlign w:val="center"/>
            <w:hideMark/>
          </w:tcPr>
          <w:p w14:paraId="5418F448"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US</w:t>
            </w:r>
          </w:p>
        </w:tc>
        <w:tc>
          <w:tcPr>
            <w:tcW w:w="567" w:type="dxa"/>
            <w:tcBorders>
              <w:top w:val="nil"/>
              <w:left w:val="nil"/>
              <w:bottom w:val="single" w:sz="8" w:space="0" w:color="auto"/>
              <w:right w:val="single" w:sz="8" w:space="0" w:color="auto"/>
            </w:tcBorders>
            <w:shd w:val="clear" w:color="000000" w:fill="01FF74"/>
            <w:vAlign w:val="center"/>
            <w:hideMark/>
          </w:tcPr>
          <w:p w14:paraId="5C605362"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000000" w:fill="01FF74"/>
            <w:vAlign w:val="center"/>
            <w:hideMark/>
          </w:tcPr>
          <w:p w14:paraId="766BBFA6"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Greggory</w:t>
            </w:r>
          </w:p>
        </w:tc>
        <w:tc>
          <w:tcPr>
            <w:tcW w:w="1577" w:type="dxa"/>
            <w:tcBorders>
              <w:top w:val="nil"/>
              <w:left w:val="nil"/>
              <w:bottom w:val="single" w:sz="8" w:space="0" w:color="auto"/>
              <w:right w:val="single" w:sz="8" w:space="0" w:color="auto"/>
            </w:tcBorders>
            <w:shd w:val="clear" w:color="000000" w:fill="01FF74"/>
            <w:vAlign w:val="center"/>
            <w:hideMark/>
          </w:tcPr>
          <w:p w14:paraId="1EA43679"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Lewis</w:t>
            </w:r>
          </w:p>
        </w:tc>
        <w:tc>
          <w:tcPr>
            <w:tcW w:w="2242" w:type="dxa"/>
            <w:tcBorders>
              <w:top w:val="nil"/>
              <w:left w:val="nil"/>
              <w:bottom w:val="single" w:sz="8" w:space="0" w:color="auto"/>
              <w:right w:val="single" w:sz="8" w:space="0" w:color="auto"/>
            </w:tcBorders>
            <w:shd w:val="clear" w:color="000000" w:fill="01FF74"/>
            <w:vAlign w:val="center"/>
            <w:hideMark/>
          </w:tcPr>
          <w:p w14:paraId="1CCA7A7A"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GlobeTax</w:t>
            </w:r>
            <w:proofErr w:type="spellEnd"/>
          </w:p>
        </w:tc>
        <w:tc>
          <w:tcPr>
            <w:tcW w:w="1428" w:type="dxa"/>
            <w:tcBorders>
              <w:top w:val="nil"/>
              <w:left w:val="nil"/>
              <w:bottom w:val="single" w:sz="8" w:space="0" w:color="auto"/>
              <w:right w:val="single" w:sz="8" w:space="0" w:color="auto"/>
            </w:tcBorders>
            <w:shd w:val="clear" w:color="000000" w:fill="01FF74"/>
            <w:vAlign w:val="center"/>
            <w:hideMark/>
          </w:tcPr>
          <w:p w14:paraId="1EC96ED7"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224DFF25" w14:textId="77777777" w:rsidTr="00FA651A">
        <w:trPr>
          <w:trHeight w:val="315"/>
        </w:trPr>
        <w:tc>
          <w:tcPr>
            <w:tcW w:w="1120" w:type="dxa"/>
            <w:tcBorders>
              <w:top w:val="nil"/>
              <w:left w:val="nil"/>
              <w:bottom w:val="nil"/>
              <w:right w:val="nil"/>
            </w:tcBorders>
            <w:shd w:val="clear" w:color="auto" w:fill="auto"/>
            <w:noWrap/>
            <w:vAlign w:val="bottom"/>
            <w:hideMark/>
          </w:tcPr>
          <w:p w14:paraId="1ED2A7D5"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127D4A02"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XS</w:t>
            </w:r>
          </w:p>
        </w:tc>
        <w:tc>
          <w:tcPr>
            <w:tcW w:w="567" w:type="dxa"/>
            <w:tcBorders>
              <w:top w:val="nil"/>
              <w:left w:val="nil"/>
              <w:bottom w:val="single" w:sz="8" w:space="0" w:color="auto"/>
              <w:right w:val="single" w:sz="8" w:space="0" w:color="auto"/>
            </w:tcBorders>
            <w:shd w:val="clear" w:color="auto" w:fill="auto"/>
            <w:vAlign w:val="center"/>
            <w:hideMark/>
          </w:tcPr>
          <w:p w14:paraId="6B8CE7F8"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17AC0C9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Jean-Paul</w:t>
            </w:r>
          </w:p>
        </w:tc>
        <w:tc>
          <w:tcPr>
            <w:tcW w:w="1577" w:type="dxa"/>
            <w:tcBorders>
              <w:top w:val="nil"/>
              <w:left w:val="nil"/>
              <w:bottom w:val="single" w:sz="8" w:space="0" w:color="auto"/>
              <w:right w:val="single" w:sz="8" w:space="0" w:color="auto"/>
            </w:tcBorders>
            <w:shd w:val="clear" w:color="auto" w:fill="auto"/>
            <w:vAlign w:val="center"/>
            <w:hideMark/>
          </w:tcPr>
          <w:p w14:paraId="3E6C655C"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Lambotte</w:t>
            </w:r>
            <w:proofErr w:type="spellEnd"/>
          </w:p>
        </w:tc>
        <w:tc>
          <w:tcPr>
            <w:tcW w:w="2242" w:type="dxa"/>
            <w:tcBorders>
              <w:top w:val="nil"/>
              <w:left w:val="nil"/>
              <w:bottom w:val="single" w:sz="8" w:space="0" w:color="auto"/>
              <w:right w:val="single" w:sz="8" w:space="0" w:color="auto"/>
            </w:tcBorders>
            <w:shd w:val="clear" w:color="auto" w:fill="auto"/>
            <w:vAlign w:val="center"/>
            <w:hideMark/>
          </w:tcPr>
          <w:p w14:paraId="5F794619"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Euroclear</w:t>
            </w:r>
          </w:p>
        </w:tc>
        <w:tc>
          <w:tcPr>
            <w:tcW w:w="1428" w:type="dxa"/>
            <w:tcBorders>
              <w:top w:val="nil"/>
              <w:left w:val="nil"/>
              <w:bottom w:val="single" w:sz="8" w:space="0" w:color="auto"/>
              <w:right w:val="single" w:sz="8" w:space="0" w:color="auto"/>
            </w:tcBorders>
            <w:shd w:val="clear" w:color="auto" w:fill="auto"/>
            <w:noWrap/>
            <w:vAlign w:val="bottom"/>
            <w:hideMark/>
          </w:tcPr>
          <w:p w14:paraId="4A831874"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32E29487" w14:textId="77777777" w:rsidTr="00FA651A">
        <w:trPr>
          <w:trHeight w:val="330"/>
        </w:trPr>
        <w:tc>
          <w:tcPr>
            <w:tcW w:w="1120" w:type="dxa"/>
            <w:tcBorders>
              <w:top w:val="nil"/>
              <w:left w:val="nil"/>
              <w:bottom w:val="nil"/>
              <w:right w:val="nil"/>
            </w:tcBorders>
            <w:shd w:val="clear" w:color="auto" w:fill="auto"/>
            <w:noWrap/>
            <w:vAlign w:val="center"/>
            <w:hideMark/>
          </w:tcPr>
          <w:p w14:paraId="25420296"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000000" w:fill="01FF74"/>
            <w:noWrap/>
            <w:vAlign w:val="center"/>
            <w:hideMark/>
          </w:tcPr>
          <w:p w14:paraId="706A0DA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XS</w:t>
            </w:r>
          </w:p>
        </w:tc>
        <w:tc>
          <w:tcPr>
            <w:tcW w:w="567" w:type="dxa"/>
            <w:tcBorders>
              <w:top w:val="nil"/>
              <w:left w:val="nil"/>
              <w:bottom w:val="single" w:sz="8" w:space="0" w:color="auto"/>
              <w:right w:val="single" w:sz="8" w:space="0" w:color="auto"/>
            </w:tcBorders>
            <w:shd w:val="clear" w:color="000000" w:fill="01FF74"/>
            <w:noWrap/>
            <w:vAlign w:val="center"/>
            <w:hideMark/>
          </w:tcPr>
          <w:p w14:paraId="2F9AC5B7"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000000" w:fill="01FF74"/>
            <w:vAlign w:val="center"/>
            <w:hideMark/>
          </w:tcPr>
          <w:p w14:paraId="5F9FD5AB"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Eric</w:t>
            </w:r>
          </w:p>
        </w:tc>
        <w:tc>
          <w:tcPr>
            <w:tcW w:w="1577" w:type="dxa"/>
            <w:tcBorders>
              <w:top w:val="nil"/>
              <w:left w:val="nil"/>
              <w:bottom w:val="single" w:sz="8" w:space="0" w:color="auto"/>
              <w:right w:val="single" w:sz="8" w:space="0" w:color="auto"/>
            </w:tcBorders>
            <w:shd w:val="clear" w:color="000000" w:fill="01FF74"/>
            <w:noWrap/>
            <w:vAlign w:val="center"/>
            <w:hideMark/>
          </w:tcPr>
          <w:p w14:paraId="11D4F94F"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Marega</w:t>
            </w:r>
          </w:p>
        </w:tc>
        <w:tc>
          <w:tcPr>
            <w:tcW w:w="2242" w:type="dxa"/>
            <w:tcBorders>
              <w:top w:val="nil"/>
              <w:left w:val="nil"/>
              <w:bottom w:val="single" w:sz="8" w:space="0" w:color="auto"/>
              <w:right w:val="single" w:sz="8" w:space="0" w:color="auto"/>
            </w:tcBorders>
            <w:shd w:val="clear" w:color="000000" w:fill="01FF74"/>
            <w:vAlign w:val="center"/>
            <w:hideMark/>
          </w:tcPr>
          <w:p w14:paraId="326D0CAA"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Euroclear</w:t>
            </w:r>
          </w:p>
        </w:tc>
        <w:tc>
          <w:tcPr>
            <w:tcW w:w="1428" w:type="dxa"/>
            <w:tcBorders>
              <w:top w:val="nil"/>
              <w:left w:val="nil"/>
              <w:bottom w:val="single" w:sz="8" w:space="0" w:color="auto"/>
              <w:right w:val="single" w:sz="8" w:space="0" w:color="auto"/>
            </w:tcBorders>
            <w:shd w:val="clear" w:color="000000" w:fill="01FF74"/>
            <w:vAlign w:val="center"/>
            <w:hideMark/>
          </w:tcPr>
          <w:p w14:paraId="1C8B9BBE" w14:textId="77777777" w:rsidR="004A5979" w:rsidRPr="004A5979" w:rsidRDefault="004A5979" w:rsidP="004A5979">
            <w:pPr>
              <w:spacing w:after="0"/>
              <w:jc w:val="center"/>
              <w:rPr>
                <w:rFonts w:ascii="Webdings" w:hAnsi="Webdings" w:cs="Calibri"/>
                <w:color w:val="000000"/>
                <w:sz w:val="22"/>
                <w:szCs w:val="22"/>
                <w:lang w:val="en-GB" w:eastAsia="zh-CN"/>
              </w:rPr>
            </w:pPr>
            <w:r w:rsidRPr="004A5979">
              <w:rPr>
                <w:rFonts w:ascii="Webdings" w:hAnsi="Webdings" w:cs="Calibri"/>
                <w:color w:val="000000"/>
                <w:sz w:val="22"/>
                <w:szCs w:val="22"/>
                <w:lang w:val="en-GB" w:eastAsia="zh-CN"/>
              </w:rPr>
              <w:t>a</w:t>
            </w:r>
          </w:p>
        </w:tc>
      </w:tr>
      <w:tr w:rsidR="004A5979" w:rsidRPr="004A5979" w14:paraId="33E66EA6" w14:textId="77777777" w:rsidTr="00FA651A">
        <w:trPr>
          <w:trHeight w:val="315"/>
        </w:trPr>
        <w:tc>
          <w:tcPr>
            <w:tcW w:w="1120" w:type="dxa"/>
            <w:tcBorders>
              <w:top w:val="nil"/>
              <w:left w:val="nil"/>
              <w:bottom w:val="nil"/>
              <w:right w:val="nil"/>
            </w:tcBorders>
            <w:shd w:val="clear" w:color="auto" w:fill="auto"/>
            <w:noWrap/>
            <w:vAlign w:val="bottom"/>
            <w:hideMark/>
          </w:tcPr>
          <w:p w14:paraId="3968C3FA" w14:textId="77777777" w:rsidR="004A5979" w:rsidRPr="004A5979" w:rsidRDefault="004A5979" w:rsidP="004A5979">
            <w:pPr>
              <w:spacing w:after="0"/>
              <w:jc w:val="center"/>
              <w:rPr>
                <w:rFonts w:ascii="Webdings" w:hAnsi="Webdings"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03332BDC"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ZA</w:t>
            </w:r>
          </w:p>
        </w:tc>
        <w:tc>
          <w:tcPr>
            <w:tcW w:w="567" w:type="dxa"/>
            <w:tcBorders>
              <w:top w:val="nil"/>
              <w:left w:val="nil"/>
              <w:bottom w:val="single" w:sz="8" w:space="0" w:color="auto"/>
              <w:right w:val="single" w:sz="8" w:space="0" w:color="auto"/>
            </w:tcBorders>
            <w:shd w:val="clear" w:color="auto" w:fill="auto"/>
            <w:vAlign w:val="center"/>
            <w:hideMark/>
          </w:tcPr>
          <w:p w14:paraId="5D2648D3"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20C49F72"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Sanjeev</w:t>
            </w:r>
          </w:p>
        </w:tc>
        <w:tc>
          <w:tcPr>
            <w:tcW w:w="1577" w:type="dxa"/>
            <w:tcBorders>
              <w:top w:val="nil"/>
              <w:left w:val="nil"/>
              <w:bottom w:val="single" w:sz="8" w:space="0" w:color="auto"/>
              <w:right w:val="single" w:sz="8" w:space="0" w:color="auto"/>
            </w:tcBorders>
            <w:shd w:val="clear" w:color="auto" w:fill="auto"/>
            <w:vAlign w:val="center"/>
            <w:hideMark/>
          </w:tcPr>
          <w:p w14:paraId="3225AC43"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Jayram</w:t>
            </w:r>
          </w:p>
        </w:tc>
        <w:tc>
          <w:tcPr>
            <w:tcW w:w="2242" w:type="dxa"/>
            <w:tcBorders>
              <w:top w:val="nil"/>
              <w:left w:val="nil"/>
              <w:bottom w:val="single" w:sz="8" w:space="0" w:color="auto"/>
              <w:right w:val="single" w:sz="8" w:space="0" w:color="auto"/>
            </w:tcBorders>
            <w:shd w:val="clear" w:color="auto" w:fill="auto"/>
            <w:vAlign w:val="center"/>
            <w:hideMark/>
          </w:tcPr>
          <w:p w14:paraId="6A4E43A1"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Rand Merchant Bank</w:t>
            </w:r>
          </w:p>
        </w:tc>
        <w:tc>
          <w:tcPr>
            <w:tcW w:w="1428" w:type="dxa"/>
            <w:tcBorders>
              <w:top w:val="nil"/>
              <w:left w:val="nil"/>
              <w:bottom w:val="single" w:sz="8" w:space="0" w:color="auto"/>
              <w:right w:val="single" w:sz="8" w:space="0" w:color="auto"/>
            </w:tcBorders>
            <w:shd w:val="clear" w:color="auto" w:fill="auto"/>
            <w:noWrap/>
            <w:vAlign w:val="bottom"/>
            <w:hideMark/>
          </w:tcPr>
          <w:p w14:paraId="578567A8"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767D2A1D" w14:textId="77777777" w:rsidTr="00FA651A">
        <w:trPr>
          <w:trHeight w:val="315"/>
        </w:trPr>
        <w:tc>
          <w:tcPr>
            <w:tcW w:w="1120" w:type="dxa"/>
            <w:tcBorders>
              <w:top w:val="nil"/>
              <w:left w:val="nil"/>
              <w:bottom w:val="nil"/>
              <w:right w:val="nil"/>
            </w:tcBorders>
            <w:shd w:val="clear" w:color="auto" w:fill="auto"/>
            <w:noWrap/>
            <w:vAlign w:val="bottom"/>
            <w:hideMark/>
          </w:tcPr>
          <w:p w14:paraId="2A2FAF3F"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0262CEAB"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ZA</w:t>
            </w:r>
          </w:p>
        </w:tc>
        <w:tc>
          <w:tcPr>
            <w:tcW w:w="567" w:type="dxa"/>
            <w:tcBorders>
              <w:top w:val="nil"/>
              <w:left w:val="nil"/>
              <w:bottom w:val="single" w:sz="8" w:space="0" w:color="auto"/>
              <w:right w:val="single" w:sz="8" w:space="0" w:color="auto"/>
            </w:tcBorders>
            <w:shd w:val="clear" w:color="auto" w:fill="auto"/>
            <w:vAlign w:val="center"/>
            <w:hideMark/>
          </w:tcPr>
          <w:p w14:paraId="239F343D"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2DA3D1E5"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Dale</w:t>
            </w:r>
          </w:p>
        </w:tc>
        <w:tc>
          <w:tcPr>
            <w:tcW w:w="1577" w:type="dxa"/>
            <w:tcBorders>
              <w:top w:val="nil"/>
              <w:left w:val="nil"/>
              <w:bottom w:val="single" w:sz="8" w:space="0" w:color="auto"/>
              <w:right w:val="single" w:sz="8" w:space="0" w:color="auto"/>
            </w:tcBorders>
            <w:shd w:val="clear" w:color="auto" w:fill="auto"/>
            <w:vAlign w:val="center"/>
            <w:hideMark/>
          </w:tcPr>
          <w:p w14:paraId="00B7FE7C"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Van Rayne</w:t>
            </w:r>
          </w:p>
        </w:tc>
        <w:tc>
          <w:tcPr>
            <w:tcW w:w="2242" w:type="dxa"/>
            <w:tcBorders>
              <w:top w:val="nil"/>
              <w:left w:val="nil"/>
              <w:bottom w:val="single" w:sz="8" w:space="0" w:color="auto"/>
              <w:right w:val="single" w:sz="8" w:space="0" w:color="auto"/>
            </w:tcBorders>
            <w:shd w:val="clear" w:color="auto" w:fill="auto"/>
            <w:vAlign w:val="center"/>
            <w:hideMark/>
          </w:tcPr>
          <w:p w14:paraId="2DAA88AE"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Rand Merchant Bank</w:t>
            </w:r>
          </w:p>
        </w:tc>
        <w:tc>
          <w:tcPr>
            <w:tcW w:w="1428" w:type="dxa"/>
            <w:tcBorders>
              <w:top w:val="nil"/>
              <w:left w:val="nil"/>
              <w:bottom w:val="single" w:sz="8" w:space="0" w:color="auto"/>
              <w:right w:val="single" w:sz="8" w:space="0" w:color="auto"/>
            </w:tcBorders>
            <w:shd w:val="clear" w:color="auto" w:fill="auto"/>
            <w:noWrap/>
            <w:vAlign w:val="bottom"/>
            <w:hideMark/>
          </w:tcPr>
          <w:p w14:paraId="024A4672"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r w:rsidR="004A5979" w:rsidRPr="004A5979" w14:paraId="664D7D23" w14:textId="77777777" w:rsidTr="00FA651A">
        <w:trPr>
          <w:trHeight w:val="315"/>
        </w:trPr>
        <w:tc>
          <w:tcPr>
            <w:tcW w:w="1120" w:type="dxa"/>
            <w:tcBorders>
              <w:top w:val="nil"/>
              <w:left w:val="nil"/>
              <w:bottom w:val="nil"/>
              <w:right w:val="nil"/>
            </w:tcBorders>
            <w:shd w:val="clear" w:color="auto" w:fill="auto"/>
            <w:noWrap/>
            <w:vAlign w:val="bottom"/>
            <w:hideMark/>
          </w:tcPr>
          <w:p w14:paraId="3AC5808E" w14:textId="77777777" w:rsidR="004A5979" w:rsidRPr="004A5979" w:rsidRDefault="004A5979" w:rsidP="004A5979">
            <w:pPr>
              <w:spacing w:after="0"/>
              <w:jc w:val="center"/>
              <w:rPr>
                <w:rFonts w:ascii="Calibri" w:hAnsi="Calibri" w:cs="Calibri"/>
                <w:color w:val="000000"/>
                <w:sz w:val="22"/>
                <w:szCs w:val="22"/>
                <w:lang w:val="en-GB" w:eastAsia="zh-CN"/>
              </w:rPr>
            </w:pPr>
          </w:p>
        </w:tc>
        <w:tc>
          <w:tcPr>
            <w:tcW w:w="983" w:type="dxa"/>
            <w:tcBorders>
              <w:top w:val="nil"/>
              <w:left w:val="single" w:sz="8" w:space="0" w:color="auto"/>
              <w:bottom w:val="single" w:sz="8" w:space="0" w:color="auto"/>
              <w:right w:val="single" w:sz="8" w:space="0" w:color="auto"/>
            </w:tcBorders>
            <w:shd w:val="clear" w:color="auto" w:fill="auto"/>
            <w:vAlign w:val="center"/>
            <w:hideMark/>
          </w:tcPr>
          <w:p w14:paraId="45E18AA6"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ZA</w:t>
            </w:r>
          </w:p>
        </w:tc>
        <w:tc>
          <w:tcPr>
            <w:tcW w:w="567" w:type="dxa"/>
            <w:tcBorders>
              <w:top w:val="nil"/>
              <w:left w:val="nil"/>
              <w:bottom w:val="single" w:sz="8" w:space="0" w:color="auto"/>
              <w:right w:val="single" w:sz="8" w:space="0" w:color="auto"/>
            </w:tcBorders>
            <w:shd w:val="clear" w:color="auto" w:fill="auto"/>
            <w:vAlign w:val="center"/>
            <w:hideMark/>
          </w:tcPr>
          <w:p w14:paraId="7890CB95"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Mr</w:t>
            </w:r>
          </w:p>
        </w:tc>
        <w:tc>
          <w:tcPr>
            <w:tcW w:w="1583" w:type="dxa"/>
            <w:tcBorders>
              <w:top w:val="nil"/>
              <w:left w:val="nil"/>
              <w:bottom w:val="single" w:sz="8" w:space="0" w:color="auto"/>
              <w:right w:val="single" w:sz="8" w:space="0" w:color="auto"/>
            </w:tcBorders>
            <w:shd w:val="clear" w:color="auto" w:fill="auto"/>
            <w:vAlign w:val="center"/>
            <w:hideMark/>
          </w:tcPr>
          <w:p w14:paraId="65DF05B1" w14:textId="77777777" w:rsidR="004A5979" w:rsidRPr="004A5979" w:rsidRDefault="004A5979" w:rsidP="004A5979">
            <w:pPr>
              <w:spacing w:after="0"/>
              <w:rPr>
                <w:rFonts w:ascii="Calibri" w:hAnsi="Calibri" w:cs="Calibri"/>
                <w:color w:val="000000"/>
                <w:sz w:val="22"/>
                <w:szCs w:val="22"/>
                <w:lang w:val="en-GB" w:eastAsia="zh-CN"/>
              </w:rPr>
            </w:pPr>
            <w:proofErr w:type="spellStart"/>
            <w:r w:rsidRPr="004A5979">
              <w:rPr>
                <w:rFonts w:ascii="Calibri" w:hAnsi="Calibri" w:cs="Calibri"/>
                <w:color w:val="000000"/>
                <w:sz w:val="22"/>
                <w:szCs w:val="22"/>
                <w:lang w:val="en-GB" w:eastAsia="zh-CN"/>
              </w:rPr>
              <w:t>Riian</w:t>
            </w:r>
            <w:proofErr w:type="spellEnd"/>
            <w:r w:rsidRPr="004A5979">
              <w:rPr>
                <w:rFonts w:ascii="Calibri" w:hAnsi="Calibri" w:cs="Calibri"/>
                <w:color w:val="000000"/>
                <w:sz w:val="22"/>
                <w:szCs w:val="22"/>
                <w:lang w:val="en-GB" w:eastAsia="zh-CN"/>
              </w:rPr>
              <w:t xml:space="preserve"> </w:t>
            </w:r>
          </w:p>
        </w:tc>
        <w:tc>
          <w:tcPr>
            <w:tcW w:w="1577" w:type="dxa"/>
            <w:tcBorders>
              <w:top w:val="nil"/>
              <w:left w:val="nil"/>
              <w:bottom w:val="single" w:sz="8" w:space="0" w:color="auto"/>
              <w:right w:val="single" w:sz="8" w:space="0" w:color="auto"/>
            </w:tcBorders>
            <w:shd w:val="clear" w:color="auto" w:fill="auto"/>
            <w:vAlign w:val="center"/>
            <w:hideMark/>
          </w:tcPr>
          <w:p w14:paraId="37EA4D2A"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de Klerk</w:t>
            </w:r>
          </w:p>
        </w:tc>
        <w:tc>
          <w:tcPr>
            <w:tcW w:w="2242" w:type="dxa"/>
            <w:tcBorders>
              <w:top w:val="nil"/>
              <w:left w:val="nil"/>
              <w:bottom w:val="single" w:sz="8" w:space="0" w:color="auto"/>
              <w:right w:val="single" w:sz="8" w:space="0" w:color="auto"/>
            </w:tcBorders>
            <w:shd w:val="clear" w:color="auto" w:fill="auto"/>
            <w:vAlign w:val="center"/>
            <w:hideMark/>
          </w:tcPr>
          <w:p w14:paraId="329F1362" w14:textId="77777777" w:rsidR="004A5979" w:rsidRPr="004A5979" w:rsidRDefault="004A5979" w:rsidP="004A5979">
            <w:pPr>
              <w:spacing w:after="0"/>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Rand Merchant Bank</w:t>
            </w:r>
          </w:p>
        </w:tc>
        <w:tc>
          <w:tcPr>
            <w:tcW w:w="1428" w:type="dxa"/>
            <w:tcBorders>
              <w:top w:val="nil"/>
              <w:left w:val="nil"/>
              <w:bottom w:val="single" w:sz="8" w:space="0" w:color="auto"/>
              <w:right w:val="single" w:sz="8" w:space="0" w:color="auto"/>
            </w:tcBorders>
            <w:shd w:val="clear" w:color="auto" w:fill="auto"/>
            <w:noWrap/>
            <w:vAlign w:val="bottom"/>
            <w:hideMark/>
          </w:tcPr>
          <w:p w14:paraId="1BB76940" w14:textId="77777777" w:rsidR="004A5979" w:rsidRPr="004A5979" w:rsidRDefault="004A5979" w:rsidP="004A5979">
            <w:pPr>
              <w:spacing w:after="0"/>
              <w:jc w:val="center"/>
              <w:rPr>
                <w:rFonts w:ascii="Calibri" w:hAnsi="Calibri" w:cs="Calibri"/>
                <w:color w:val="000000"/>
                <w:sz w:val="22"/>
                <w:szCs w:val="22"/>
                <w:lang w:val="en-GB" w:eastAsia="zh-CN"/>
              </w:rPr>
            </w:pPr>
            <w:r w:rsidRPr="004A5979">
              <w:rPr>
                <w:rFonts w:ascii="Calibri" w:hAnsi="Calibri" w:cs="Calibri"/>
                <w:color w:val="000000"/>
                <w:sz w:val="22"/>
                <w:szCs w:val="22"/>
                <w:lang w:val="en-GB" w:eastAsia="zh-CN"/>
              </w:rPr>
              <w:t>Excused</w:t>
            </w:r>
          </w:p>
        </w:tc>
      </w:tr>
    </w:tbl>
    <w:p w14:paraId="396AB517" w14:textId="32311DD5" w:rsidR="007C0CF6" w:rsidRDefault="007C0CF6" w:rsidP="007C0CF6">
      <w:pPr>
        <w:rPr>
          <w:lang w:eastAsia="en-GB"/>
        </w:rPr>
      </w:pPr>
    </w:p>
    <w:p w14:paraId="3A316817" w14:textId="2A76B5A4" w:rsidR="00104B81" w:rsidRDefault="00104B81" w:rsidP="00104B81">
      <w:pPr>
        <w:pStyle w:val="Heading1"/>
        <w:numPr>
          <w:ilvl w:val="0"/>
          <w:numId w:val="0"/>
        </w:numPr>
      </w:pPr>
      <w:bookmarkStart w:id="4" w:name="OLE_LINK5"/>
      <w:bookmarkStart w:id="5" w:name="OLE_LINK8"/>
      <w:bookmarkStart w:id="6" w:name="_Toc80119640"/>
      <w:bookmarkEnd w:id="1"/>
      <w:bookmarkEnd w:id="2"/>
      <w:r>
        <w:t xml:space="preserve">Approval </w:t>
      </w:r>
      <w:r w:rsidRPr="004F2C52">
        <w:t>o</w:t>
      </w:r>
      <w:r w:rsidR="001C0EA0">
        <w:t>f</w:t>
      </w:r>
      <w:r>
        <w:t xml:space="preserve"> </w:t>
      </w:r>
      <w:r w:rsidR="007C0CF6">
        <w:t>April</w:t>
      </w:r>
      <w:r w:rsidR="0008112D">
        <w:t xml:space="preserve"> 2021</w:t>
      </w:r>
      <w:r>
        <w:t xml:space="preserve"> minutes call</w:t>
      </w:r>
      <w:bookmarkEnd w:id="6"/>
    </w:p>
    <w:p w14:paraId="1A290852" w14:textId="0AE011AA" w:rsidR="004C0334" w:rsidRDefault="007C0CF6" w:rsidP="000B1FE2">
      <w:pPr>
        <w:pStyle w:val="Actions"/>
        <w:jc w:val="left"/>
        <w:rPr>
          <w:color w:val="auto"/>
          <w:lang w:val="en-US"/>
        </w:rPr>
      </w:pPr>
      <w:r>
        <w:rPr>
          <w:color w:val="auto"/>
          <w:lang w:val="en-US"/>
        </w:rPr>
        <w:t xml:space="preserve">Due to the late sending, the minutes will be </w:t>
      </w:r>
      <w:r w:rsidR="00E8621E">
        <w:rPr>
          <w:color w:val="auto"/>
          <w:lang w:val="en-US"/>
        </w:rPr>
        <w:t xml:space="preserve">formally </w:t>
      </w:r>
      <w:r>
        <w:rPr>
          <w:color w:val="auto"/>
          <w:lang w:val="en-US"/>
        </w:rPr>
        <w:t>approved during the next call.</w:t>
      </w:r>
    </w:p>
    <w:p w14:paraId="55A77F4F" w14:textId="32A76499" w:rsidR="004C0334" w:rsidRDefault="004C0334" w:rsidP="000B1FE2">
      <w:pPr>
        <w:pStyle w:val="Actions"/>
        <w:jc w:val="left"/>
        <w:rPr>
          <w:color w:val="auto"/>
          <w:lang w:val="en-US"/>
        </w:rPr>
      </w:pPr>
    </w:p>
    <w:p w14:paraId="5ACB10B4" w14:textId="2FDD0AF6" w:rsidR="004C0334" w:rsidRDefault="004C0334" w:rsidP="000B1FE2">
      <w:pPr>
        <w:pStyle w:val="Actions"/>
        <w:jc w:val="left"/>
        <w:rPr>
          <w:color w:val="auto"/>
          <w:lang w:val="en-US"/>
        </w:rPr>
      </w:pPr>
    </w:p>
    <w:p w14:paraId="4DFA50AA" w14:textId="16F566AC" w:rsidR="00FA651A" w:rsidRDefault="00FA651A" w:rsidP="000B1FE2">
      <w:pPr>
        <w:pStyle w:val="Actions"/>
        <w:jc w:val="left"/>
        <w:rPr>
          <w:color w:val="auto"/>
          <w:lang w:val="en-US"/>
        </w:rPr>
      </w:pPr>
    </w:p>
    <w:p w14:paraId="5F7090F3" w14:textId="7C75AA84" w:rsidR="00FA651A" w:rsidRDefault="00FA651A" w:rsidP="000B1FE2">
      <w:pPr>
        <w:pStyle w:val="Actions"/>
        <w:jc w:val="left"/>
        <w:rPr>
          <w:color w:val="auto"/>
          <w:lang w:val="en-US"/>
        </w:rPr>
      </w:pPr>
    </w:p>
    <w:p w14:paraId="491B8DE7" w14:textId="411FABD0" w:rsidR="00FA651A" w:rsidRDefault="00FA651A" w:rsidP="000B1FE2">
      <w:pPr>
        <w:pStyle w:val="Actions"/>
        <w:jc w:val="left"/>
        <w:rPr>
          <w:color w:val="auto"/>
          <w:lang w:val="en-US"/>
        </w:rPr>
      </w:pPr>
    </w:p>
    <w:p w14:paraId="770F1CAE" w14:textId="77777777" w:rsidR="00FA651A" w:rsidRDefault="00FA651A" w:rsidP="000B1FE2">
      <w:pPr>
        <w:pStyle w:val="Actions"/>
        <w:jc w:val="left"/>
        <w:rPr>
          <w:color w:val="auto"/>
          <w:lang w:val="en-US"/>
        </w:rPr>
      </w:pPr>
    </w:p>
    <w:p w14:paraId="0ACAAA4F" w14:textId="1BF457B7" w:rsidR="004C0334" w:rsidRDefault="004C0334" w:rsidP="000B1FE2">
      <w:pPr>
        <w:pStyle w:val="Actions"/>
        <w:jc w:val="left"/>
        <w:rPr>
          <w:color w:val="auto"/>
          <w:lang w:val="en-US"/>
        </w:rPr>
      </w:pPr>
    </w:p>
    <w:p w14:paraId="07D5D81B" w14:textId="31D0485F" w:rsidR="004C0334" w:rsidRDefault="004C0334" w:rsidP="000B1FE2">
      <w:pPr>
        <w:pStyle w:val="Actions"/>
        <w:jc w:val="left"/>
        <w:rPr>
          <w:color w:val="auto"/>
          <w:lang w:val="en-US"/>
        </w:rPr>
      </w:pPr>
    </w:p>
    <w:p w14:paraId="6791C641" w14:textId="13458B17" w:rsidR="004C0334" w:rsidRDefault="004C0334" w:rsidP="004C0334">
      <w:pPr>
        <w:pStyle w:val="Heading1"/>
        <w:numPr>
          <w:ilvl w:val="0"/>
          <w:numId w:val="0"/>
        </w:numPr>
      </w:pPr>
      <w:bookmarkStart w:id="7" w:name="_Toc80119641"/>
      <w:r>
        <w:lastRenderedPageBreak/>
        <w:t xml:space="preserve">Tax on </w:t>
      </w:r>
      <w:r>
        <w:rPr>
          <w:sz w:val="22"/>
          <w:szCs w:val="22"/>
        </w:rPr>
        <w:t>Non-Distributed Proceeds Indicator (TNDP)</w:t>
      </w:r>
      <w:bookmarkEnd w:id="7"/>
    </w:p>
    <w:p w14:paraId="17CA7E91" w14:textId="77777777" w:rsidR="00290BA0" w:rsidRPr="00290BA0" w:rsidRDefault="00290BA0" w:rsidP="004C0334">
      <w:pPr>
        <w:rPr>
          <w:sz w:val="22"/>
          <w:szCs w:val="22"/>
          <w:u w:val="single"/>
        </w:rPr>
      </w:pPr>
      <w:r w:rsidRPr="00290BA0">
        <w:rPr>
          <w:sz w:val="22"/>
          <w:szCs w:val="22"/>
          <w:highlight w:val="green"/>
          <w:u w:val="single"/>
        </w:rPr>
        <w:t>July 2021 call:</w:t>
      </w:r>
    </w:p>
    <w:p w14:paraId="4594A3AE" w14:textId="77777777" w:rsidR="00290BA0" w:rsidRDefault="00290BA0" w:rsidP="004C0334">
      <w:pPr>
        <w:rPr>
          <w:sz w:val="22"/>
          <w:szCs w:val="22"/>
        </w:rPr>
      </w:pPr>
    </w:p>
    <w:p w14:paraId="46D1F057" w14:textId="7476ACA2" w:rsidR="00E8621E" w:rsidRDefault="00290BA0" w:rsidP="004C0334">
      <w:pPr>
        <w:rPr>
          <w:sz w:val="22"/>
          <w:szCs w:val="22"/>
        </w:rPr>
      </w:pPr>
      <w:r w:rsidRPr="00290BA0">
        <w:rPr>
          <w:sz w:val="22"/>
          <w:szCs w:val="22"/>
          <w:highlight w:val="green"/>
        </w:rPr>
        <w:t>T</w:t>
      </w:r>
      <w:r w:rsidR="00254C1D">
        <w:rPr>
          <w:sz w:val="22"/>
          <w:szCs w:val="22"/>
          <w:highlight w:val="green"/>
        </w:rPr>
        <w:t>hree</w:t>
      </w:r>
      <w:r w:rsidRPr="00290BA0">
        <w:rPr>
          <w:sz w:val="22"/>
          <w:szCs w:val="22"/>
          <w:highlight w:val="green"/>
        </w:rPr>
        <w:t xml:space="preserve"> SR 2022 </w:t>
      </w:r>
      <w:r w:rsidR="00E8621E" w:rsidRPr="00290BA0">
        <w:rPr>
          <w:sz w:val="22"/>
          <w:szCs w:val="22"/>
          <w:highlight w:val="green"/>
        </w:rPr>
        <w:t xml:space="preserve">Change Requests </w:t>
      </w:r>
      <w:r w:rsidRPr="00290BA0">
        <w:rPr>
          <w:sz w:val="22"/>
          <w:szCs w:val="22"/>
          <w:highlight w:val="green"/>
        </w:rPr>
        <w:t xml:space="preserve">have been </w:t>
      </w:r>
      <w:r w:rsidR="00E8621E" w:rsidRPr="00290BA0">
        <w:rPr>
          <w:sz w:val="22"/>
          <w:szCs w:val="22"/>
          <w:highlight w:val="green"/>
        </w:rPr>
        <w:t>submitted by the US Market on this topic</w:t>
      </w:r>
      <w:r w:rsidRPr="00290BA0">
        <w:rPr>
          <w:sz w:val="22"/>
          <w:szCs w:val="22"/>
          <w:highlight w:val="green"/>
        </w:rPr>
        <w:t>.</w:t>
      </w:r>
      <w:r w:rsidR="00254C1D">
        <w:rPr>
          <w:sz w:val="22"/>
          <w:szCs w:val="22"/>
        </w:rPr>
        <w:br/>
        <w:t>Steve provided some details and described the proposed Change Requests. Please see below.</w:t>
      </w:r>
      <w:r w:rsidR="00254C1D">
        <w:rPr>
          <w:sz w:val="22"/>
          <w:szCs w:val="22"/>
        </w:rPr>
        <w:br/>
      </w:r>
    </w:p>
    <w:p w14:paraId="4D225C04" w14:textId="337BB5EC" w:rsidR="00E8621E" w:rsidRDefault="00E8621E" w:rsidP="004C0334">
      <w:pPr>
        <w:rPr>
          <w:sz w:val="22"/>
          <w:szCs w:val="22"/>
        </w:rPr>
      </w:pPr>
    </w:p>
    <w:p w14:paraId="41D24AA5" w14:textId="30C306EF" w:rsidR="00290BA0" w:rsidRPr="00254C1D" w:rsidRDefault="00290BA0" w:rsidP="00254C1D">
      <w:pPr>
        <w:spacing w:before="80" w:after="80"/>
        <w:rPr>
          <w:highlight w:val="green"/>
        </w:rPr>
      </w:pPr>
      <w:r w:rsidRPr="00254C1D">
        <w:rPr>
          <w:highlight w:val="green"/>
        </w:rPr>
        <w:t xml:space="preserve">a/ Add new Event Type for Tax Classification </w:t>
      </w:r>
    </w:p>
    <w:p w14:paraId="7193741F" w14:textId="37F5F10C" w:rsidR="00254C1D" w:rsidRDefault="00254C1D" w:rsidP="00254C1D">
      <w:pPr>
        <w:spacing w:before="80" w:after="80"/>
      </w:pPr>
      <w:r>
        <w:t xml:space="preserve">DTCC is requesting a new CAEV code TXCL Tax Classification.  The purpose of this new code is to handle a scenario whereby an event will be announced solely to announce a classification of a distribution event which was announced under a different corporate action event id.  This is required based on new functionality related to IRS regulation 1441.   For certain US Distribution events, DTC receives information from the issuer of securities which states that distributions will have multiple classifications for IRS 1042-S purposes.  DTC will provide payment details on the original announcement from the exchange.  However, a second event will now be created and applicable only withholding and reporting income to Non-US holders for US tax purposes. The issuer will provide a breakdown such as Publicly Traded Partners with qualified notices that contain multiple income classifications for IRS 1042-S reporting.  Each of the classifications will state the Income Type code within the Cash Movement showing the IRSX code such as, Dividends, Return of Capital or Short-Term Capital Gains.  </w:t>
      </w:r>
    </w:p>
    <w:p w14:paraId="40DAB9BB" w14:textId="77777777" w:rsidR="00254C1D" w:rsidRDefault="00254C1D" w:rsidP="00254C1D">
      <w:pPr>
        <w:spacing w:before="80" w:after="80"/>
      </w:pPr>
      <w:r>
        <w:t xml:space="preserve">The purpose of the second event is to further classify the original event. Downstream US holders that are also acting as US Withholding agents would know by the event type that there will be no income distribution for this Tax Classification event but could benefit from receiving the information which they may need to process withholding and reporting for their Non-US holders.  </w:t>
      </w:r>
    </w:p>
    <w:p w14:paraId="2BFEEDA3" w14:textId="38BA4C81" w:rsidR="00290BA0" w:rsidRDefault="00254C1D" w:rsidP="004C0334">
      <w:pPr>
        <w:rPr>
          <w:sz w:val="22"/>
          <w:szCs w:val="22"/>
        </w:rPr>
      </w:pPr>
      <w:r>
        <w:rPr>
          <w:sz w:val="22"/>
          <w:szCs w:val="22"/>
        </w:rPr>
        <w:br/>
        <w:t>=&gt; currently, the information is provided via an OTHR event.</w:t>
      </w:r>
    </w:p>
    <w:p w14:paraId="0F0EDB42" w14:textId="77777777" w:rsidR="00290BA0" w:rsidRDefault="00290BA0" w:rsidP="004C0334">
      <w:pPr>
        <w:rPr>
          <w:sz w:val="22"/>
          <w:szCs w:val="22"/>
        </w:rPr>
      </w:pPr>
    </w:p>
    <w:p w14:paraId="4BEA50C0" w14:textId="6770FCD2" w:rsidR="00E8621E" w:rsidRDefault="00290BA0" w:rsidP="00E8621E">
      <w:pPr>
        <w:spacing w:before="80" w:after="80"/>
      </w:pPr>
      <w:r>
        <w:rPr>
          <w:sz w:val="22"/>
          <w:szCs w:val="22"/>
          <w:highlight w:val="green"/>
        </w:rPr>
        <w:t>b</w:t>
      </w:r>
      <w:r w:rsidR="00E8621E" w:rsidRPr="00290BA0">
        <w:rPr>
          <w:sz w:val="22"/>
          <w:szCs w:val="22"/>
          <w:highlight w:val="green"/>
        </w:rPr>
        <w:t xml:space="preserve">/ </w:t>
      </w:r>
      <w:r w:rsidR="00E8621E" w:rsidRPr="00290BA0">
        <w:rPr>
          <w:highlight w:val="green"/>
        </w:rPr>
        <w:t>New Tax Regulation Indicator or Renaming of existing Tax on Non Distributed Proceeds Indicator</w:t>
      </w:r>
      <w:r>
        <w:br/>
      </w:r>
      <w:r w:rsidR="00E8621E">
        <w:br/>
        <w:t xml:space="preserve">When new tax regulations occur, often there is the need to announce that details of a Corporate Action event are governed by a particular Tax Regulation. This was previously done for the Tax on Non-Distributed Proceeds Indicator to indicate that an event occurred under IRS Regulation 305c or 871m, even though no entitlement of cash or securities were distributed.  Having a broader Tax Regulation Indicator allows for the centralization of any tax regulation and can be adjusted in the future by Data Source Scheme Updates.  Such an indicator also provides for better routing of the announcement to the appropriate tax group within an organization and eliminates the need to use narrative to convey the Tax Regulation ID.   </w:t>
      </w:r>
    </w:p>
    <w:p w14:paraId="008E4AF0" w14:textId="435EE56D" w:rsidR="00E8621E" w:rsidRDefault="00E8621E" w:rsidP="004C0334">
      <w:r>
        <w:t>Create new 22F Indicator</w:t>
      </w:r>
      <w:r w:rsidR="00290BA0">
        <w:t>:</w:t>
      </w:r>
      <w:r>
        <w:t xml:space="preserve"> Tax Regulation Indicator which will contain the Regulation ID</w:t>
      </w:r>
      <w:r>
        <w:br/>
        <w:t xml:space="preserve">(Identification) Issuer and Scheme Name of the Tax Regulation.  This will allow an announcement to indicate when a particular regulation such as IRS 1446 is applicable to the details of the event.  This will help recipients of the MT564 / CANO comply with specific tax withholding and reporting regulations.  </w:t>
      </w:r>
    </w:p>
    <w:p w14:paraId="30046605" w14:textId="2A946AA1" w:rsidR="00E8621E" w:rsidRPr="00CA77C1" w:rsidRDefault="00E8621E" w:rsidP="00E8621E">
      <w:pPr>
        <w:spacing w:before="80" w:after="80"/>
        <w:rPr>
          <w:color w:val="000000"/>
        </w:rPr>
      </w:pPr>
      <w:r w:rsidRPr="00CA77C1">
        <w:rPr>
          <w:color w:val="000000"/>
        </w:rPr>
        <w:t xml:space="preserve">Each of these could be given an Identification such as US01, US02 and US03:  </w:t>
      </w:r>
    </w:p>
    <w:p w14:paraId="33CA89FC" w14:textId="77777777" w:rsidR="00E8621E" w:rsidRPr="00CA77C1" w:rsidRDefault="00E8621E" w:rsidP="00E8621E">
      <w:pPr>
        <w:spacing w:before="80" w:after="80"/>
        <w:rPr>
          <w:color w:val="000000"/>
        </w:rPr>
      </w:pPr>
    </w:p>
    <w:p w14:paraId="7C1C5CEA" w14:textId="2A328423" w:rsidR="00E8621E" w:rsidRPr="00CA77C1" w:rsidRDefault="00E8621E" w:rsidP="00E8621E">
      <w:pPr>
        <w:spacing w:before="80" w:after="80"/>
        <w:rPr>
          <w:color w:val="000000"/>
        </w:rPr>
      </w:pPr>
      <w:r w:rsidRPr="00CA77C1">
        <w:rPr>
          <w:color w:val="000000"/>
        </w:rPr>
        <w:t>IRS 1446(f) –Additional Withholding Notification  (</w:t>
      </w:r>
      <w:r w:rsidR="00290BA0">
        <w:rPr>
          <w:color w:val="000000"/>
        </w:rPr>
        <w:t>e</w:t>
      </w:r>
      <w:r w:rsidRPr="00CA77C1">
        <w:rPr>
          <w:color w:val="000000"/>
        </w:rPr>
        <w:t>.</w:t>
      </w:r>
      <w:r w:rsidR="00290BA0">
        <w:rPr>
          <w:color w:val="000000"/>
        </w:rPr>
        <w:t>g</w:t>
      </w:r>
      <w:r w:rsidRPr="00CA77C1">
        <w:rPr>
          <w:color w:val="000000"/>
        </w:rPr>
        <w:t>. US01)</w:t>
      </w:r>
    </w:p>
    <w:p w14:paraId="67256B13" w14:textId="77777777" w:rsidR="00E8621E" w:rsidRPr="00CA77C1" w:rsidRDefault="00E8621E" w:rsidP="00E8621E">
      <w:pPr>
        <w:spacing w:before="80" w:after="80"/>
        <w:rPr>
          <w:color w:val="000000"/>
        </w:rPr>
      </w:pPr>
      <w:r w:rsidRPr="00CA77C1">
        <w:rPr>
          <w:color w:val="000000"/>
        </w:rPr>
        <w:t xml:space="preserve">1446(f) imposes a 2nd tax on distributions to non-US holders of securities classified as Partnerships for US tax purposes.  For example,  on a $1,000 distribution to a non-US person, US tax laws may require 37% to be withheld on the full amount of the distribution (IRS Income Code 27).  In addition, </w:t>
      </w:r>
      <w:r w:rsidRPr="00CA77C1">
        <w:rPr>
          <w:color w:val="000000"/>
        </w:rPr>
        <w:lastRenderedPageBreak/>
        <w:t xml:space="preserve">1446(f) may also state that $750 of the distribution is also subject to a 10% tax (IRS Income Code TBD).  The foreign person would have $445 ($370 (37% of 1,000) + 75 (10% of 750)) withheld on the distribution.  For U.S. purposes, there would be $1,750 in gross income reported on Form 1042-S.  Form 1042-S is the US tax form issued to non-US persons that receive US source income. </w:t>
      </w:r>
    </w:p>
    <w:p w14:paraId="2189B1AA" w14:textId="77777777" w:rsidR="00E8621E" w:rsidRPr="00CA77C1" w:rsidRDefault="00E8621E" w:rsidP="00E8621E">
      <w:pPr>
        <w:spacing w:before="80" w:after="80"/>
        <w:rPr>
          <w:color w:val="000000"/>
        </w:rPr>
      </w:pPr>
      <w:r w:rsidRPr="00CA77C1">
        <w:rPr>
          <w:color w:val="000000"/>
        </w:rPr>
        <w:t>Note: To a US person this 2nd level tax is not applicable.</w:t>
      </w:r>
    </w:p>
    <w:p w14:paraId="3A71809A" w14:textId="77777777" w:rsidR="00E8621E" w:rsidRPr="00CA77C1" w:rsidRDefault="00E8621E" w:rsidP="00E8621E">
      <w:pPr>
        <w:spacing w:before="80" w:after="80"/>
        <w:rPr>
          <w:color w:val="000000"/>
        </w:rPr>
      </w:pPr>
    </w:p>
    <w:p w14:paraId="2F5F767A" w14:textId="77777777" w:rsidR="00E8621E" w:rsidRPr="00CA77C1" w:rsidRDefault="00E8621E" w:rsidP="00E8621E">
      <w:pPr>
        <w:spacing w:before="80" w:after="80"/>
        <w:rPr>
          <w:color w:val="000000"/>
        </w:rPr>
      </w:pPr>
      <w:r w:rsidRPr="00CA77C1">
        <w:rPr>
          <w:color w:val="000000"/>
        </w:rPr>
        <w:t>IRS Regulation 1441 – Distributions with multiple US tax classifications   (US02)</w:t>
      </w:r>
    </w:p>
    <w:p w14:paraId="7C50FAB0" w14:textId="77777777" w:rsidR="00E8621E" w:rsidRPr="00CA77C1" w:rsidRDefault="00E8621E" w:rsidP="00E8621E">
      <w:pPr>
        <w:spacing w:before="80" w:after="80"/>
        <w:rPr>
          <w:color w:val="000000"/>
        </w:rPr>
      </w:pPr>
      <w:r w:rsidRPr="00CA77C1">
        <w:rPr>
          <w:color w:val="000000"/>
        </w:rPr>
        <w:t xml:space="preserve">How a distribution is treated for US tax purposes may depend on whether the person is a US resident/citizen or a non-US person. The functionality we are building is specific to US source payments made to non-US persons that are reportable on US IRS Form 1042-S.  It doesn’t address any other scenarios such as payments to US holders, or how a non-US gov’t (e.g. Canada, Germany) would view the payment.  </w:t>
      </w:r>
    </w:p>
    <w:p w14:paraId="49AE2002" w14:textId="77777777" w:rsidR="00E8621E" w:rsidRPr="00CA77C1" w:rsidRDefault="00E8621E" w:rsidP="00E8621E">
      <w:pPr>
        <w:spacing w:before="80" w:after="80"/>
        <w:rPr>
          <w:color w:val="000000"/>
        </w:rPr>
      </w:pPr>
      <w:r w:rsidRPr="00CA77C1">
        <w:rPr>
          <w:color w:val="000000"/>
        </w:rPr>
        <w:t xml:space="preserve">This functionality is for securities that make distributions that may have multiple classifications for US tax withholding purposes.  For example, a portion of a payment may be considered a dividend and another portion may be considered a capital gain.  The functionality would be useful for REITs, Funds (e.g. ETFs), Partnerships, Exchange Traded Notes, common stocks, among other securities.  </w:t>
      </w:r>
    </w:p>
    <w:p w14:paraId="380EC01F" w14:textId="77777777" w:rsidR="00E8621E" w:rsidRPr="00CA77C1" w:rsidRDefault="00E8621E" w:rsidP="00E8621E">
      <w:pPr>
        <w:spacing w:before="80" w:after="80"/>
        <w:rPr>
          <w:color w:val="000000"/>
        </w:rPr>
      </w:pPr>
    </w:p>
    <w:p w14:paraId="28ED4579" w14:textId="77777777" w:rsidR="00E8621E" w:rsidRPr="00290BA0" w:rsidRDefault="00E8621E" w:rsidP="00E8621E">
      <w:pPr>
        <w:spacing w:before="80" w:after="80"/>
        <w:rPr>
          <w:color w:val="000000"/>
        </w:rPr>
      </w:pPr>
      <w:r w:rsidRPr="00290BA0">
        <w:rPr>
          <w:color w:val="000000"/>
        </w:rPr>
        <w:t>IRS Regulation 1446f - 92 Day Qualified Notices (US03)</w:t>
      </w:r>
    </w:p>
    <w:p w14:paraId="7755C21A" w14:textId="28C56475" w:rsidR="00E8621E" w:rsidRDefault="00E8621E" w:rsidP="00E8621E">
      <w:pPr>
        <w:rPr>
          <w:color w:val="000000"/>
        </w:rPr>
      </w:pPr>
      <w:r w:rsidRPr="00290BA0">
        <w:rPr>
          <w:color w:val="000000"/>
        </w:rPr>
        <w:t>In addition to the above, 1446(f) imposes a 10% withholding tax on dispositions (i.e. sales) of partnerships by non-US persons.  There are exceptions to the requirement that brokers withhold 10% when a non-US client sells a partnership, including if the partnership issues a Qualified Notice stating that it does not have any Effectively Connected Income with a trade or business in the US.  If the partnership issues this Qualified Notice then for the next 92 days Brokers are not required to perform the 10% withholding on sales of the partnerships.</w:t>
      </w:r>
      <w:r w:rsidRPr="00CA77C1">
        <w:rPr>
          <w:color w:val="000000"/>
        </w:rPr>
        <w:t xml:space="preserve">  </w:t>
      </w:r>
    </w:p>
    <w:p w14:paraId="37ABAE54" w14:textId="39AE6B37" w:rsidR="005F4678" w:rsidRDefault="005F4678" w:rsidP="00E8621E">
      <w:pPr>
        <w:rPr>
          <w:sz w:val="22"/>
          <w:szCs w:val="22"/>
        </w:rPr>
      </w:pPr>
    </w:p>
    <w:p w14:paraId="7353E535" w14:textId="3C187628" w:rsidR="00254C1D" w:rsidRDefault="00254C1D" w:rsidP="00E8621E">
      <w:r w:rsidRPr="00254C1D">
        <w:rPr>
          <w:sz w:val="22"/>
          <w:szCs w:val="22"/>
          <w:highlight w:val="green"/>
        </w:rPr>
        <w:t xml:space="preserve">c/ </w:t>
      </w:r>
      <w:r w:rsidRPr="00254C1D">
        <w:rPr>
          <w:highlight w:val="green"/>
        </w:rPr>
        <w:t>Make Type of Income (ITYP) Repetitive in both Securities and Cash Movements</w:t>
      </w:r>
    </w:p>
    <w:p w14:paraId="749FFD85" w14:textId="5D5ED823" w:rsidR="00D90176" w:rsidRDefault="00D90176" w:rsidP="00D90176">
      <w:pPr>
        <w:spacing w:before="80" w:after="80"/>
      </w:pPr>
      <w:r>
        <w:t xml:space="preserve">DTCC currently utilizes the Income Code field within the MT564 / CANO message to display the IRS Tax code applicable to events in the US Market.  DTC will also begin including the CRAX Income Code, which is the Canadian Revenue Agency’s NR4 Income Code use to report payments made to non-resident Canadians. The CRAX Income Code can be used to identify Canadian source payments, NR4 reporting if you are a Canadian withholding agent, or to file for tax refunds with the Canadian Revenue Agency if you are a non-resident for Canadian tax purposes.   </w:t>
      </w:r>
    </w:p>
    <w:p w14:paraId="1179C01D" w14:textId="76C585DA" w:rsidR="00254C1D" w:rsidRDefault="00D90176" w:rsidP="00D90176">
      <w:r>
        <w:t xml:space="preserve">There are situations where there can be both a US and Canadian Income Type code for the same movement.  There is no way in the standard to announce this in this manner.  DTCC is asking to make the field repetitive so the IRS code (IRSX) and the Canadian Revenue Authority Code (CRAX) can be reported in the announcement within the same movement.    </w:t>
      </w:r>
    </w:p>
    <w:p w14:paraId="61DB6B40" w14:textId="77777777" w:rsidR="00254C1D" w:rsidRDefault="00254C1D" w:rsidP="00E8621E">
      <w:pPr>
        <w:rPr>
          <w:sz w:val="22"/>
          <w:szCs w:val="22"/>
        </w:rPr>
      </w:pPr>
    </w:p>
    <w:p w14:paraId="7633D773" w14:textId="5E2120E8" w:rsidR="00E8621E" w:rsidRPr="00290BA0" w:rsidRDefault="00290BA0" w:rsidP="004C0334">
      <w:pPr>
        <w:rPr>
          <w:sz w:val="22"/>
          <w:szCs w:val="22"/>
          <w:u w:val="single"/>
        </w:rPr>
      </w:pPr>
      <w:r w:rsidRPr="00290BA0">
        <w:rPr>
          <w:sz w:val="22"/>
          <w:szCs w:val="22"/>
          <w:u w:val="single"/>
        </w:rPr>
        <w:t>April 2021 call:</w:t>
      </w:r>
    </w:p>
    <w:p w14:paraId="24072139" w14:textId="7EFE208E" w:rsidR="004C0334" w:rsidRPr="004C0334" w:rsidRDefault="004C0334" w:rsidP="004C0334">
      <w:pPr>
        <w:rPr>
          <w:sz w:val="22"/>
          <w:szCs w:val="22"/>
        </w:rPr>
      </w:pPr>
      <w:r w:rsidRPr="004C0334">
        <w:rPr>
          <w:sz w:val="22"/>
          <w:szCs w:val="22"/>
        </w:rPr>
        <w:t>A new</w:t>
      </w:r>
      <w:r>
        <w:rPr>
          <w:sz w:val="22"/>
          <w:szCs w:val="22"/>
        </w:rPr>
        <w:t xml:space="preserve"> </w:t>
      </w:r>
      <w:r w:rsidRPr="004C0334">
        <w:rPr>
          <w:sz w:val="22"/>
          <w:szCs w:val="22"/>
        </w:rPr>
        <w:t>topic has been proposed by the US Market</w:t>
      </w:r>
      <w:r>
        <w:rPr>
          <w:sz w:val="22"/>
          <w:szCs w:val="22"/>
        </w:rPr>
        <w:t>.</w:t>
      </w:r>
    </w:p>
    <w:p w14:paraId="59EBE58E" w14:textId="62BAAD67" w:rsidR="004C0334" w:rsidRDefault="004C0334" w:rsidP="004C0334">
      <w:pPr>
        <w:rPr>
          <w:sz w:val="22"/>
          <w:szCs w:val="22"/>
        </w:rPr>
      </w:pPr>
      <w:r>
        <w:rPr>
          <w:sz w:val="22"/>
          <w:szCs w:val="22"/>
        </w:rPr>
        <w:t xml:space="preserve">They proposed for discussion the need to broaden the Tax On Non-Distributed Proceeds Indicator on the MT564 / CANO so that it can be used to indicate when an event is based on a Tax Regulation and then be able to use the Data Source scheme appropriately.  </w:t>
      </w:r>
      <w:r>
        <w:rPr>
          <w:sz w:val="22"/>
          <w:szCs w:val="22"/>
        </w:rPr>
        <w:br/>
        <w:t xml:space="preserve">There are three tax regulations which will be occurring in the US market to which the US Market would like to output an appropriate code to indicate which Tax Regulation this is related to.  </w:t>
      </w:r>
      <w:r w:rsidR="00F5580A">
        <w:rPr>
          <w:sz w:val="22"/>
          <w:szCs w:val="22"/>
        </w:rPr>
        <w:br/>
        <w:t>3</w:t>
      </w:r>
      <w:r>
        <w:rPr>
          <w:sz w:val="22"/>
          <w:szCs w:val="22"/>
        </w:rPr>
        <w:t xml:space="preserve"> solutions</w:t>
      </w:r>
      <w:r w:rsidR="00F5580A">
        <w:rPr>
          <w:sz w:val="22"/>
          <w:szCs w:val="22"/>
        </w:rPr>
        <w:t xml:space="preserve"> were proposed and discussed with the Tax sub-group</w:t>
      </w:r>
      <w:r>
        <w:rPr>
          <w:sz w:val="22"/>
          <w:szCs w:val="22"/>
        </w:rPr>
        <w:t xml:space="preserve">:  </w:t>
      </w:r>
    </w:p>
    <w:p w14:paraId="49D2581F" w14:textId="77777777" w:rsidR="004C0334" w:rsidRDefault="004C0334" w:rsidP="004C0334">
      <w:pPr>
        <w:rPr>
          <w:sz w:val="22"/>
          <w:szCs w:val="22"/>
        </w:rPr>
      </w:pPr>
    </w:p>
    <w:p w14:paraId="258B6771" w14:textId="77777777" w:rsidR="004C0334" w:rsidRDefault="004C0334" w:rsidP="004C0334">
      <w:pPr>
        <w:pStyle w:val="ListParagraph"/>
        <w:numPr>
          <w:ilvl w:val="0"/>
          <w:numId w:val="20"/>
        </w:numPr>
        <w:spacing w:line="276" w:lineRule="auto"/>
        <w:rPr>
          <w:sz w:val="22"/>
          <w:szCs w:val="22"/>
          <w:lang w:val="en-US"/>
        </w:rPr>
      </w:pPr>
      <w:r>
        <w:rPr>
          <w:sz w:val="22"/>
          <w:szCs w:val="22"/>
          <w:lang w:val="en-US"/>
        </w:rPr>
        <w:t xml:space="preserve">Change the name of the field from Tax on Non-Distributed Proceeds Indicator to Tax Regulation Indicator.  </w:t>
      </w:r>
    </w:p>
    <w:p w14:paraId="700C2D25" w14:textId="77777777" w:rsidR="004C0334" w:rsidRDefault="004C0334" w:rsidP="004C0334">
      <w:pPr>
        <w:pStyle w:val="ListParagraph"/>
        <w:numPr>
          <w:ilvl w:val="0"/>
          <w:numId w:val="20"/>
        </w:numPr>
        <w:spacing w:line="276" w:lineRule="auto"/>
        <w:rPr>
          <w:sz w:val="22"/>
          <w:szCs w:val="22"/>
          <w:lang w:val="en-US"/>
        </w:rPr>
      </w:pPr>
      <w:r>
        <w:rPr>
          <w:sz w:val="22"/>
          <w:szCs w:val="22"/>
          <w:lang w:val="en-US"/>
        </w:rPr>
        <w:lastRenderedPageBreak/>
        <w:t xml:space="preserve">Keep the Tax on Non-Distributed Proceeds Indicator and add a new qualifier Tax Regulation Indicator which could be used instead of the TNDP indicator when not related to a TNDP scenario.  </w:t>
      </w:r>
    </w:p>
    <w:p w14:paraId="227366F8" w14:textId="6FDBF784" w:rsidR="004C0334" w:rsidRDefault="004C0334" w:rsidP="00F5580A">
      <w:pPr>
        <w:pStyle w:val="ListParagraph"/>
        <w:numPr>
          <w:ilvl w:val="0"/>
          <w:numId w:val="20"/>
        </w:numPr>
        <w:spacing w:line="276" w:lineRule="auto"/>
        <w:rPr>
          <w:sz w:val="22"/>
          <w:szCs w:val="22"/>
          <w:lang w:val="en-US"/>
        </w:rPr>
      </w:pPr>
      <w:r>
        <w:rPr>
          <w:sz w:val="22"/>
          <w:szCs w:val="22"/>
          <w:lang w:val="en-US"/>
        </w:rPr>
        <w:t>Keep the existing Tax on Non-Distributed Proceeds indicator and change the definition (</w:t>
      </w:r>
      <w:r w:rsidR="00F5580A">
        <w:rPr>
          <w:sz w:val="22"/>
          <w:szCs w:val="22"/>
          <w:lang w:val="en-US"/>
        </w:rPr>
        <w:t>not the preferred one</w:t>
      </w:r>
      <w:r>
        <w:rPr>
          <w:sz w:val="22"/>
          <w:szCs w:val="22"/>
          <w:lang w:val="en-US"/>
        </w:rPr>
        <w:t xml:space="preserve"> but will be needed in the short run until either option 1 or 2 could be implemented.)  </w:t>
      </w:r>
    </w:p>
    <w:p w14:paraId="13768A80" w14:textId="77777777" w:rsidR="007E1C55" w:rsidRDefault="007E1C55" w:rsidP="00F5580A">
      <w:pPr>
        <w:spacing w:line="276" w:lineRule="auto"/>
        <w:rPr>
          <w:sz w:val="22"/>
          <w:szCs w:val="22"/>
        </w:rPr>
      </w:pPr>
    </w:p>
    <w:p w14:paraId="64B36FBF" w14:textId="7F9B49C2" w:rsidR="00F5580A" w:rsidRDefault="007E1C55" w:rsidP="00F5580A">
      <w:pPr>
        <w:spacing w:line="276" w:lineRule="auto"/>
        <w:rPr>
          <w:sz w:val="22"/>
          <w:szCs w:val="22"/>
        </w:rPr>
      </w:pPr>
      <w:r>
        <w:rPr>
          <w:sz w:val="22"/>
          <w:szCs w:val="22"/>
        </w:rPr>
        <w:t>The need is related to US source payments for non-US persons and a new regulation which will be implemented on January 1</w:t>
      </w:r>
      <w:r w:rsidRPr="00F5580A">
        <w:rPr>
          <w:sz w:val="22"/>
          <w:szCs w:val="22"/>
          <w:vertAlign w:val="superscript"/>
        </w:rPr>
        <w:t>st</w:t>
      </w:r>
      <w:r>
        <w:rPr>
          <w:sz w:val="22"/>
          <w:szCs w:val="22"/>
        </w:rPr>
        <w:t>, 2022.</w:t>
      </w:r>
      <w:r>
        <w:rPr>
          <w:sz w:val="22"/>
          <w:szCs w:val="22"/>
        </w:rPr>
        <w:br/>
        <w:t>Unfortunately, from a DTCC perspective, only 1 MT564 / CANO covers both cases: non-US persons and US persons</w:t>
      </w:r>
    </w:p>
    <w:p w14:paraId="7E62DF5D" w14:textId="78B55045" w:rsidR="007E1C55" w:rsidRDefault="007E1C55" w:rsidP="00F5580A">
      <w:pPr>
        <w:spacing w:line="276" w:lineRule="auto"/>
        <w:rPr>
          <w:sz w:val="22"/>
          <w:szCs w:val="22"/>
        </w:rPr>
      </w:pPr>
      <w:r>
        <w:rPr>
          <w:sz w:val="22"/>
          <w:szCs w:val="22"/>
        </w:rPr>
        <w:t>3 different scenarios were explained during the call:</w:t>
      </w:r>
    </w:p>
    <w:p w14:paraId="00ABB00C" w14:textId="79E6D069" w:rsidR="005006F0" w:rsidRDefault="007E1C55" w:rsidP="00F5580A">
      <w:pPr>
        <w:spacing w:line="276" w:lineRule="auto"/>
        <w:rPr>
          <w:sz w:val="22"/>
          <w:szCs w:val="22"/>
        </w:rPr>
      </w:pPr>
      <w:r w:rsidRPr="00A45979">
        <w:rPr>
          <w:sz w:val="22"/>
          <w:szCs w:val="22"/>
          <w:u w:val="single"/>
        </w:rPr>
        <w:t>Scenario 1:</w:t>
      </w:r>
      <w:r>
        <w:rPr>
          <w:sz w:val="22"/>
          <w:szCs w:val="22"/>
        </w:rPr>
        <w:t xml:space="preserve"> distribution of a partnership.</w:t>
      </w:r>
      <w:r>
        <w:rPr>
          <w:sz w:val="22"/>
          <w:szCs w:val="22"/>
        </w:rPr>
        <w:br/>
        <w:t>questions raised during the call:</w:t>
      </w:r>
      <w:r>
        <w:rPr>
          <w:sz w:val="22"/>
          <w:szCs w:val="22"/>
        </w:rPr>
        <w:br/>
        <w:t>- will it be mandatory to mention the Regulation in the announcement message?</w:t>
      </w:r>
      <w:r>
        <w:rPr>
          <w:sz w:val="22"/>
          <w:szCs w:val="22"/>
        </w:rPr>
        <w:br/>
        <w:t xml:space="preserve">- couldn’t we use </w:t>
      </w:r>
      <w:r w:rsidR="005006F0">
        <w:rPr>
          <w:sz w:val="22"/>
          <w:szCs w:val="22"/>
        </w:rPr>
        <w:t>TAXR + WITL, WITL used to highlight a second level Tax?</w:t>
      </w:r>
      <w:r w:rsidR="00042B2F">
        <w:rPr>
          <w:sz w:val="22"/>
          <w:szCs w:val="22"/>
        </w:rPr>
        <w:br/>
      </w:r>
      <w:r w:rsidR="005006F0">
        <w:rPr>
          <w:sz w:val="22"/>
          <w:szCs w:val="22"/>
        </w:rPr>
        <w:t>- should we have separate events or not for these cases?</w:t>
      </w:r>
    </w:p>
    <w:p w14:paraId="49D18B67" w14:textId="30D219F9" w:rsidR="00042B2F" w:rsidRDefault="00042B2F" w:rsidP="00F5580A">
      <w:pPr>
        <w:spacing w:line="276" w:lineRule="auto"/>
        <w:rPr>
          <w:sz w:val="22"/>
          <w:szCs w:val="22"/>
        </w:rPr>
      </w:pPr>
      <w:r w:rsidRPr="00A45979">
        <w:rPr>
          <w:sz w:val="22"/>
          <w:szCs w:val="22"/>
          <w:u w:val="single"/>
        </w:rPr>
        <w:t>Scenario 2</w:t>
      </w:r>
      <w:r>
        <w:rPr>
          <w:sz w:val="22"/>
          <w:szCs w:val="22"/>
        </w:rPr>
        <w:t>: USD payment split into multiple components</w:t>
      </w:r>
      <w:r>
        <w:rPr>
          <w:sz w:val="22"/>
          <w:szCs w:val="22"/>
        </w:rPr>
        <w:br/>
        <w:t>The assumption is 1 CAEV per event so possible to distinguish per Regulation.</w:t>
      </w:r>
      <w:r>
        <w:rPr>
          <w:sz w:val="22"/>
          <w:szCs w:val="22"/>
        </w:rPr>
        <w:br/>
        <w:t>Shouldn’t we use ITYP?</w:t>
      </w:r>
    </w:p>
    <w:p w14:paraId="073B3748" w14:textId="3263501A" w:rsidR="00042B2F" w:rsidRDefault="0087486F" w:rsidP="00F5580A">
      <w:pPr>
        <w:spacing w:line="276" w:lineRule="auto"/>
        <w:rPr>
          <w:sz w:val="22"/>
          <w:szCs w:val="22"/>
        </w:rPr>
      </w:pPr>
      <w:r>
        <w:rPr>
          <w:sz w:val="22"/>
          <w:szCs w:val="22"/>
        </w:rPr>
        <w:t>As per the explanation</w:t>
      </w:r>
      <w:r w:rsidR="0021509F">
        <w:rPr>
          <w:sz w:val="22"/>
          <w:szCs w:val="22"/>
        </w:rPr>
        <w:t xml:space="preserve"> provided, the case looks similar to the sundry payments in Australia.</w:t>
      </w:r>
    </w:p>
    <w:p w14:paraId="2704CCAA" w14:textId="1C822F73" w:rsidR="0021509F" w:rsidRDefault="0021509F" w:rsidP="00F5580A">
      <w:pPr>
        <w:spacing w:line="276" w:lineRule="auto"/>
        <w:rPr>
          <w:sz w:val="22"/>
          <w:szCs w:val="22"/>
        </w:rPr>
      </w:pPr>
      <w:r>
        <w:rPr>
          <w:sz w:val="22"/>
          <w:szCs w:val="22"/>
        </w:rPr>
        <w:t>Question about an ADDB to use.</w:t>
      </w:r>
    </w:p>
    <w:p w14:paraId="496312BD" w14:textId="6C859C03" w:rsidR="0021509F" w:rsidRDefault="0021509F" w:rsidP="00F5580A">
      <w:pPr>
        <w:spacing w:line="276" w:lineRule="auto"/>
        <w:rPr>
          <w:sz w:val="22"/>
          <w:szCs w:val="22"/>
        </w:rPr>
      </w:pPr>
      <w:r>
        <w:rPr>
          <w:sz w:val="22"/>
          <w:szCs w:val="22"/>
        </w:rPr>
        <w:t>Dale explained that in South Africa, for ETF distributions, there are different events because different rates.</w:t>
      </w:r>
    </w:p>
    <w:p w14:paraId="5CBF0F55" w14:textId="2B9F776D" w:rsidR="0021509F" w:rsidRDefault="0021509F" w:rsidP="00F5580A">
      <w:pPr>
        <w:spacing w:line="276" w:lineRule="auto"/>
        <w:rPr>
          <w:sz w:val="22"/>
          <w:szCs w:val="22"/>
        </w:rPr>
      </w:pPr>
      <w:r>
        <w:rPr>
          <w:sz w:val="22"/>
          <w:szCs w:val="22"/>
        </w:rPr>
        <w:t xml:space="preserve">On the other hand, </w:t>
      </w:r>
      <w:r w:rsidR="00A45979">
        <w:rPr>
          <w:sz w:val="22"/>
          <w:szCs w:val="22"/>
        </w:rPr>
        <w:t>Eric is not convinced that a new CAEV is necessary for this scenario but referring to 1446F regulation could be interesting. ITYP could be a possible solution to investigate.</w:t>
      </w:r>
    </w:p>
    <w:p w14:paraId="1FB56678" w14:textId="04F609D2" w:rsidR="00A45979" w:rsidRDefault="00A45979" w:rsidP="00F5580A">
      <w:pPr>
        <w:spacing w:line="276" w:lineRule="auto"/>
        <w:rPr>
          <w:sz w:val="22"/>
          <w:szCs w:val="22"/>
        </w:rPr>
      </w:pPr>
      <w:r>
        <w:rPr>
          <w:sz w:val="22"/>
          <w:szCs w:val="22"/>
        </w:rPr>
        <w:t>The group is also asking about the volume concerned.</w:t>
      </w:r>
    </w:p>
    <w:p w14:paraId="6DE3813F" w14:textId="5C42D9EE" w:rsidR="00A45979" w:rsidRPr="00A45979" w:rsidRDefault="00A45979" w:rsidP="00F5580A">
      <w:pPr>
        <w:spacing w:line="276" w:lineRule="auto"/>
        <w:rPr>
          <w:sz w:val="22"/>
          <w:szCs w:val="22"/>
          <w:lang w:val="en-GB"/>
        </w:rPr>
      </w:pPr>
      <w:r w:rsidRPr="00E55986">
        <w:rPr>
          <w:sz w:val="22"/>
          <w:szCs w:val="22"/>
          <w:u w:val="single"/>
          <w:lang w:val="en-GB"/>
        </w:rPr>
        <w:t>Scenario 3</w:t>
      </w:r>
      <w:r w:rsidRPr="00A45979">
        <w:rPr>
          <w:sz w:val="22"/>
          <w:szCs w:val="22"/>
          <w:lang w:val="en-GB"/>
        </w:rPr>
        <w:t xml:space="preserve">: 1446F imposes a 10% tax for non-US </w:t>
      </w:r>
      <w:r>
        <w:rPr>
          <w:sz w:val="22"/>
          <w:szCs w:val="22"/>
          <w:lang w:val="en-GB"/>
        </w:rPr>
        <w:t>partnership. 92 days’ notice for withholding. The assumption is to use a INFO event. Here again, need for a new CAEV … or potentially not if, instead, there is a new indicator.</w:t>
      </w:r>
    </w:p>
    <w:p w14:paraId="2DECD4A6" w14:textId="77777777" w:rsidR="00E55986" w:rsidRPr="00F62B1B" w:rsidRDefault="00E55986" w:rsidP="00E55986">
      <w:pPr>
        <w:pStyle w:val="Actions"/>
        <w:rPr>
          <w:lang w:val="en-US"/>
        </w:rPr>
      </w:pPr>
      <w:r w:rsidRPr="00F62B1B">
        <w:rPr>
          <w:b/>
          <w:u w:val="single"/>
          <w:lang w:val="en-US"/>
        </w:rPr>
        <w:t>Action</w:t>
      </w:r>
      <w:r w:rsidRPr="00F62B1B">
        <w:rPr>
          <w:lang w:val="en-US"/>
        </w:rPr>
        <w:t xml:space="preserve">: </w:t>
      </w:r>
    </w:p>
    <w:p w14:paraId="3D4D2252" w14:textId="51C7005C" w:rsidR="004C0334" w:rsidRDefault="00E55986" w:rsidP="00E55986">
      <w:pPr>
        <w:rPr>
          <w:color w:val="FF0000"/>
          <w:lang w:val="en-ZA" w:eastAsia="en-GB"/>
        </w:rPr>
      </w:pPr>
      <w:r w:rsidRPr="00E55986">
        <w:rPr>
          <w:color w:val="FF0000"/>
          <w:lang w:val="en-ZA" w:eastAsia="en-GB"/>
        </w:rPr>
        <w:t>US Market to provide some examples to illustrate the different scenarios</w:t>
      </w:r>
    </w:p>
    <w:p w14:paraId="5A65ADF9" w14:textId="1C9F05A0" w:rsidR="00E55986" w:rsidRDefault="00E55986" w:rsidP="00E55986">
      <w:pPr>
        <w:rPr>
          <w:color w:val="FF0000"/>
          <w:lang w:val="en-ZA" w:eastAsia="en-GB"/>
        </w:rPr>
      </w:pPr>
    </w:p>
    <w:p w14:paraId="2EBBFE6B" w14:textId="67A7ABE5" w:rsidR="009923A7" w:rsidRDefault="009923A7" w:rsidP="009923A7">
      <w:pPr>
        <w:rPr>
          <w:color w:val="FF0000"/>
          <w:lang w:val="en-ZA" w:eastAsia="en-GB"/>
        </w:rPr>
      </w:pPr>
    </w:p>
    <w:p w14:paraId="267A4F0D" w14:textId="77777777" w:rsidR="005C2442" w:rsidRDefault="005C2442" w:rsidP="009923A7">
      <w:pPr>
        <w:rPr>
          <w:color w:val="FF0000"/>
          <w:lang w:val="en-ZA" w:eastAsia="en-GB"/>
        </w:rPr>
      </w:pPr>
    </w:p>
    <w:p w14:paraId="7D1C29C1" w14:textId="77777777" w:rsidR="009923A7" w:rsidRDefault="009923A7" w:rsidP="009923A7">
      <w:pPr>
        <w:rPr>
          <w:color w:val="FF0000"/>
          <w:lang w:val="en-ZA" w:eastAsia="en-GB"/>
        </w:rPr>
      </w:pPr>
    </w:p>
    <w:p w14:paraId="3C7ADDFB" w14:textId="3D377DEA" w:rsidR="00C62FC4" w:rsidRDefault="00C62FC4" w:rsidP="00C62FC4">
      <w:pPr>
        <w:pStyle w:val="Heading1"/>
        <w:numPr>
          <w:ilvl w:val="0"/>
          <w:numId w:val="0"/>
        </w:numPr>
        <w:rPr>
          <w:color w:val="1F497D"/>
          <w:lang w:val="en-ZA"/>
        </w:rPr>
      </w:pPr>
      <w:bookmarkStart w:id="8" w:name="_Toc80119642"/>
      <w:r w:rsidRPr="00E23A36">
        <w:lastRenderedPageBreak/>
        <w:t>Tax “Refunds” in the Opposite Direction.</w:t>
      </w:r>
      <w:bookmarkEnd w:id="8"/>
      <w:r>
        <w:rPr>
          <w:color w:val="1F497D"/>
          <w:lang w:val="en-ZA"/>
        </w:rPr>
        <w:br/>
      </w:r>
    </w:p>
    <w:p w14:paraId="14E64BD5" w14:textId="32DE3564" w:rsidR="005C2442" w:rsidRDefault="005C2442" w:rsidP="005C2442">
      <w:pPr>
        <w:rPr>
          <w:u w:val="single"/>
          <w:lang w:val="en-ZA" w:eastAsia="en-GB"/>
        </w:rPr>
      </w:pPr>
      <w:r w:rsidRPr="005C2442">
        <w:rPr>
          <w:highlight w:val="green"/>
          <w:u w:val="single"/>
          <w:lang w:val="en-ZA" w:eastAsia="en-GB"/>
        </w:rPr>
        <w:t>July 2021 call:</w:t>
      </w:r>
    </w:p>
    <w:p w14:paraId="11B31B11" w14:textId="0249E95E" w:rsidR="005C2442" w:rsidRPr="007B3D96" w:rsidRDefault="007B3D96" w:rsidP="005C2442">
      <w:pPr>
        <w:rPr>
          <w:lang w:val="en-ZA" w:eastAsia="en-GB"/>
        </w:rPr>
      </w:pPr>
      <w:r w:rsidRPr="007B3D96">
        <w:rPr>
          <w:highlight w:val="green"/>
          <w:lang w:val="en-ZA" w:eastAsia="en-GB"/>
        </w:rPr>
        <w:t>Mari didn’t receive any feedback from the UK Global Custodians. She will raise again this topic at the next UK/IE NMPG call.</w:t>
      </w:r>
    </w:p>
    <w:p w14:paraId="4CA4C1B2" w14:textId="77777777" w:rsidR="005C2442" w:rsidRPr="005C2442" w:rsidRDefault="005C2442" w:rsidP="005C2442">
      <w:pPr>
        <w:rPr>
          <w:lang w:val="en-ZA" w:eastAsia="en-GB"/>
        </w:rPr>
      </w:pPr>
    </w:p>
    <w:p w14:paraId="50A2AC3E" w14:textId="39ABC860" w:rsidR="00560C89" w:rsidRPr="005C2442" w:rsidRDefault="00C620E8" w:rsidP="00560C89">
      <w:pPr>
        <w:rPr>
          <w:u w:val="single"/>
          <w:lang w:val="en-ZA" w:eastAsia="en-GB"/>
        </w:rPr>
      </w:pPr>
      <w:r w:rsidRPr="005C2442">
        <w:rPr>
          <w:u w:val="single"/>
          <w:lang w:val="en-ZA" w:eastAsia="en-GB"/>
        </w:rPr>
        <w:t xml:space="preserve">April and </w:t>
      </w:r>
      <w:r w:rsidR="00560C89" w:rsidRPr="005C2442">
        <w:rPr>
          <w:u w:val="single"/>
          <w:lang w:val="en-ZA" w:eastAsia="en-GB"/>
        </w:rPr>
        <w:t>February 2021 call:</w:t>
      </w:r>
    </w:p>
    <w:p w14:paraId="0BB699FF" w14:textId="78117033" w:rsidR="00560C89" w:rsidRDefault="00560C89" w:rsidP="00560C89">
      <w:pPr>
        <w:rPr>
          <w:lang w:val="en-ZA" w:eastAsia="en-GB"/>
        </w:rPr>
      </w:pPr>
      <w:r w:rsidRPr="005C2442">
        <w:rPr>
          <w:lang w:val="en-ZA" w:eastAsia="en-GB"/>
        </w:rPr>
        <w:t xml:space="preserve">Topic on hold. </w:t>
      </w:r>
      <w:r w:rsidR="008A5B30" w:rsidRPr="005C2442">
        <w:rPr>
          <w:lang w:val="en-ZA" w:eastAsia="en-GB"/>
        </w:rPr>
        <w:br/>
      </w:r>
      <w:r w:rsidRPr="005C2442">
        <w:rPr>
          <w:lang w:val="en-ZA" w:eastAsia="en-GB"/>
        </w:rPr>
        <w:t>JP would like to check again with Mari and get any potential feedback related to the UK Market.</w:t>
      </w:r>
    </w:p>
    <w:p w14:paraId="773E8C72" w14:textId="77777777" w:rsidR="00560C89" w:rsidRPr="00560C89" w:rsidRDefault="00560C89" w:rsidP="00560C89">
      <w:pPr>
        <w:rPr>
          <w:lang w:val="en-ZA" w:eastAsia="en-GB"/>
        </w:rPr>
      </w:pPr>
    </w:p>
    <w:p w14:paraId="359EF630" w14:textId="77777777" w:rsidR="005B6C04" w:rsidRPr="005B6C04" w:rsidRDefault="005B6C04" w:rsidP="005B6C04">
      <w:pPr>
        <w:rPr>
          <w:u w:val="single"/>
          <w:lang w:val="en-ZA" w:eastAsia="en-GB"/>
        </w:rPr>
      </w:pPr>
      <w:r w:rsidRPr="005B6C04">
        <w:rPr>
          <w:u w:val="single"/>
          <w:lang w:val="en-ZA" w:eastAsia="en-GB"/>
        </w:rPr>
        <w:t>December 2020 call:</w:t>
      </w:r>
    </w:p>
    <w:p w14:paraId="2E57642F" w14:textId="77777777" w:rsidR="005B6C04" w:rsidRPr="00560C89" w:rsidRDefault="005B6C04" w:rsidP="005B6C04">
      <w:pPr>
        <w:rPr>
          <w:lang w:val="en-ZA" w:eastAsia="en-GB"/>
        </w:rPr>
      </w:pPr>
      <w:r w:rsidRPr="00560C89">
        <w:rPr>
          <w:lang w:val="en-ZA" w:eastAsia="en-GB"/>
        </w:rPr>
        <w:t>The subject was not discussed in the UK Market yet.</w:t>
      </w:r>
    </w:p>
    <w:p w14:paraId="69AB2342" w14:textId="77777777" w:rsidR="005B6C04" w:rsidRPr="00560C89" w:rsidRDefault="005B6C04" w:rsidP="005B6C04">
      <w:pPr>
        <w:rPr>
          <w:lang w:val="en-ZA" w:eastAsia="en-GB"/>
        </w:rPr>
      </w:pPr>
      <w:r w:rsidRPr="00560C89">
        <w:rPr>
          <w:lang w:val="en-ZA" w:eastAsia="en-GB"/>
        </w:rPr>
        <w:t xml:space="preserve">Nevertheless, </w:t>
      </w:r>
      <w:r w:rsidR="00AF3D2B" w:rsidRPr="00560C89">
        <w:rPr>
          <w:lang w:val="en-ZA" w:eastAsia="en-GB"/>
        </w:rPr>
        <w:t>2</w:t>
      </w:r>
      <w:r w:rsidRPr="00560C89">
        <w:rPr>
          <w:lang w:val="en-ZA" w:eastAsia="en-GB"/>
        </w:rPr>
        <w:t xml:space="preserve"> scenarios were highlighted during </w:t>
      </w:r>
      <w:r w:rsidR="00AF3D2B" w:rsidRPr="00560C89">
        <w:rPr>
          <w:lang w:val="en-ZA" w:eastAsia="en-GB"/>
        </w:rPr>
        <w:t>the call:</w:t>
      </w:r>
      <w:r w:rsidR="00AF3D2B" w:rsidRPr="00560C89">
        <w:rPr>
          <w:lang w:val="en-ZA" w:eastAsia="en-GB"/>
        </w:rPr>
        <w:br/>
        <w:t>- scenario 1 = when the Custodian is also a withholding Tax agent. In this case, there is a payment to Tax Authorities so if there is a change in the withholding tax, it is reversed from Tax Authorities to the custodian. In such a case, a cancel / replace is necessary.</w:t>
      </w:r>
    </w:p>
    <w:p w14:paraId="6574800E" w14:textId="77777777" w:rsidR="00AF3D2B" w:rsidRPr="00560C89" w:rsidRDefault="00AF3D2B" w:rsidP="005B6C04">
      <w:pPr>
        <w:rPr>
          <w:lang w:val="en-ZA" w:eastAsia="en-GB"/>
        </w:rPr>
      </w:pPr>
      <w:r w:rsidRPr="00560C89">
        <w:rPr>
          <w:lang w:val="en-ZA" w:eastAsia="en-GB"/>
        </w:rPr>
        <w:t xml:space="preserve">- scenario 2 = quick refund (e.g. Belgium, Spain). In this case, the issuer is used to request specific documentation. So in our case, it means that the complete documentation was received after the initial payment. Here, the event </w:t>
      </w:r>
      <w:r w:rsidR="00DF674D" w:rsidRPr="00560C89">
        <w:rPr>
          <w:lang w:val="en-ZA" w:eastAsia="en-GB"/>
        </w:rPr>
        <w:t xml:space="preserve">which is used </w:t>
      </w:r>
      <w:r w:rsidRPr="00560C89">
        <w:rPr>
          <w:lang w:val="en-ZA" w:eastAsia="en-GB"/>
        </w:rPr>
        <w:t xml:space="preserve">is a TREC </w:t>
      </w:r>
      <w:r w:rsidR="00DF674D" w:rsidRPr="00560C89">
        <w:rPr>
          <w:lang w:val="en-ZA" w:eastAsia="en-GB"/>
        </w:rPr>
        <w:t xml:space="preserve">(with the rate qualifier TXRC) </w:t>
      </w:r>
      <w:r w:rsidRPr="00560C89">
        <w:rPr>
          <w:lang w:val="en-ZA" w:eastAsia="en-GB"/>
        </w:rPr>
        <w:t>and not the initial DVCA</w:t>
      </w:r>
      <w:r w:rsidR="00DF674D" w:rsidRPr="00560C89">
        <w:rPr>
          <w:lang w:val="en-ZA" w:eastAsia="en-GB"/>
        </w:rPr>
        <w:t>.</w:t>
      </w:r>
    </w:p>
    <w:p w14:paraId="41617433" w14:textId="77777777" w:rsidR="00DF674D" w:rsidRPr="00560C89" w:rsidRDefault="00DF674D" w:rsidP="005B6C04">
      <w:pPr>
        <w:rPr>
          <w:lang w:val="en-ZA" w:eastAsia="en-GB"/>
        </w:rPr>
      </w:pPr>
      <w:r w:rsidRPr="00560C89">
        <w:rPr>
          <w:lang w:val="en-ZA" w:eastAsia="en-GB"/>
        </w:rPr>
        <w:t>As a conclusion, the group still has an issue between ‘posting’ and ‘not posting’ case. If the withholding tax has been posted, then it can’t be anything else than a cancel / replace.</w:t>
      </w:r>
    </w:p>
    <w:p w14:paraId="52B39D92" w14:textId="77777777" w:rsidR="00DF674D" w:rsidRDefault="00DF674D" w:rsidP="005B6C04">
      <w:pPr>
        <w:rPr>
          <w:lang w:val="en-ZA" w:eastAsia="en-GB"/>
        </w:rPr>
      </w:pPr>
      <w:r w:rsidRPr="00560C89">
        <w:rPr>
          <w:lang w:val="en-ZA" w:eastAsia="en-GB"/>
        </w:rPr>
        <w:t>More generally speaking, and despite of the fact that Robin Leary already provided some examples, there is no specific NMPG request raised on this topic so it would be preferable to have first some NMPGs feedbacks and / or a specific request from a Market where there is this issue.</w:t>
      </w:r>
    </w:p>
    <w:p w14:paraId="4FB0CA19" w14:textId="77777777" w:rsidR="00DF674D" w:rsidRPr="005B6C04" w:rsidRDefault="00DF674D" w:rsidP="005B6C04">
      <w:pPr>
        <w:rPr>
          <w:lang w:val="en-ZA" w:eastAsia="en-GB"/>
        </w:rPr>
      </w:pPr>
    </w:p>
    <w:p w14:paraId="4C45F5AD" w14:textId="77777777" w:rsidR="005B60FA" w:rsidRDefault="005B60FA" w:rsidP="00C62FC4">
      <w:pPr>
        <w:rPr>
          <w:u w:val="single"/>
          <w:lang w:val="en-ZA" w:eastAsia="en-GB"/>
        </w:rPr>
      </w:pPr>
      <w:r>
        <w:rPr>
          <w:u w:val="single"/>
          <w:lang w:val="en-ZA" w:eastAsia="en-GB"/>
        </w:rPr>
        <w:t>October 2020 call:</w:t>
      </w:r>
    </w:p>
    <w:p w14:paraId="32EECA76" w14:textId="77777777" w:rsidR="005B60FA" w:rsidRPr="005B6C04" w:rsidRDefault="00685B6E" w:rsidP="00C62FC4">
      <w:pPr>
        <w:rPr>
          <w:lang w:val="en-ZA" w:eastAsia="en-GB"/>
        </w:rPr>
      </w:pPr>
      <w:r w:rsidRPr="005B6C04">
        <w:rPr>
          <w:lang w:val="en-ZA" w:eastAsia="en-GB"/>
        </w:rPr>
        <w:t>Final decision to take on this topic</w:t>
      </w:r>
    </w:p>
    <w:p w14:paraId="0DD9D7D4" w14:textId="77777777" w:rsidR="005B60FA" w:rsidRPr="005B6C04" w:rsidRDefault="005B60FA" w:rsidP="00C62FC4">
      <w:pPr>
        <w:rPr>
          <w:lang w:val="en-ZA" w:eastAsia="en-GB"/>
        </w:rPr>
      </w:pPr>
      <w:r w:rsidRPr="005B6C04">
        <w:rPr>
          <w:lang w:val="en-ZA" w:eastAsia="en-GB"/>
        </w:rPr>
        <w:t>Jacques also raised the fact that this topic has no number assigned for the follow-up.</w:t>
      </w:r>
    </w:p>
    <w:p w14:paraId="79399403" w14:textId="77777777" w:rsidR="005B60FA" w:rsidRPr="005B6C04" w:rsidRDefault="005B60FA" w:rsidP="00C62FC4">
      <w:pPr>
        <w:rPr>
          <w:lang w:val="en-ZA" w:eastAsia="en-GB"/>
        </w:rPr>
      </w:pPr>
      <w:r w:rsidRPr="005B6C04">
        <w:rPr>
          <w:lang w:val="en-ZA" w:eastAsia="en-GB"/>
        </w:rPr>
        <w:t>It has been agreed during the call that if the topic is maintained, a number will be assigned, if removed, no more need for a number</w:t>
      </w:r>
      <w:r w:rsidR="00685B6E" w:rsidRPr="005B6C04">
        <w:rPr>
          <w:lang w:val="en-ZA" w:eastAsia="en-GB"/>
        </w:rPr>
        <w:t>.</w:t>
      </w:r>
    </w:p>
    <w:p w14:paraId="30F0398B" w14:textId="77777777" w:rsidR="00685B6E" w:rsidRDefault="00685B6E" w:rsidP="00685B6E">
      <w:pPr>
        <w:rPr>
          <w:lang w:val="en-ZA" w:eastAsia="en-GB"/>
        </w:rPr>
      </w:pPr>
      <w:r w:rsidRPr="005B6C04">
        <w:rPr>
          <w:lang w:val="en-ZA" w:eastAsia="en-GB"/>
        </w:rPr>
        <w:t>Mari suggested to see if some additional examples could be found in some other Markets and this case will also be shared within the UK Market.</w:t>
      </w:r>
    </w:p>
    <w:p w14:paraId="0ADC461E" w14:textId="77777777" w:rsidR="00685B6E" w:rsidRPr="005B60FA" w:rsidRDefault="00685B6E" w:rsidP="00C62FC4">
      <w:pPr>
        <w:rPr>
          <w:lang w:val="en-ZA" w:eastAsia="en-GB"/>
        </w:rPr>
      </w:pPr>
    </w:p>
    <w:p w14:paraId="3F7A9E5A" w14:textId="77777777" w:rsidR="005B60FA" w:rsidRPr="005B60FA" w:rsidRDefault="005B60FA" w:rsidP="00C62FC4">
      <w:pPr>
        <w:rPr>
          <w:u w:val="single"/>
          <w:lang w:val="en-ZA" w:eastAsia="en-GB"/>
        </w:rPr>
      </w:pPr>
      <w:r w:rsidRPr="005B60FA">
        <w:rPr>
          <w:u w:val="single"/>
          <w:lang w:val="en-ZA" w:eastAsia="en-GB"/>
        </w:rPr>
        <w:t>June 2020 call:</w:t>
      </w:r>
    </w:p>
    <w:p w14:paraId="5E19B80A" w14:textId="77777777" w:rsidR="00296BB7" w:rsidRDefault="00296BB7" w:rsidP="00C62FC4">
      <w:pPr>
        <w:rPr>
          <w:lang w:val="en-ZA" w:eastAsia="en-GB"/>
        </w:rPr>
      </w:pPr>
      <w:r>
        <w:rPr>
          <w:lang w:val="en-ZA" w:eastAsia="en-GB"/>
        </w:rPr>
        <w:t>Further to Robin Leary’s previous presentation in April, some additional comments were raised during the June call:</w:t>
      </w:r>
    </w:p>
    <w:p w14:paraId="1BB62D34" w14:textId="77777777" w:rsidR="00296BB7" w:rsidRDefault="00296BB7" w:rsidP="00C62FC4">
      <w:pPr>
        <w:rPr>
          <w:lang w:val="en-ZA" w:eastAsia="en-GB"/>
        </w:rPr>
      </w:pPr>
      <w:r>
        <w:rPr>
          <w:lang w:val="en-ZA" w:eastAsia="en-GB"/>
        </w:rPr>
        <w:t>Liz confirmed that her preference is a Cancel / Replace process via MT566</w:t>
      </w:r>
      <w:r>
        <w:rPr>
          <w:lang w:val="en-ZA" w:eastAsia="en-GB"/>
        </w:rPr>
        <w:br/>
        <w:t>Sanjeev explained that the context was understood but it should be considered as an adjustment of an incorrect initial posting</w:t>
      </w:r>
      <w:r>
        <w:rPr>
          <w:lang w:val="en-ZA" w:eastAsia="en-GB"/>
        </w:rPr>
        <w:br/>
        <w:t xml:space="preserve">Finally, Mari suggested to see if some additional examples could be find in some other Markets and this case will </w:t>
      </w:r>
      <w:r w:rsidR="003E570F">
        <w:rPr>
          <w:lang w:val="en-ZA" w:eastAsia="en-GB"/>
        </w:rPr>
        <w:t xml:space="preserve">also </w:t>
      </w:r>
      <w:r>
        <w:rPr>
          <w:lang w:val="en-ZA" w:eastAsia="en-GB"/>
        </w:rPr>
        <w:t>be shared within the UK Market.</w:t>
      </w:r>
    </w:p>
    <w:p w14:paraId="36F0E800" w14:textId="77777777" w:rsidR="00296BB7" w:rsidRDefault="00296BB7" w:rsidP="00C62FC4">
      <w:pPr>
        <w:rPr>
          <w:lang w:val="en-ZA" w:eastAsia="en-GB"/>
        </w:rPr>
      </w:pPr>
    </w:p>
    <w:p w14:paraId="5301261C" w14:textId="77777777" w:rsidR="00296BB7" w:rsidRPr="00296BB7" w:rsidRDefault="00296BB7" w:rsidP="00C62FC4">
      <w:pPr>
        <w:rPr>
          <w:u w:val="single"/>
          <w:lang w:val="en-ZA" w:eastAsia="en-GB"/>
        </w:rPr>
      </w:pPr>
      <w:r w:rsidRPr="00296BB7">
        <w:rPr>
          <w:u w:val="single"/>
          <w:lang w:val="en-ZA" w:eastAsia="en-GB"/>
        </w:rPr>
        <w:t>April 20</w:t>
      </w:r>
      <w:r w:rsidR="003E570F">
        <w:rPr>
          <w:u w:val="single"/>
          <w:lang w:val="en-ZA" w:eastAsia="en-GB"/>
        </w:rPr>
        <w:t>2</w:t>
      </w:r>
      <w:r w:rsidRPr="00296BB7">
        <w:rPr>
          <w:u w:val="single"/>
          <w:lang w:val="en-ZA" w:eastAsia="en-GB"/>
        </w:rPr>
        <w:t xml:space="preserve">0 call: </w:t>
      </w:r>
    </w:p>
    <w:p w14:paraId="6E1FDF67" w14:textId="77777777" w:rsidR="00C62FC4" w:rsidRDefault="00C62FC4" w:rsidP="00C62FC4">
      <w:pPr>
        <w:rPr>
          <w:lang w:val="en-ZA" w:eastAsia="en-GB"/>
        </w:rPr>
      </w:pPr>
      <w:r>
        <w:rPr>
          <w:lang w:val="en-ZA" w:eastAsia="en-GB"/>
        </w:rPr>
        <w:t>The call started by a presentation by R</w:t>
      </w:r>
      <w:r w:rsidR="00760101">
        <w:rPr>
          <w:lang w:val="en-ZA" w:eastAsia="en-GB"/>
        </w:rPr>
        <w:t>obin Leary of the business case related to the so called topic ‘Tax ‘’refunds’’ in the opposite direction’.</w:t>
      </w:r>
    </w:p>
    <w:p w14:paraId="57CA6D73" w14:textId="77777777" w:rsidR="00C62FC4" w:rsidRDefault="00C62FC4" w:rsidP="00C62FC4">
      <w:pPr>
        <w:rPr>
          <w:lang w:val="en-ZA" w:eastAsia="en-GB"/>
        </w:rPr>
      </w:pPr>
      <w:r>
        <w:rPr>
          <w:lang w:val="en-ZA" w:eastAsia="en-GB"/>
        </w:rPr>
        <w:lastRenderedPageBreak/>
        <w:t>To help discussions, some additional examples were provided by Robin. Please see below</w:t>
      </w:r>
      <w:r w:rsidR="00D5794C">
        <w:rPr>
          <w:lang w:val="en-ZA" w:eastAsia="en-GB"/>
        </w:rPr>
        <w:t>:</w:t>
      </w:r>
    </w:p>
    <w:p w14:paraId="0BD5B883" w14:textId="77777777" w:rsidR="00C62FC4" w:rsidRPr="00C62FC4" w:rsidRDefault="00760101" w:rsidP="00C62FC4">
      <w:pPr>
        <w:spacing w:after="0"/>
        <w:rPr>
          <w:rFonts w:ascii="Segoe UI" w:hAnsi="Segoe UI" w:cs="Segoe UI"/>
          <w:lang w:val="en-IE"/>
        </w:rPr>
      </w:pPr>
      <w:r>
        <w:rPr>
          <w:rFonts w:ascii="Segoe UI" w:hAnsi="Segoe UI" w:cs="Segoe UI"/>
          <w:lang w:val="en-IE"/>
        </w:rPr>
        <w:t>‘’</w:t>
      </w:r>
      <w:r w:rsidR="00C62FC4" w:rsidRPr="00C62FC4">
        <w:rPr>
          <w:rFonts w:ascii="Segoe UI" w:hAnsi="Segoe UI" w:cs="Segoe UI"/>
          <w:lang w:val="en-IE"/>
        </w:rPr>
        <w:t>It’s kind of a reverse of the tax refund. Instead of crediting an amount because too much tax was paid, this is debiting because too little tax was paid.</w:t>
      </w:r>
    </w:p>
    <w:p w14:paraId="21142400" w14:textId="77777777" w:rsidR="00C62FC4" w:rsidRPr="00C62FC4" w:rsidRDefault="00C62FC4" w:rsidP="00C62FC4">
      <w:pPr>
        <w:spacing w:after="0"/>
        <w:rPr>
          <w:rFonts w:ascii="Segoe UI" w:hAnsi="Segoe UI" w:cs="Segoe UI"/>
          <w:lang w:val="en-IE"/>
        </w:rPr>
      </w:pPr>
    </w:p>
    <w:p w14:paraId="1CB5E680" w14:textId="77777777" w:rsidR="00C62FC4" w:rsidRPr="00C62FC4" w:rsidRDefault="00C62FC4" w:rsidP="00C62FC4">
      <w:pPr>
        <w:spacing w:after="0"/>
        <w:rPr>
          <w:rFonts w:ascii="Segoe UI" w:hAnsi="Segoe UI" w:cs="Segoe UI"/>
          <w:lang w:val="en-IE"/>
        </w:rPr>
      </w:pPr>
      <w:r w:rsidRPr="00C62FC4">
        <w:rPr>
          <w:rFonts w:ascii="Segoe UI" w:hAnsi="Segoe UI" w:cs="Segoe UI"/>
          <w:lang w:val="en-IE"/>
        </w:rPr>
        <w:t>The way we’ve looked to do it is as a tax refund but with a debit CASHMOVE and a negative TRXC rate (instead of a positive one you’d normally see with the refund).</w:t>
      </w:r>
    </w:p>
    <w:p w14:paraId="09586F74" w14:textId="77777777" w:rsidR="00C62FC4" w:rsidRPr="00C62FC4" w:rsidRDefault="00C62FC4" w:rsidP="00C62FC4">
      <w:pPr>
        <w:spacing w:after="0"/>
        <w:rPr>
          <w:rFonts w:ascii="Segoe UI" w:hAnsi="Segoe UI" w:cs="Segoe UI"/>
          <w:lang w:val="en-IE"/>
        </w:rPr>
      </w:pPr>
      <w:r w:rsidRPr="00C62FC4">
        <w:rPr>
          <w:rFonts w:ascii="Segoe UI" w:hAnsi="Segoe UI" w:cs="Segoe UI"/>
          <w:lang w:val="en-IE"/>
        </w:rPr>
        <w:t>The following example is from an UAT environment with GBP element but the case is related to Japan and LATAM countries.</w:t>
      </w:r>
      <w:r w:rsidR="00760101">
        <w:rPr>
          <w:rFonts w:ascii="Segoe UI" w:hAnsi="Segoe UI" w:cs="Segoe UI"/>
          <w:lang w:val="en-IE"/>
        </w:rPr>
        <w:t>’’</w:t>
      </w:r>
    </w:p>
    <w:p w14:paraId="20B87C66" w14:textId="77777777" w:rsidR="00C62FC4" w:rsidRPr="00C62FC4" w:rsidRDefault="00C62FC4" w:rsidP="00C62FC4">
      <w:pPr>
        <w:spacing w:after="0"/>
        <w:rPr>
          <w:rFonts w:ascii="Segoe UI" w:hAnsi="Segoe UI" w:cs="Segoe UI"/>
          <w:lang w:val="en-IE"/>
        </w:rPr>
      </w:pPr>
    </w:p>
    <w:p w14:paraId="608924ED" w14:textId="77777777"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Scenario:</w:t>
      </w:r>
    </w:p>
    <w:p w14:paraId="085A8A1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WTH rate =                         10%</w:t>
      </w:r>
    </w:p>
    <w:p w14:paraId="146F6C3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Local rate =                        30%</w:t>
      </w:r>
    </w:p>
    <w:p w14:paraId="1197631C"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Gross Dividend =                              GBP 2.18                            </w:t>
      </w:r>
    </w:p>
    <w:p w14:paraId="77C1D69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WTH Tax =                                           GBP 0.22                            </w:t>
      </w:r>
    </w:p>
    <w:p w14:paraId="6251C87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Received =                                  GBP 1.96                            </w:t>
      </w:r>
    </w:p>
    <w:p w14:paraId="7683D82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Local Tax =                                          GBP 0.65                            </w:t>
      </w:r>
    </w:p>
    <w:p w14:paraId="3B07BA4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Dividend =                                  GBP 1.31                            </w:t>
      </w:r>
    </w:p>
    <w:p w14:paraId="32828139" w14:textId="77777777" w:rsidR="00C62FC4" w:rsidRPr="00C62FC4" w:rsidRDefault="00C62FC4" w:rsidP="00C62FC4">
      <w:pPr>
        <w:spacing w:after="0"/>
        <w:rPr>
          <w:rFonts w:ascii="Calibri" w:hAnsi="Calibri" w:cs="Times New Roman"/>
          <w:color w:val="1F497D"/>
          <w:sz w:val="22"/>
          <w:szCs w:val="22"/>
          <w:lang w:val="en-GB"/>
        </w:rPr>
      </w:pPr>
    </w:p>
    <w:p w14:paraId="53A4477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WTH rate =              50%</w:t>
      </w:r>
    </w:p>
    <w:p w14:paraId="60567F5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Local rate =              5%</w:t>
      </w:r>
    </w:p>
    <w:p w14:paraId="715F0D2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rate =                           (-)15% (i.e. 10%-50%+30%-5%)</w:t>
      </w:r>
    </w:p>
    <w:p w14:paraId="6688A35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amount (Debit) =     GBP 0.33</w:t>
      </w:r>
    </w:p>
    <w:p w14:paraId="22EF9C39" w14:textId="77777777" w:rsidR="00C62FC4" w:rsidRPr="00C62FC4" w:rsidRDefault="00C62FC4" w:rsidP="00C62FC4">
      <w:pPr>
        <w:spacing w:after="0"/>
        <w:rPr>
          <w:rFonts w:ascii="Calibri" w:hAnsi="Calibri" w:cs="Times New Roman"/>
          <w:color w:val="1F497D"/>
          <w:sz w:val="22"/>
          <w:szCs w:val="22"/>
          <w:lang w:val="en-GB"/>
        </w:rPr>
      </w:pPr>
    </w:p>
    <w:p w14:paraId="5D48F918" w14:textId="77777777"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MT564 Entitlement Notification:</w:t>
      </w:r>
    </w:p>
    <w:p w14:paraId="5388E502"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:16R:GENL                                                                      </w:t>
      </w:r>
    </w:p>
    <w:p w14:paraId="45C66F0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:20C::CORP//39931900300                                                        </w:t>
      </w:r>
    </w:p>
    <w:p w14:paraId="689DDED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:20C::SEME//39931900304/001                                                    </w:t>
      </w:r>
    </w:p>
    <w:p w14:paraId="0B7BD28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:23G:NEWM                                                                      </w:t>
      </w:r>
    </w:p>
    <w:p w14:paraId="284748E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:22F::CAEV//DVCA                                                               </w:t>
      </w:r>
    </w:p>
    <w:p w14:paraId="51C47592"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:22F::CAMV//VOLU                                                               </w:t>
      </w:r>
    </w:p>
    <w:p w14:paraId="78DF4FF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14:paraId="2A0B55C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:25D::PROC//ENTL                                                               </w:t>
      </w:r>
    </w:p>
    <w:p w14:paraId="0FE5886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:16R:LINK                                                                      </w:t>
      </w:r>
    </w:p>
    <w:p w14:paraId="73ADE51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:13A::LINK//566                                                                </w:t>
      </w:r>
    </w:p>
    <w:p w14:paraId="713A030F"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:20C::PREV//39931900301/003                                                    </w:t>
      </w:r>
    </w:p>
    <w:p w14:paraId="59944BB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:16S:LINK                                                                      </w:t>
      </w:r>
    </w:p>
    <w:p w14:paraId="2929694C"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14:paraId="34B95CD4"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14:paraId="462B112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:35B:ISIN GB00B0FYMT95                                                         </w:t>
      </w:r>
    </w:p>
    <w:p w14:paraId="7D3DBA5D"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HELICAL PLC           </w:t>
      </w:r>
    </w:p>
    <w:p w14:paraId="442380A4"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ORD GBP0.01                                                                    </w:t>
      </w:r>
    </w:p>
    <w:p w14:paraId="210ADAFD"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:16R:FIA                                                                       </w:t>
      </w:r>
    </w:p>
    <w:p w14:paraId="387FD35C"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:94B::PLIS//EXCH/XLON                                                          </w:t>
      </w:r>
    </w:p>
    <w:p w14:paraId="1ADC33C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:22F::MICO//OTHR                                                               </w:t>
      </w:r>
    </w:p>
    <w:p w14:paraId="0CBB64D0"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:16S:FIA                                                                       </w:t>
      </w:r>
    </w:p>
    <w:p w14:paraId="0C173B4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:16R:ACCTINFO                                                                  </w:t>
      </w:r>
    </w:p>
    <w:p w14:paraId="724A0A1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:97A::SAFE//6000000000                                                         </w:t>
      </w:r>
    </w:p>
    <w:p w14:paraId="1D7181B3"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:93B::ELIG//UNIT/150000,                                                       </w:t>
      </w:r>
    </w:p>
    <w:p w14:paraId="2689812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:93B::INBA//UNIT/0,                                                            </w:t>
      </w:r>
    </w:p>
    <w:p w14:paraId="042D6A5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lastRenderedPageBreak/>
        <w:t xml:space="preserve"> :93B::UNBA//UNIT/150000,                                                       </w:t>
      </w:r>
    </w:p>
    <w:p w14:paraId="5D54B6DC"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:16S:ACCTINFO                                                                  </w:t>
      </w:r>
    </w:p>
    <w:p w14:paraId="15F8056B"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:16S:USECU                                                                     </w:t>
      </w:r>
    </w:p>
    <w:p w14:paraId="66F49822"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:16R:CADETL                                                                    </w:t>
      </w:r>
    </w:p>
    <w:p w14:paraId="507D4E6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:98A::RDTE//20190131                                                           </w:t>
      </w:r>
    </w:p>
    <w:p w14:paraId="7234CD0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:98A::XDTE//20190131                                                           </w:t>
      </w:r>
    </w:p>
    <w:p w14:paraId="6EA9A38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:92F::INTR//GBP14,5                                                            </w:t>
      </w:r>
    </w:p>
    <w:p w14:paraId="7CF3A87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:22F::ADDB//CAPA                                                               </w:t>
      </w:r>
    </w:p>
    <w:p w14:paraId="2A93CF0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:22F::ADDB//TAXR                                                               </w:t>
      </w:r>
    </w:p>
    <w:p w14:paraId="03791C21"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:16S:CADETL                                                                    </w:t>
      </w:r>
    </w:p>
    <w:p w14:paraId="5838CB65"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:16R:CAOPTN                                                                    </w:t>
      </w:r>
    </w:p>
    <w:p w14:paraId="15DFBE6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:13A::CAON//001                                                                </w:t>
      </w:r>
    </w:p>
    <w:p w14:paraId="43975D2A"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:22F::CAOP//CASH                                                               </w:t>
      </w:r>
    </w:p>
    <w:p w14:paraId="20DDEA8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:11A::OPTN//GBP                                                                </w:t>
      </w:r>
    </w:p>
    <w:p w14:paraId="7C7A0CF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:17B::DFLT//Y                                                                  </w:t>
      </w:r>
    </w:p>
    <w:p w14:paraId="715018C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:98B::RDDT//UKWN                                                               </w:t>
      </w:r>
    </w:p>
    <w:p w14:paraId="28D2606F"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:16R:CASHMOVE                                                                  </w:t>
      </w:r>
    </w:p>
    <w:p w14:paraId="29CA3E5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14:paraId="4EC67C6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14:paraId="2F9F4B5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:19B::GRSS//GBP0,33                                                            </w:t>
      </w:r>
    </w:p>
    <w:p w14:paraId="0D1B27B9" w14:textId="77777777" w:rsidR="00C62FC4" w:rsidRPr="00C62FC4" w:rsidRDefault="00C62FC4" w:rsidP="00C62FC4">
      <w:pPr>
        <w:spacing w:after="0"/>
        <w:rPr>
          <w:rFonts w:ascii="Calibri" w:hAnsi="Calibri" w:cs="Times New Roman"/>
          <w:b/>
          <w:bCs/>
          <w:color w:val="1F497D"/>
          <w:sz w:val="22"/>
          <w:szCs w:val="22"/>
          <w:lang w:val="en-GB"/>
        </w:rPr>
      </w:pPr>
      <w:r w:rsidRPr="00C62FC4">
        <w:rPr>
          <w:rFonts w:ascii="Calibri" w:hAnsi="Calibri" w:cs="Times New Roman"/>
          <w:b/>
          <w:bCs/>
          <w:color w:val="1F497D"/>
          <w:sz w:val="22"/>
          <w:szCs w:val="22"/>
          <w:lang w:val="en-GB"/>
        </w:rPr>
        <w:t> </w:t>
      </w:r>
      <w:r w:rsidRPr="00C62FC4">
        <w:rPr>
          <w:rFonts w:ascii="Calibri" w:hAnsi="Calibri" w:cs="Times New Roman"/>
          <w:b/>
          <w:bCs/>
          <w:color w:val="1F497D"/>
          <w:sz w:val="22"/>
          <w:szCs w:val="22"/>
          <w:highlight w:val="green"/>
          <w:lang w:val="en-GB"/>
        </w:rPr>
        <w:t>:19B::TXRC//GBP0,33</w:t>
      </w:r>
      <w:r w:rsidRPr="00C62FC4">
        <w:rPr>
          <w:rFonts w:ascii="Calibri" w:hAnsi="Calibri" w:cs="Times New Roman"/>
          <w:b/>
          <w:bCs/>
          <w:color w:val="1F497D"/>
          <w:sz w:val="22"/>
          <w:szCs w:val="22"/>
          <w:lang w:val="en-GB"/>
        </w:rPr>
        <w:t xml:space="preserve">                                                            </w:t>
      </w:r>
    </w:p>
    <w:p w14:paraId="65CF9E2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:19B::ENTL//GBP0,33                                                            </w:t>
      </w:r>
    </w:p>
    <w:p w14:paraId="68F21B1F"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:98A::PAYD//20190131                                                                                                          </w:t>
      </w:r>
    </w:p>
    <w:p w14:paraId="2B076AE0"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highlight w:val="green"/>
          <w:lang w:val="pt-BR"/>
        </w:rPr>
        <w:t>:92A::TXRC//N15,</w:t>
      </w:r>
      <w:r w:rsidRPr="001D7DB1">
        <w:rPr>
          <w:rFonts w:ascii="Calibri" w:hAnsi="Calibri" w:cs="Times New Roman"/>
          <w:color w:val="1F497D"/>
          <w:sz w:val="22"/>
          <w:szCs w:val="22"/>
          <w:lang w:val="pt-BR"/>
        </w:rPr>
        <w:t xml:space="preserve">                                                               </w:t>
      </w:r>
    </w:p>
    <w:p w14:paraId="569BDB74"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:16S:CASHMOVE                                                                  </w:t>
      </w:r>
    </w:p>
    <w:p w14:paraId="343EE74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:16S:CAOPTN                                                                    </w:t>
      </w:r>
    </w:p>
    <w:p w14:paraId="6C3C5FF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:16R:ADDINFO                                                                   </w:t>
      </w:r>
    </w:p>
    <w:p w14:paraId="633A959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:70E::ADTX//TEST  6                                                            </w:t>
      </w:r>
    </w:p>
    <w:p w14:paraId="598AB73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:95P::MEOR//CITIGB2L                                                           </w:t>
      </w:r>
    </w:p>
    <w:p w14:paraId="39A3E3F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:16S:ADDINFO                                                                   </w:t>
      </w:r>
    </w:p>
    <w:p w14:paraId="5F6D67E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p>
    <w:p w14:paraId="0337D559" w14:textId="77777777"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MT566 Confirmation:</w:t>
      </w:r>
    </w:p>
    <w:p w14:paraId="1000754D"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:16R:GENL                                                                      </w:t>
      </w:r>
    </w:p>
    <w:p w14:paraId="7CA0C6C4"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:20C::CORP//39931900300                                                        </w:t>
      </w:r>
    </w:p>
    <w:p w14:paraId="3EF63C1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:20C::SEME//39931900304/002                                                    </w:t>
      </w:r>
    </w:p>
    <w:p w14:paraId="076C5E55"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:23G:NEWM                                                                      </w:t>
      </w:r>
    </w:p>
    <w:p w14:paraId="636B8EC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:22F::CAEV//INTR                                                               </w:t>
      </w:r>
    </w:p>
    <w:p w14:paraId="30519FCB"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14:paraId="466C025E"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:16R:LINK                                                                      </w:t>
      </w:r>
    </w:p>
    <w:p w14:paraId="38A39EE6"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:13A::LINK//564                                                                </w:t>
      </w:r>
    </w:p>
    <w:p w14:paraId="7813B3B8"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:20C::PREV//39931900304/001                                                    </w:t>
      </w:r>
    </w:p>
    <w:p w14:paraId="26E295B4"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:16S:LINK                                                                      </w:t>
      </w:r>
    </w:p>
    <w:p w14:paraId="5D95D79B"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14:paraId="587D3E82"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14:paraId="57D3DBF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:97A::SAFE//6000000000                                                     </w:t>
      </w:r>
    </w:p>
    <w:p w14:paraId="75AA6B4B"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:35B:ISIN GB00B0FYMT95                                                         </w:t>
      </w:r>
    </w:p>
    <w:p w14:paraId="25E310E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HELICAL PLC                                                                    </w:t>
      </w:r>
    </w:p>
    <w:p w14:paraId="130C8D72"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ORD GBP0.01                                                                    </w:t>
      </w:r>
    </w:p>
    <w:p w14:paraId="639AF6E0"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:16R:FIA                                                                       </w:t>
      </w:r>
    </w:p>
    <w:p w14:paraId="4AFDCC8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:94B::PLIS//EXCH/XLON                                                          </w:t>
      </w:r>
    </w:p>
    <w:p w14:paraId="059B8EF7"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:22F::MICO//OTHR                                                               </w:t>
      </w:r>
    </w:p>
    <w:p w14:paraId="3BC8573F"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:16S:FIA                                                                       </w:t>
      </w:r>
    </w:p>
    <w:p w14:paraId="0FC7EA9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lastRenderedPageBreak/>
        <w:t xml:space="preserve"> :93B::ELIG//UNIT/150000,                                                       </w:t>
      </w:r>
    </w:p>
    <w:p w14:paraId="037FB9D7"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:93B::CONB//UNIT/150000,                                                       </w:t>
      </w:r>
    </w:p>
    <w:p w14:paraId="560920CE"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:16S:USECU                                                                     </w:t>
      </w:r>
    </w:p>
    <w:p w14:paraId="373C656A"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:16R:CADETL                                                                    </w:t>
      </w:r>
    </w:p>
    <w:p w14:paraId="230B608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:98A::RDTE//20190131                                                           </w:t>
      </w:r>
    </w:p>
    <w:p w14:paraId="0683371F"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:98A::XDTE//20190131                                                           </w:t>
      </w:r>
    </w:p>
    <w:p w14:paraId="72E66172"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:22F::ADDB//TAXR                                                               </w:t>
      </w:r>
    </w:p>
    <w:p w14:paraId="0B3553AB"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:16S:CADETL                                                                    </w:t>
      </w:r>
    </w:p>
    <w:p w14:paraId="17D78756"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:16R:CACONF                                                                    </w:t>
      </w:r>
    </w:p>
    <w:p w14:paraId="426FBB45"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:13A::CAON//001                                                                </w:t>
      </w:r>
    </w:p>
    <w:p w14:paraId="5370156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:22F::CAOP//CASH                                                               </w:t>
      </w:r>
    </w:p>
    <w:p w14:paraId="0DF26B1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:16R:CASHMOVE                                                                  </w:t>
      </w:r>
    </w:p>
    <w:p w14:paraId="2801F95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14:paraId="6EC73EB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14:paraId="6CBEEB7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:19B::GRSS//GBP0,33                                                            </w:t>
      </w:r>
    </w:p>
    <w:p w14:paraId="735B47F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:19B::TXRC//GBP0,33</w:t>
      </w:r>
      <w:r w:rsidRPr="00C62FC4">
        <w:rPr>
          <w:rFonts w:ascii="Calibri" w:hAnsi="Calibri" w:cs="Times New Roman"/>
          <w:color w:val="1F497D"/>
          <w:sz w:val="22"/>
          <w:szCs w:val="22"/>
          <w:lang w:val="en-GB"/>
        </w:rPr>
        <w:t xml:space="preserve">                                                            </w:t>
      </w:r>
    </w:p>
    <w:p w14:paraId="0FE4703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:19B::NETT//GBP0,33                                                            </w:t>
      </w:r>
    </w:p>
    <w:p w14:paraId="49B21C0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:19B::PSTA//GBP0,33                                                            </w:t>
      </w:r>
    </w:p>
    <w:p w14:paraId="50EA839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:98A::POST//20191115                                                           </w:t>
      </w:r>
    </w:p>
    <w:p w14:paraId="4FC767D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:98A::VALU//20191115                                                           </w:t>
      </w:r>
    </w:p>
    <w:p w14:paraId="2FE8569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:98A::PAYD//20190131                                                           </w:t>
      </w:r>
    </w:p>
    <w:p w14:paraId="7F4F89E4"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highlight w:val="green"/>
          <w:lang w:val="pt-BR"/>
        </w:rPr>
        <w:t>:92A::TXRC//N15,</w:t>
      </w:r>
      <w:r w:rsidRPr="001D7DB1">
        <w:rPr>
          <w:rFonts w:ascii="Calibri" w:hAnsi="Calibri" w:cs="Times New Roman"/>
          <w:color w:val="1F497D"/>
          <w:sz w:val="22"/>
          <w:szCs w:val="22"/>
          <w:lang w:val="pt-BR"/>
        </w:rPr>
        <w:t xml:space="preserve">                                                               </w:t>
      </w:r>
    </w:p>
    <w:p w14:paraId="2969ED4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:92F::INTP//GBP14,5                                                            </w:t>
      </w:r>
    </w:p>
    <w:p w14:paraId="5FBFD98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:16S:CASHMOVE                                                                  </w:t>
      </w:r>
    </w:p>
    <w:p w14:paraId="5E085CF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:16S:CACONF                                                                    </w:t>
      </w:r>
    </w:p>
    <w:p w14:paraId="01E2680A"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:16R:ADDINFO                                                                   </w:t>
      </w:r>
    </w:p>
    <w:p w14:paraId="65BDFCFB"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:95P::MEOR//CITIGB2L                                                           </w:t>
      </w:r>
    </w:p>
    <w:p w14:paraId="449F0F9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:16S:ADDINFO          </w:t>
      </w:r>
    </w:p>
    <w:p w14:paraId="2526D021" w14:textId="77777777" w:rsidR="00C62FC4" w:rsidRDefault="00C62FC4" w:rsidP="00C62FC4">
      <w:pPr>
        <w:rPr>
          <w:lang w:val="en-ZA" w:eastAsia="en-GB"/>
        </w:rPr>
      </w:pPr>
    </w:p>
    <w:p w14:paraId="5D0B5083" w14:textId="77777777" w:rsidR="00C62FC4" w:rsidRPr="00D5794C" w:rsidRDefault="00D5794C" w:rsidP="00C62FC4">
      <w:pPr>
        <w:rPr>
          <w:b/>
          <w:u w:val="single"/>
          <w:lang w:val="en-ZA" w:eastAsia="en-GB"/>
        </w:rPr>
      </w:pPr>
      <w:r w:rsidRPr="003E570F">
        <w:rPr>
          <w:b/>
          <w:u w:val="single"/>
          <w:lang w:val="en-ZA" w:eastAsia="en-GB"/>
        </w:rPr>
        <w:t>Discussion during April 2020 call:</w:t>
      </w:r>
    </w:p>
    <w:p w14:paraId="161C9938" w14:textId="77777777" w:rsidR="00D5794C" w:rsidRDefault="00D5794C" w:rsidP="00C62FC4">
      <w:pPr>
        <w:rPr>
          <w:lang w:val="en-ZA" w:eastAsia="en-GB"/>
        </w:rPr>
      </w:pPr>
    </w:p>
    <w:p w14:paraId="622EB4D6" w14:textId="77777777" w:rsidR="00D5794C" w:rsidRDefault="00D5794C" w:rsidP="00C62FC4">
      <w:pPr>
        <w:rPr>
          <w:lang w:val="en-ZA" w:eastAsia="en-GB"/>
        </w:rPr>
      </w:pPr>
      <w:r>
        <w:rPr>
          <w:lang w:val="en-ZA" w:eastAsia="en-GB"/>
        </w:rPr>
        <w:t xml:space="preserve">People need to disregard the split between INBA / UNBA balances. UNBA balance is </w:t>
      </w:r>
      <w:r w:rsidR="00F95BFC">
        <w:rPr>
          <w:lang w:val="en-ZA" w:eastAsia="en-GB"/>
        </w:rPr>
        <w:t xml:space="preserve">only </w:t>
      </w:r>
      <w:r>
        <w:rPr>
          <w:lang w:val="en-ZA" w:eastAsia="en-GB"/>
        </w:rPr>
        <w:t>due to test environment</w:t>
      </w:r>
      <w:r w:rsidR="00F95BFC">
        <w:rPr>
          <w:lang w:val="en-ZA" w:eastAsia="en-GB"/>
        </w:rPr>
        <w:t xml:space="preserve"> so not a key point in the example provided.</w:t>
      </w:r>
    </w:p>
    <w:p w14:paraId="34DC5820" w14:textId="77777777" w:rsidR="00F95BFC" w:rsidRDefault="00760101" w:rsidP="00C62FC4">
      <w:pPr>
        <w:rPr>
          <w:lang w:val="en-ZA" w:eastAsia="en-GB"/>
        </w:rPr>
      </w:pPr>
      <w:r>
        <w:rPr>
          <w:lang w:val="en-ZA" w:eastAsia="en-GB"/>
        </w:rPr>
        <w:t>The f</w:t>
      </w:r>
      <w:r w:rsidR="00F95BFC">
        <w:rPr>
          <w:lang w:val="en-ZA" w:eastAsia="en-GB"/>
        </w:rPr>
        <w:t>irst point raised to Robin by the tax subgroup was this issue related to the Cancel / Replace process not applied in the proposed scenario.</w:t>
      </w:r>
      <w:r w:rsidR="00F95BFC">
        <w:rPr>
          <w:lang w:val="en-ZA" w:eastAsia="en-GB"/>
        </w:rPr>
        <w:br/>
      </w:r>
      <w:r w:rsidR="00F95BFC">
        <w:rPr>
          <w:lang w:val="en-ZA" w:eastAsia="en-GB"/>
        </w:rPr>
        <w:br/>
        <w:t>In the different / comments questions:</w:t>
      </w:r>
      <w:r w:rsidR="00F95BFC">
        <w:rPr>
          <w:lang w:val="en-ZA" w:eastAsia="en-GB"/>
        </w:rPr>
        <w:br/>
      </w:r>
      <w:r w:rsidR="00F95BFC">
        <w:rPr>
          <w:lang w:val="en-ZA" w:eastAsia="en-GB"/>
        </w:rPr>
        <w:br/>
        <w:t>Is it an internal adjustment or related to a Market adjustment? If it is a Market adjustment, then it can’t be something else than a cancel / replace. Furthermore, knowing that additional cash will come in relation to the Tax Reclaim</w:t>
      </w:r>
      <w:r>
        <w:rPr>
          <w:lang w:val="en-ZA" w:eastAsia="en-GB"/>
        </w:rPr>
        <w:t>, it is</w:t>
      </w:r>
      <w:r w:rsidR="00F95BFC">
        <w:rPr>
          <w:lang w:val="en-ZA" w:eastAsia="en-GB"/>
        </w:rPr>
        <w:t xml:space="preserve"> difficult to identify the exact Tax rate without a cancel / replace.</w:t>
      </w:r>
      <w:r>
        <w:rPr>
          <w:lang w:val="en-ZA" w:eastAsia="en-GB"/>
        </w:rPr>
        <w:t xml:space="preserve"> The original local rate needs to be known.</w:t>
      </w:r>
    </w:p>
    <w:p w14:paraId="042D8A10" w14:textId="77777777" w:rsidR="00F95BFC" w:rsidRDefault="00760101" w:rsidP="00C62FC4">
      <w:pPr>
        <w:rPr>
          <w:lang w:val="en-ZA" w:eastAsia="en-GB"/>
        </w:rPr>
      </w:pPr>
      <w:r>
        <w:rPr>
          <w:lang w:val="en-ZA" w:eastAsia="en-GB"/>
        </w:rPr>
        <w:t xml:space="preserve">Even if the rationale is clearly understood, the IT systems are not built for negative Tax rates. </w:t>
      </w:r>
      <w:r>
        <w:rPr>
          <w:lang w:val="en-ZA" w:eastAsia="en-GB"/>
        </w:rPr>
        <w:br/>
        <w:t>It may create a potential issue in the reconciliation process</w:t>
      </w:r>
      <w:r w:rsidR="000F274F">
        <w:rPr>
          <w:lang w:val="en-ZA" w:eastAsia="en-GB"/>
        </w:rPr>
        <w:t>.</w:t>
      </w:r>
    </w:p>
    <w:p w14:paraId="62163165" w14:textId="77777777" w:rsidR="00F95BFC" w:rsidRDefault="00F95BFC" w:rsidP="00C62FC4">
      <w:pPr>
        <w:rPr>
          <w:lang w:val="en-ZA" w:eastAsia="en-GB"/>
        </w:rPr>
      </w:pPr>
      <w:r>
        <w:rPr>
          <w:lang w:val="en-ZA" w:eastAsia="en-GB"/>
        </w:rPr>
        <w:t>.</w:t>
      </w:r>
    </w:p>
    <w:p w14:paraId="0871E8A1" w14:textId="77777777" w:rsidR="00760101" w:rsidRDefault="00F95BFC" w:rsidP="00C62FC4">
      <w:pPr>
        <w:rPr>
          <w:lang w:val="en-ZA" w:eastAsia="en-GB"/>
        </w:rPr>
      </w:pPr>
      <w:r>
        <w:rPr>
          <w:lang w:val="en-ZA" w:eastAsia="en-GB"/>
        </w:rPr>
        <w:t>Robin explained that the reason why the can</w:t>
      </w:r>
      <w:r w:rsidR="00760101">
        <w:rPr>
          <w:lang w:val="en-ZA" w:eastAsia="en-GB"/>
        </w:rPr>
        <w:t>cel / replace was not envisaged is due to the fact that here we are in the case of a first booking / posting followed by a second booking /posting.</w:t>
      </w:r>
      <w:r w:rsidR="000F274F">
        <w:rPr>
          <w:lang w:val="en-ZA" w:eastAsia="en-GB"/>
        </w:rPr>
        <w:br/>
      </w:r>
      <w:r w:rsidR="00760101">
        <w:rPr>
          <w:lang w:val="en-ZA" w:eastAsia="en-GB"/>
        </w:rPr>
        <w:t xml:space="preserve">Today, there are no messaging related to this case, the information is only sent via email. </w:t>
      </w:r>
      <w:r w:rsidR="000F274F">
        <w:rPr>
          <w:lang w:val="en-ZA" w:eastAsia="en-GB"/>
        </w:rPr>
        <w:br/>
        <w:t xml:space="preserve">It is the aim of this proposal to migrate into a SWIFT based format </w:t>
      </w:r>
    </w:p>
    <w:p w14:paraId="14F62269" w14:textId="77777777" w:rsidR="000F274F" w:rsidRDefault="000F274F" w:rsidP="00C62FC4">
      <w:pPr>
        <w:rPr>
          <w:lang w:val="en-ZA" w:eastAsia="en-GB"/>
        </w:rPr>
      </w:pPr>
      <w:r>
        <w:rPr>
          <w:lang w:val="en-ZA" w:eastAsia="en-GB"/>
        </w:rPr>
        <w:lastRenderedPageBreak/>
        <w:t>Mari highlighted the fact that we need to pay attention on countries where there is a Tax Credit process.</w:t>
      </w:r>
      <w:r>
        <w:rPr>
          <w:lang w:val="en-ZA" w:eastAsia="en-GB"/>
        </w:rPr>
        <w:br/>
      </w:r>
    </w:p>
    <w:p w14:paraId="4192D948" w14:textId="77777777" w:rsidR="000F274F" w:rsidRDefault="000F274F" w:rsidP="00C62FC4">
      <w:pPr>
        <w:rPr>
          <w:lang w:val="en-ZA" w:eastAsia="en-GB"/>
        </w:rPr>
      </w:pPr>
      <w:r>
        <w:rPr>
          <w:lang w:val="en-ZA" w:eastAsia="en-GB"/>
        </w:rPr>
        <w:t>If the solution proposed by Robin is accepted, the group confirmed the need of a clear definition and process knowing that the 2 following cases need to be taken into consideration:</w:t>
      </w:r>
    </w:p>
    <w:p w14:paraId="39A66F68" w14:textId="77777777" w:rsidR="000F274F" w:rsidRDefault="000F274F" w:rsidP="00C62FC4">
      <w:pPr>
        <w:rPr>
          <w:lang w:val="en-ZA" w:eastAsia="en-GB"/>
        </w:rPr>
      </w:pPr>
      <w:r>
        <w:rPr>
          <w:lang w:val="en-ZA" w:eastAsia="en-GB"/>
        </w:rPr>
        <w:t>a/ Markets with a standard Tax reclaim process</w:t>
      </w:r>
      <w:r>
        <w:rPr>
          <w:lang w:val="en-ZA" w:eastAsia="en-GB"/>
        </w:rPr>
        <w:br/>
        <w:t>b/ Markets where a</w:t>
      </w:r>
      <w:r w:rsidR="004952E6">
        <w:rPr>
          <w:lang w:val="en-ZA" w:eastAsia="en-GB"/>
        </w:rPr>
        <w:t xml:space="preserve"> </w:t>
      </w:r>
      <w:r>
        <w:rPr>
          <w:lang w:val="en-ZA" w:eastAsia="en-GB"/>
        </w:rPr>
        <w:t xml:space="preserve">quick refund is applied. </w:t>
      </w:r>
      <w:r w:rsidR="004952E6">
        <w:rPr>
          <w:lang w:val="en-ZA" w:eastAsia="en-GB"/>
        </w:rPr>
        <w:t>It is a practice in some Markets to credit the difference. Example of the QI certification: first, the account may be taxed at 30pct and when the certification is provided a credit of 15pct is posted back.</w:t>
      </w:r>
    </w:p>
    <w:p w14:paraId="410CB0DD" w14:textId="77777777" w:rsidR="000F274F" w:rsidRDefault="004952E6" w:rsidP="00C62FC4">
      <w:pPr>
        <w:rPr>
          <w:lang w:val="en-ZA" w:eastAsia="en-GB"/>
        </w:rPr>
      </w:pPr>
      <w:r>
        <w:rPr>
          <w:lang w:val="en-ZA" w:eastAsia="en-GB"/>
        </w:rPr>
        <w:t>In addition to the US, in some countries such as Italy or France, when the required documentation is received,</w:t>
      </w:r>
      <w:r w:rsidRPr="004952E6">
        <w:rPr>
          <w:lang w:val="en-ZA" w:eastAsia="en-GB"/>
        </w:rPr>
        <w:t xml:space="preserve"> </w:t>
      </w:r>
      <w:r>
        <w:rPr>
          <w:lang w:val="en-ZA" w:eastAsia="en-GB"/>
        </w:rPr>
        <w:t>the local custodian being also a Tax agent can adjust the original rate.</w:t>
      </w:r>
    </w:p>
    <w:p w14:paraId="1EE9DE16" w14:textId="77777777" w:rsidR="004952E6" w:rsidRDefault="004952E6" w:rsidP="00C62FC4">
      <w:pPr>
        <w:rPr>
          <w:lang w:val="en-ZA" w:eastAsia="en-GB"/>
        </w:rPr>
      </w:pPr>
      <w:r>
        <w:rPr>
          <w:lang w:val="en-ZA" w:eastAsia="en-GB"/>
        </w:rPr>
        <w:t xml:space="preserve">Regarding the second event (the </w:t>
      </w:r>
      <w:r w:rsidR="00BC24E6">
        <w:rPr>
          <w:lang w:val="en-ZA" w:eastAsia="en-GB"/>
        </w:rPr>
        <w:t>adjustment</w:t>
      </w:r>
      <w:r>
        <w:rPr>
          <w:lang w:val="en-ZA" w:eastAsia="en-GB"/>
        </w:rPr>
        <w:t xml:space="preserve">), should it be under the same Corporate Actions </w:t>
      </w:r>
      <w:r w:rsidR="00BC24E6">
        <w:rPr>
          <w:lang w:val="en-ZA" w:eastAsia="en-GB"/>
        </w:rPr>
        <w:t>event</w:t>
      </w:r>
      <w:r>
        <w:rPr>
          <w:lang w:val="en-ZA" w:eastAsia="en-GB"/>
        </w:rPr>
        <w:t xml:space="preserve"> (i.e. DVCA as in the example provided by Robin) or rather a TREC (long definition = event related to Tax Reclaim activities)?</w:t>
      </w:r>
    </w:p>
    <w:p w14:paraId="0CF9B6A1" w14:textId="77777777" w:rsidR="004952E6" w:rsidRDefault="00BC24E6" w:rsidP="004952E6">
      <w:pPr>
        <w:rPr>
          <w:lang w:val="en-ZA" w:eastAsia="en-GB"/>
        </w:rPr>
      </w:pPr>
      <w:r>
        <w:rPr>
          <w:lang w:val="en-ZA" w:eastAsia="en-GB"/>
        </w:rPr>
        <w:t>It appears that there is a need for a common example that could cover all cases. Some additional examples related to different Markets will be also welcome.</w:t>
      </w:r>
    </w:p>
    <w:p w14:paraId="62E000A6" w14:textId="77777777" w:rsidR="004952E6" w:rsidRPr="00C62FC4" w:rsidRDefault="004952E6" w:rsidP="004952E6">
      <w:pPr>
        <w:rPr>
          <w:lang w:val="en-ZA" w:eastAsia="en-GB"/>
        </w:rPr>
      </w:pPr>
      <w:r>
        <w:rPr>
          <w:lang w:val="en-ZA" w:eastAsia="en-GB"/>
        </w:rPr>
        <w:t xml:space="preserve">As a conclusion, if the Tax sub-group agrees on the proposal, the only </w:t>
      </w:r>
      <w:r w:rsidR="00DB5705">
        <w:rPr>
          <w:lang w:val="en-ZA" w:eastAsia="en-GB"/>
        </w:rPr>
        <w:t>impact</w:t>
      </w:r>
      <w:r>
        <w:rPr>
          <w:lang w:val="en-ZA" w:eastAsia="en-GB"/>
        </w:rPr>
        <w:t xml:space="preserve"> would be to change the current TXRC definition</w:t>
      </w:r>
      <w:r w:rsidR="00DC4698">
        <w:rPr>
          <w:lang w:val="en-ZA" w:eastAsia="en-GB"/>
        </w:rPr>
        <w:t xml:space="preserve"> in the SWIFT standards.</w:t>
      </w:r>
    </w:p>
    <w:p w14:paraId="4685C90E" w14:textId="77777777" w:rsidR="00D5794C" w:rsidRDefault="00D5794C" w:rsidP="00C62FC4">
      <w:pPr>
        <w:rPr>
          <w:lang w:val="en-ZA" w:eastAsia="en-GB"/>
        </w:rPr>
      </w:pPr>
      <w:r>
        <w:rPr>
          <w:lang w:val="en-ZA" w:eastAsia="en-GB"/>
        </w:rPr>
        <w:t>Current TXRC definition:</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95"/>
        <w:gridCol w:w="1742"/>
        <w:gridCol w:w="6886"/>
      </w:tblGrid>
      <w:tr w:rsidR="00D5794C" w:rsidRPr="00D5794C" w14:paraId="778D9455" w14:textId="77777777" w:rsidTr="00D5794C">
        <w:tc>
          <w:tcPr>
            <w:tcW w:w="0" w:type="auto"/>
            <w:hideMark/>
          </w:tcPr>
          <w:p w14:paraId="157EF561" w14:textId="77777777" w:rsidR="00601865" w:rsidRPr="00D5794C" w:rsidRDefault="00D5794C" w:rsidP="00D5794C">
            <w:pPr>
              <w:rPr>
                <w:lang w:eastAsia="en-GB"/>
              </w:rPr>
            </w:pPr>
            <w:r w:rsidRPr="00D5794C">
              <w:rPr>
                <w:lang w:eastAsia="en-GB"/>
              </w:rPr>
              <w:t>TXRC</w:t>
            </w:r>
          </w:p>
        </w:tc>
        <w:tc>
          <w:tcPr>
            <w:tcW w:w="935" w:type="pct"/>
            <w:hideMark/>
          </w:tcPr>
          <w:p w14:paraId="4298552B" w14:textId="77777777" w:rsidR="00601865" w:rsidRPr="00D5794C" w:rsidRDefault="00D5794C" w:rsidP="00D5794C">
            <w:pPr>
              <w:rPr>
                <w:lang w:eastAsia="en-GB"/>
              </w:rPr>
            </w:pPr>
            <w:r w:rsidRPr="00D5794C">
              <w:rPr>
                <w:lang w:eastAsia="en-GB"/>
              </w:rPr>
              <w:t>Reclaim of Taxes</w:t>
            </w:r>
          </w:p>
        </w:tc>
        <w:tc>
          <w:tcPr>
            <w:tcW w:w="3699" w:type="pct"/>
            <w:hideMark/>
          </w:tcPr>
          <w:p w14:paraId="69081EAC" w14:textId="77777777" w:rsidR="00601865" w:rsidRPr="00D5794C" w:rsidRDefault="00D5794C" w:rsidP="00D5794C">
            <w:pPr>
              <w:rPr>
                <w:lang w:eastAsia="en-GB"/>
              </w:rPr>
            </w:pPr>
            <w:r w:rsidRPr="00D5794C">
              <w:rPr>
                <w:lang w:eastAsia="en-GB"/>
              </w:rPr>
              <w:t>Amount that was paid in excess of actual tax obligation and was reclaimed.</w:t>
            </w:r>
          </w:p>
        </w:tc>
      </w:tr>
    </w:tbl>
    <w:p w14:paraId="0D8077A5" w14:textId="77777777" w:rsidR="00DB5705" w:rsidRDefault="00DB5705" w:rsidP="00BC24E6">
      <w:pPr>
        <w:rPr>
          <w:lang w:eastAsia="en-GB"/>
        </w:rPr>
      </w:pPr>
    </w:p>
    <w:p w14:paraId="147AA4AC" w14:textId="77777777" w:rsidR="00BC24E6" w:rsidRPr="00D5794C" w:rsidRDefault="00BC24E6" w:rsidP="00BC24E6">
      <w:pPr>
        <w:ind w:left="360"/>
      </w:pPr>
      <w:r>
        <w:t xml:space="preserve"> *  *  *  *  *  *  *  *  *  *  *  *  *  *  *  *  *  *  *  *  *  *  *  *  *  *  *  *  *  *  *  *  *  *  </w:t>
      </w:r>
    </w:p>
    <w:p w14:paraId="400C2902" w14:textId="77777777" w:rsidR="00C62FC4" w:rsidRDefault="00C62FC4" w:rsidP="00C62FC4">
      <w:pPr>
        <w:pStyle w:val="Actions"/>
        <w:jc w:val="left"/>
        <w:rPr>
          <w:i/>
          <w:color w:val="auto"/>
          <w:lang w:val="en-US"/>
        </w:rPr>
      </w:pPr>
    </w:p>
    <w:p w14:paraId="2D8E195B" w14:textId="77777777" w:rsidR="00C62FC4" w:rsidRPr="00C62FC4" w:rsidRDefault="00C62FC4" w:rsidP="00C62FC4">
      <w:pPr>
        <w:rPr>
          <w:lang w:val="en-ZA"/>
        </w:rPr>
      </w:pPr>
      <w:r w:rsidRPr="00C62FC4">
        <w:rPr>
          <w:u w:val="single"/>
          <w:lang w:val="en-ZA"/>
        </w:rPr>
        <w:t>February 2020 call:</w:t>
      </w:r>
      <w:r>
        <w:rPr>
          <w:lang w:val="en-ZA"/>
        </w:rPr>
        <w:t xml:space="preserve"> </w:t>
      </w:r>
      <w:r w:rsidRPr="00C62FC4">
        <w:rPr>
          <w:lang w:val="en-ZA"/>
        </w:rPr>
        <w:t>No progress. JP will double check if the topic is still open</w:t>
      </w:r>
    </w:p>
    <w:p w14:paraId="3F6F738D" w14:textId="77777777" w:rsidR="00C62FC4" w:rsidRPr="00144BCB" w:rsidRDefault="00C62FC4" w:rsidP="00C62FC4">
      <w:pPr>
        <w:pStyle w:val="Actions"/>
        <w:jc w:val="left"/>
        <w:rPr>
          <w:color w:val="auto"/>
          <w:highlight w:val="yellow"/>
          <w:u w:val="single"/>
          <w:lang w:val="en-ZA"/>
        </w:rPr>
      </w:pPr>
    </w:p>
    <w:p w14:paraId="31B0CA9B" w14:textId="77777777" w:rsidR="00C62FC4" w:rsidRPr="00E23A36" w:rsidRDefault="00C62FC4" w:rsidP="00C62FC4">
      <w:pPr>
        <w:pStyle w:val="Actions"/>
        <w:jc w:val="left"/>
        <w:rPr>
          <w:color w:val="auto"/>
          <w:u w:val="single"/>
          <w:lang w:val="en-US"/>
        </w:rPr>
      </w:pPr>
      <w:r w:rsidRPr="00E23A36">
        <w:rPr>
          <w:color w:val="auto"/>
          <w:u w:val="single"/>
          <w:lang w:val="en-US"/>
        </w:rPr>
        <w:t xml:space="preserve">Comments / additional questions during December </w:t>
      </w:r>
      <w:r w:rsidR="003E570F">
        <w:rPr>
          <w:color w:val="auto"/>
          <w:u w:val="single"/>
          <w:lang w:val="en-US"/>
        </w:rPr>
        <w:t xml:space="preserve">2019 </w:t>
      </w:r>
      <w:r w:rsidRPr="00E23A36">
        <w:rPr>
          <w:color w:val="auto"/>
          <w:u w:val="single"/>
          <w:lang w:val="en-US"/>
        </w:rPr>
        <w:t>call:</w:t>
      </w:r>
    </w:p>
    <w:p w14:paraId="665962BD" w14:textId="77777777" w:rsidR="00C62FC4" w:rsidRPr="00E23A36" w:rsidRDefault="00C62FC4" w:rsidP="00C62FC4">
      <w:pPr>
        <w:pStyle w:val="Actions"/>
        <w:jc w:val="left"/>
        <w:rPr>
          <w:color w:val="auto"/>
          <w:lang w:val="en-US"/>
        </w:rPr>
      </w:pPr>
      <w:r w:rsidRPr="00E23A36">
        <w:rPr>
          <w:color w:val="auto"/>
          <w:lang w:val="en-US"/>
        </w:rPr>
        <w:t>Is the case similar to Tax adjustment as for QI in the US ?</w:t>
      </w:r>
    </w:p>
    <w:p w14:paraId="0E2DE2FA" w14:textId="77777777" w:rsidR="00C62FC4" w:rsidRPr="00E23A36" w:rsidRDefault="00C62FC4" w:rsidP="00C62FC4">
      <w:pPr>
        <w:pStyle w:val="Actions"/>
        <w:jc w:val="left"/>
        <w:rPr>
          <w:color w:val="auto"/>
          <w:lang w:val="en-US"/>
        </w:rPr>
      </w:pPr>
      <w:r w:rsidRPr="00E23A36">
        <w:rPr>
          <w:color w:val="auto"/>
          <w:lang w:val="en-US"/>
        </w:rPr>
        <w:t>We need to clarify if it is related to a payment adjustment or refund because refund may implies other concerns such as tax collection to Tax authorities</w:t>
      </w:r>
    </w:p>
    <w:p w14:paraId="11693D08" w14:textId="77777777" w:rsidR="00C62FC4" w:rsidRPr="00E23A36" w:rsidRDefault="00C62FC4" w:rsidP="00C62FC4">
      <w:pPr>
        <w:pStyle w:val="Actions"/>
        <w:jc w:val="left"/>
        <w:rPr>
          <w:color w:val="auto"/>
          <w:lang w:val="en-US"/>
        </w:rPr>
      </w:pPr>
      <w:r w:rsidRPr="00E23A36">
        <w:rPr>
          <w:color w:val="auto"/>
          <w:lang w:val="en-US"/>
        </w:rPr>
        <w:t>Are we in a Quick refund scenario ? but what could be the added value compared to a cancel / replace ?</w:t>
      </w:r>
    </w:p>
    <w:p w14:paraId="0D5715D4" w14:textId="77777777" w:rsidR="00C62FC4" w:rsidRPr="00E23A36" w:rsidRDefault="00C62FC4" w:rsidP="00C62FC4">
      <w:pPr>
        <w:pStyle w:val="Actions"/>
        <w:jc w:val="left"/>
        <w:rPr>
          <w:color w:val="auto"/>
          <w:lang w:val="en-US"/>
        </w:rPr>
      </w:pPr>
      <w:r w:rsidRPr="00E23A36">
        <w:rPr>
          <w:color w:val="auto"/>
          <w:lang w:val="en-US"/>
        </w:rPr>
        <w:t xml:space="preserve">Similarly to the above question, </w:t>
      </w:r>
      <w:r w:rsidR="003E570F">
        <w:rPr>
          <w:color w:val="auto"/>
          <w:lang w:val="en-US"/>
        </w:rPr>
        <w:t>i</w:t>
      </w:r>
      <w:r w:rsidRPr="00E23A36">
        <w:rPr>
          <w:color w:val="auto"/>
          <w:lang w:val="en-US"/>
        </w:rPr>
        <w:t xml:space="preserve">s it rather an adjustment on the income payment or an adjustment on the taxation part (Tax reclaim itself) ? </w:t>
      </w:r>
    </w:p>
    <w:p w14:paraId="60ED2926" w14:textId="77777777" w:rsidR="00C62FC4" w:rsidRPr="00E23A36" w:rsidRDefault="00C62FC4" w:rsidP="00C62FC4">
      <w:pPr>
        <w:pStyle w:val="Actions"/>
        <w:jc w:val="left"/>
        <w:rPr>
          <w:color w:val="auto"/>
          <w:lang w:val="en-US"/>
        </w:rPr>
      </w:pPr>
      <w:r w:rsidRPr="00E23A36">
        <w:rPr>
          <w:color w:val="auto"/>
          <w:lang w:val="en-US"/>
        </w:rPr>
        <w:t>Sanjeev will check how it works in South Africa because this case seems to remind him a similar scenario in the South African Market.</w:t>
      </w:r>
    </w:p>
    <w:p w14:paraId="05508D6C" w14:textId="77777777" w:rsidR="00C62FC4" w:rsidRPr="00E23A36" w:rsidRDefault="00C62FC4" w:rsidP="00C62FC4">
      <w:pPr>
        <w:pStyle w:val="Actions"/>
        <w:jc w:val="left"/>
        <w:rPr>
          <w:b/>
          <w:color w:val="auto"/>
          <w:lang w:val="en-US"/>
        </w:rPr>
      </w:pPr>
      <w:r w:rsidRPr="00E23A36">
        <w:rPr>
          <w:b/>
          <w:color w:val="auto"/>
          <w:lang w:val="en-US"/>
        </w:rPr>
        <w:t>In addition, Daniel sent also some comments by email:</w:t>
      </w:r>
    </w:p>
    <w:p w14:paraId="7E4E09F3" w14:textId="77777777" w:rsidR="00C62FC4" w:rsidRPr="00E23A36" w:rsidRDefault="00C62FC4" w:rsidP="00C62FC4">
      <w:pPr>
        <w:rPr>
          <w:i/>
        </w:rPr>
      </w:pPr>
      <w:r w:rsidRPr="00E23A36">
        <w:rPr>
          <w:i/>
        </w:rPr>
        <w:t>To me, if the tax rate of a payment has been wrong, this is totally different than a tax reclaim.</w:t>
      </w:r>
    </w:p>
    <w:p w14:paraId="12E0A571" w14:textId="77777777" w:rsidR="00C62FC4" w:rsidRPr="00E23A36" w:rsidRDefault="00C62FC4" w:rsidP="00C62FC4">
      <w:pPr>
        <w:rPr>
          <w:i/>
        </w:rPr>
      </w:pPr>
      <w:r w:rsidRPr="00E23A36">
        <w:rPr>
          <w:i/>
        </w:rPr>
        <w:t>An incorrect payment calls for a reversal and corrected payment.</w:t>
      </w:r>
    </w:p>
    <w:p w14:paraId="4F37A4C2" w14:textId="77777777" w:rsidR="00C62FC4" w:rsidRPr="00E23A36" w:rsidRDefault="00C62FC4" w:rsidP="00C62FC4">
      <w:pPr>
        <w:rPr>
          <w:i/>
        </w:rPr>
      </w:pPr>
      <w:r w:rsidRPr="00E23A36">
        <w:rPr>
          <w:i/>
        </w:rPr>
        <w:t>A Tax Reclaim is generally initiated by the investor on a case-by-case basis; sometimes it is based on a standing instruction.</w:t>
      </w:r>
    </w:p>
    <w:p w14:paraId="24B895F9" w14:textId="77777777" w:rsidR="00C62FC4" w:rsidRPr="00E23A36" w:rsidRDefault="00C62FC4" w:rsidP="00C62FC4">
      <w:pPr>
        <w:rPr>
          <w:i/>
        </w:rPr>
      </w:pPr>
      <w:r w:rsidRPr="00E23A36">
        <w:rPr>
          <w:i/>
        </w:rPr>
        <w:t>A correction of the tax rate as a tax credit would generally not be processed as a tax reclaim credit.</w:t>
      </w:r>
    </w:p>
    <w:p w14:paraId="585E2FB9" w14:textId="77777777" w:rsidR="00C62FC4" w:rsidRPr="00E23A36" w:rsidRDefault="00C62FC4" w:rsidP="00C62FC4">
      <w:pPr>
        <w:rPr>
          <w:i/>
        </w:rPr>
      </w:pPr>
      <w:r w:rsidRPr="00E23A36">
        <w:rPr>
          <w:i/>
        </w:rPr>
        <w:t>Similarly, a correction of the tax rate as a debit should also not be processed as a reverse tax reclaim.</w:t>
      </w:r>
    </w:p>
    <w:p w14:paraId="3059A3E0" w14:textId="77777777" w:rsidR="00C62FC4" w:rsidRPr="00E23A36" w:rsidRDefault="00C62FC4" w:rsidP="00C62FC4">
      <w:pPr>
        <w:rPr>
          <w:i/>
        </w:rPr>
      </w:pPr>
      <w:r w:rsidRPr="00E23A36">
        <w:rPr>
          <w:i/>
        </w:rPr>
        <w:t>If the tax rate or the taxable amount was incorrect, a new MT564 should be sent, correcting the previous announcement. Many actors would not expect to receive an MT564 with corrections of event data once the event has been processed. The only case where 564s should follow 566s would be Market Claims and these messages should not be used to amend important event data.</w:t>
      </w:r>
    </w:p>
    <w:p w14:paraId="79F08FC7" w14:textId="77777777" w:rsidR="00C62FC4" w:rsidRPr="00E23A36" w:rsidRDefault="00C62FC4" w:rsidP="00C62FC4">
      <w:pPr>
        <w:rPr>
          <w:i/>
        </w:rPr>
      </w:pPr>
      <w:r w:rsidRPr="00E23A36">
        <w:rPr>
          <w:i/>
        </w:rPr>
        <w:lastRenderedPageBreak/>
        <w:t>The majority of actors would therefor expect the MT566 to be reversed before receiving an MT564 with corrected event data fields.</w:t>
      </w:r>
    </w:p>
    <w:p w14:paraId="1CC8C978" w14:textId="77777777" w:rsidR="00C62FC4" w:rsidRPr="00134B9E" w:rsidRDefault="00C62FC4" w:rsidP="00C62FC4">
      <w:pPr>
        <w:rPr>
          <w:i/>
        </w:rPr>
      </w:pPr>
      <w:r w:rsidRPr="00E23A36">
        <w:rPr>
          <w:i/>
        </w:rPr>
        <w:t>Therefore, the tax should not be corrected by merely posting a tax reclaim to pay the tax difference amount, but as a reversal and corrected new posting.</w:t>
      </w:r>
    </w:p>
    <w:p w14:paraId="5DE5C3F4" w14:textId="77777777" w:rsidR="00C62FC4" w:rsidRDefault="00C62FC4" w:rsidP="00C62FC4">
      <w:pPr>
        <w:rPr>
          <w:lang w:val="en-ZA" w:eastAsia="en-GB"/>
        </w:rPr>
      </w:pPr>
    </w:p>
    <w:p w14:paraId="529B4CCB" w14:textId="77777777" w:rsidR="00C62FC4" w:rsidRPr="00F962CB" w:rsidRDefault="00C62FC4" w:rsidP="00C62FC4">
      <w:pPr>
        <w:rPr>
          <w:lang w:val="en-ZA" w:eastAsia="en-GB"/>
        </w:rPr>
      </w:pPr>
    </w:p>
    <w:p w14:paraId="2ADDE9D4" w14:textId="77777777" w:rsidR="00C62FC4" w:rsidRDefault="00C62FC4" w:rsidP="00C62FC4">
      <w:pPr>
        <w:rPr>
          <w:u w:val="single"/>
          <w:lang w:val="en-ZA"/>
        </w:rPr>
      </w:pPr>
      <w:r w:rsidRPr="00FA49A6">
        <w:rPr>
          <w:u w:val="single"/>
          <w:lang w:val="en-ZA"/>
        </w:rPr>
        <w:t xml:space="preserve">Discussion during October 2019 call: </w:t>
      </w:r>
    </w:p>
    <w:p w14:paraId="1E603AF1" w14:textId="77777777" w:rsidR="00C62FC4" w:rsidRPr="00FA49A6" w:rsidRDefault="00C62FC4" w:rsidP="00C62FC4">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14:paraId="6CC1E99E" w14:textId="77777777" w:rsidR="00C62FC4" w:rsidRPr="00FA49A6" w:rsidRDefault="00C62FC4" w:rsidP="00C62FC4">
      <w:pPr>
        <w:rPr>
          <w:lang w:val="en-ZA"/>
        </w:rPr>
      </w:pPr>
      <w:r w:rsidRPr="00FA49A6">
        <w:rPr>
          <w:lang w:val="en-ZA"/>
        </w:rPr>
        <w:t>Nevertheless, in both cases, the group would recommend a Cancel / Replace process.</w:t>
      </w:r>
    </w:p>
    <w:p w14:paraId="662C49D5" w14:textId="77777777" w:rsidR="00C62FC4" w:rsidRDefault="00C62FC4" w:rsidP="00C62FC4">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14:paraId="4C195EE6" w14:textId="77777777" w:rsidR="00C62FC4" w:rsidRPr="00F62B1B" w:rsidRDefault="00C62FC4" w:rsidP="00C62FC4">
      <w:pPr>
        <w:pStyle w:val="Actions"/>
        <w:rPr>
          <w:lang w:val="en-US"/>
        </w:rPr>
      </w:pPr>
      <w:r w:rsidRPr="00F62B1B">
        <w:rPr>
          <w:b/>
          <w:u w:val="single"/>
          <w:lang w:val="en-US"/>
        </w:rPr>
        <w:t>Action</w:t>
      </w:r>
      <w:r w:rsidRPr="00F62B1B">
        <w:rPr>
          <w:lang w:val="en-US"/>
        </w:rPr>
        <w:t xml:space="preserve">: </w:t>
      </w:r>
    </w:p>
    <w:p w14:paraId="7B6073C2" w14:textId="5B30E41B" w:rsidR="007B3D96" w:rsidRDefault="008A5B30" w:rsidP="007B3D96">
      <w:pPr>
        <w:rPr>
          <w:color w:val="FF0000"/>
          <w:lang w:val="en-ZA" w:eastAsia="en-GB"/>
        </w:rPr>
      </w:pPr>
      <w:r>
        <w:rPr>
          <w:color w:val="FF0000"/>
          <w:lang w:val="en-ZA" w:eastAsia="en-GB"/>
        </w:rPr>
        <w:t>Topic on hold</w:t>
      </w:r>
      <w:r w:rsidR="005F4678">
        <w:rPr>
          <w:color w:val="FF0000"/>
          <w:lang w:val="en-ZA" w:eastAsia="en-GB"/>
        </w:rPr>
        <w:t xml:space="preserve"> until additional input from UK Global Custodians</w:t>
      </w:r>
    </w:p>
    <w:p w14:paraId="045A7453" w14:textId="35A19AAF" w:rsidR="00685B6E" w:rsidRPr="00685B6E" w:rsidRDefault="007B3D96" w:rsidP="005B60FA">
      <w:pPr>
        <w:rPr>
          <w:color w:val="FF0000"/>
          <w:lang w:val="en-ZA" w:eastAsia="en-GB"/>
        </w:rPr>
      </w:pPr>
      <w:r w:rsidRPr="007B3D96">
        <w:rPr>
          <w:color w:val="FF0000"/>
          <w:lang w:val="en-ZA" w:eastAsia="en-GB"/>
        </w:rPr>
        <w:t>Mari will raise again this topic at the next UK/IE NMPG call</w:t>
      </w:r>
      <w:r>
        <w:rPr>
          <w:color w:val="FF0000"/>
          <w:lang w:val="en-ZA" w:eastAsia="en-GB"/>
        </w:rPr>
        <w:t>.</w:t>
      </w:r>
      <w:r w:rsidR="008A5B30">
        <w:rPr>
          <w:color w:val="FF0000"/>
          <w:lang w:val="en-ZA" w:eastAsia="en-GB"/>
        </w:rPr>
        <w:br/>
      </w:r>
    </w:p>
    <w:p w14:paraId="6F15E6A8" w14:textId="77777777" w:rsidR="003E570F" w:rsidRDefault="003E570F" w:rsidP="000B1FE2">
      <w:pPr>
        <w:pStyle w:val="Actions"/>
        <w:jc w:val="left"/>
        <w:rPr>
          <w:color w:val="auto"/>
        </w:rPr>
      </w:pPr>
    </w:p>
    <w:p w14:paraId="363EA043" w14:textId="77777777" w:rsidR="007A0DE1" w:rsidRPr="007A0DE1" w:rsidRDefault="007A0DE1" w:rsidP="00AA7172">
      <w:pPr>
        <w:pStyle w:val="Heading1"/>
        <w:numPr>
          <w:ilvl w:val="0"/>
          <w:numId w:val="0"/>
        </w:numPr>
      </w:pPr>
      <w:bookmarkStart w:id="9" w:name="_Toc80119643"/>
      <w:r>
        <w:t xml:space="preserve">CA 438 </w:t>
      </w:r>
      <w:r w:rsidRPr="007A0DE1">
        <w:t>Review GMP1 section 3.14 - (Movement Sequence &amp; Tax Rates)</w:t>
      </w:r>
      <w:bookmarkEnd w:id="9"/>
    </w:p>
    <w:p w14:paraId="1C3F1515" w14:textId="3824A397" w:rsidR="00643A78" w:rsidRPr="007B3D96" w:rsidRDefault="00643A78" w:rsidP="00D53337">
      <w:pPr>
        <w:rPr>
          <w:highlight w:val="green"/>
          <w:u w:val="single"/>
          <w:lang w:val="en-ZA"/>
        </w:rPr>
      </w:pPr>
      <w:r w:rsidRPr="007B3D96">
        <w:rPr>
          <w:highlight w:val="green"/>
          <w:u w:val="single"/>
          <w:lang w:val="en-ZA"/>
        </w:rPr>
        <w:t>July 2021 call:</w:t>
      </w:r>
    </w:p>
    <w:p w14:paraId="70A4A867" w14:textId="571909C6" w:rsidR="00643A78" w:rsidRDefault="00643A78" w:rsidP="00D53337">
      <w:pPr>
        <w:rPr>
          <w:highlight w:val="green"/>
          <w:lang w:val="en-ZA"/>
        </w:rPr>
      </w:pPr>
      <w:r>
        <w:rPr>
          <w:highlight w:val="green"/>
          <w:lang w:val="en-ZA"/>
        </w:rPr>
        <w:t>3.14 needs to be reword</w:t>
      </w:r>
      <w:r w:rsidR="005F3ACD">
        <w:rPr>
          <w:highlight w:val="green"/>
          <w:lang w:val="en-ZA"/>
        </w:rPr>
        <w:t>ed. Mari and JP will work on it to propose a new version to the Tax sub-group.</w:t>
      </w:r>
    </w:p>
    <w:p w14:paraId="3544ED27" w14:textId="77777777" w:rsidR="00643A78" w:rsidRDefault="00643A78" w:rsidP="00D53337">
      <w:pPr>
        <w:rPr>
          <w:highlight w:val="green"/>
          <w:lang w:val="en-ZA"/>
        </w:rPr>
      </w:pPr>
    </w:p>
    <w:p w14:paraId="4E6695B7" w14:textId="3B187B74" w:rsidR="00C620E8" w:rsidRPr="00643A78" w:rsidRDefault="00C620E8" w:rsidP="00D53337">
      <w:pPr>
        <w:rPr>
          <w:lang w:val="en-ZA"/>
        </w:rPr>
      </w:pPr>
      <w:r w:rsidRPr="00643A78">
        <w:rPr>
          <w:lang w:val="en-ZA"/>
        </w:rPr>
        <w:t>April 2021 call:</w:t>
      </w:r>
      <w:r w:rsidRPr="00643A78">
        <w:rPr>
          <w:lang w:val="en-ZA"/>
        </w:rPr>
        <w:br/>
      </w:r>
      <w:r w:rsidRPr="00643A78">
        <w:rPr>
          <w:lang w:val="en-ZA" w:eastAsia="en-GB"/>
        </w:rPr>
        <w:t>JP would like to check again with Mari the exact issue that has been raised in the past.</w:t>
      </w:r>
    </w:p>
    <w:p w14:paraId="6BB58369" w14:textId="77777777" w:rsidR="00C620E8" w:rsidRDefault="00C620E8" w:rsidP="00D53337">
      <w:pPr>
        <w:rPr>
          <w:highlight w:val="green"/>
          <w:lang w:val="en-ZA"/>
        </w:rPr>
      </w:pPr>
    </w:p>
    <w:p w14:paraId="1B96ED1A" w14:textId="508A7BA0" w:rsidR="008A5B30" w:rsidRPr="00C620E8" w:rsidRDefault="008A5B30" w:rsidP="00D53337">
      <w:pPr>
        <w:rPr>
          <w:u w:val="single"/>
          <w:lang w:val="en-ZA"/>
        </w:rPr>
      </w:pPr>
      <w:r w:rsidRPr="00C620E8">
        <w:rPr>
          <w:u w:val="single"/>
          <w:lang w:val="en-ZA"/>
        </w:rPr>
        <w:t xml:space="preserve">February </w:t>
      </w:r>
      <w:r w:rsidR="00797D59" w:rsidRPr="00C620E8">
        <w:rPr>
          <w:u w:val="single"/>
          <w:lang w:val="en-ZA"/>
        </w:rPr>
        <w:t xml:space="preserve">2021 </w:t>
      </w:r>
      <w:r w:rsidRPr="00C620E8">
        <w:rPr>
          <w:u w:val="single"/>
          <w:lang w:val="en-ZA"/>
        </w:rPr>
        <w:t>call:</w:t>
      </w:r>
    </w:p>
    <w:p w14:paraId="0812D238" w14:textId="77777777" w:rsidR="008A5B30" w:rsidRPr="00C620E8" w:rsidRDefault="00B37952" w:rsidP="00D53337">
      <w:pPr>
        <w:rPr>
          <w:lang w:val="en-ZA"/>
        </w:rPr>
      </w:pPr>
      <w:r w:rsidRPr="00C620E8">
        <w:rPr>
          <w:lang w:val="en-ZA"/>
        </w:rPr>
        <w:t>JP shared with the group the current definition of the section 3.14. Please see below.</w:t>
      </w:r>
    </w:p>
    <w:p w14:paraId="551764AA" w14:textId="77777777" w:rsidR="00B37952" w:rsidRDefault="00B37952" w:rsidP="00D53337">
      <w:pPr>
        <w:rPr>
          <w:highlight w:val="green"/>
          <w:lang w:val="en-ZA"/>
        </w:rPr>
      </w:pPr>
    </w:p>
    <w:p w14:paraId="7D7DC20B" w14:textId="77777777" w:rsidR="00B37952" w:rsidRPr="000B4DE8" w:rsidRDefault="00B37952" w:rsidP="00B37952">
      <w:r w:rsidRPr="000B4DE8">
        <w:rPr>
          <w:b/>
          <w:bCs/>
        </w:rPr>
        <w:t xml:space="preserve">3.14 Movement Sequence Usage in the MT564 </w:t>
      </w:r>
    </w:p>
    <w:p w14:paraId="5C8A1C9A" w14:textId="77777777" w:rsidR="00B37952" w:rsidRPr="000B4DE8" w:rsidRDefault="00B37952" w:rsidP="00B37952">
      <w:r w:rsidRPr="000B4DE8">
        <w:t>All prices and rates are to be included at the relevant movement level (sequences E1/E2), not the option level (E). The only exception to this rule is when there will be no corresponding movement for the rate/price, at any time in the event. In this case, the rate/price can be included in sequence E. If the rate/price cannot be included in sequence E due to standards reasons, it must be included in the “Additional Text” element [</w:t>
      </w:r>
      <w:r w:rsidRPr="000B4DE8">
        <w:rPr>
          <w:b/>
          <w:bCs/>
        </w:rPr>
        <w:t xml:space="preserve">seq. E or F - :70a::ADTX &lt;&gt; E or F / </w:t>
      </w:r>
      <w:proofErr w:type="spellStart"/>
      <w:r w:rsidRPr="000B4DE8">
        <w:rPr>
          <w:b/>
          <w:bCs/>
        </w:rPr>
        <w:t>AdditionalInformation</w:t>
      </w:r>
      <w:proofErr w:type="spellEnd"/>
      <w:r w:rsidRPr="000B4DE8">
        <w:rPr>
          <w:b/>
          <w:bCs/>
        </w:rPr>
        <w:t xml:space="preserve"> / </w:t>
      </w:r>
      <w:proofErr w:type="spellStart"/>
      <w:r w:rsidRPr="000B4DE8">
        <w:rPr>
          <w:b/>
          <w:bCs/>
        </w:rPr>
        <w:t>AdditionalText</w:t>
      </w:r>
      <w:proofErr w:type="spellEnd"/>
      <w:r w:rsidRPr="000B4DE8">
        <w:rPr>
          <w:b/>
          <w:bCs/>
        </w:rPr>
        <w:t>]</w:t>
      </w:r>
      <w:r w:rsidRPr="000B4DE8">
        <w:t xml:space="preserve">. </w:t>
      </w:r>
    </w:p>
    <w:p w14:paraId="39781C7C" w14:textId="77777777" w:rsidR="00B37952" w:rsidRPr="000B4DE8" w:rsidRDefault="00B37952" w:rsidP="00B37952">
      <w:r w:rsidRPr="000B4DE8">
        <w:t xml:space="preserve">When multiple prices/fees and rates are announced for an option, each should be specified within its own movement sequence. An exception is use of ”Interest Rate Used For Payment”, ”Gross Dividend Rate” and “Net Dividend Rate”, </w:t>
      </w:r>
      <w:r w:rsidRPr="000B4DE8">
        <w:rPr>
          <w:highlight w:val="yellow"/>
        </w:rPr>
        <w:t>and the applicable tax rates (for instance. ”Withholding Tax Rate”),</w:t>
      </w:r>
      <w:r w:rsidRPr="000B4DE8">
        <w:t xml:space="preserve"> </w:t>
      </w:r>
      <w:r w:rsidRPr="000B4DE8">
        <w:rPr>
          <w:highlight w:val="yellow"/>
        </w:rPr>
        <w:t>when several rates can be included in the same movement sequence</w:t>
      </w:r>
      <w:r w:rsidRPr="000B4DE8">
        <w:t xml:space="preserve">. </w:t>
      </w:r>
    </w:p>
    <w:p w14:paraId="4FE98109" w14:textId="77777777" w:rsidR="00B37952" w:rsidRDefault="00B37952" w:rsidP="00B37952">
      <w:r w:rsidRPr="000B4DE8">
        <w:lastRenderedPageBreak/>
        <w:t>The Notification message should accurately reflect the projected movements on the cash/securities account, per option. If an option is included in the Notification with two cash movements and one securities movement, the Movement Confirmation message sent for that option should also include two cash movements and one securities movement. (Please note that these movements can be sent in separate Movement Confirmation messages.) See also section 6.10.</w:t>
      </w:r>
    </w:p>
    <w:p w14:paraId="4C0814C1" w14:textId="77777777" w:rsidR="00B37952" w:rsidRDefault="00B37952" w:rsidP="00D53337">
      <w:pPr>
        <w:rPr>
          <w:highlight w:val="green"/>
          <w:lang w:val="en-ZA"/>
        </w:rPr>
      </w:pPr>
    </w:p>
    <w:p w14:paraId="6D110BD3" w14:textId="77777777" w:rsidR="00B37952" w:rsidRPr="00C620E8" w:rsidRDefault="00B37952" w:rsidP="00D53337">
      <w:pPr>
        <w:rPr>
          <w:lang w:val="en-ZA"/>
        </w:rPr>
      </w:pPr>
      <w:r w:rsidRPr="00C620E8">
        <w:rPr>
          <w:lang w:val="en-ZA"/>
        </w:rPr>
        <w:t>As per the original comments related to this topic, JP proposed to remove the part (highlighted above in yellow). Nevertheless, it appears that WITL is still repeatable.</w:t>
      </w:r>
      <w:r w:rsidRPr="00C620E8">
        <w:rPr>
          <w:lang w:val="en-ZA"/>
        </w:rPr>
        <w:br/>
        <w:t>Consequently, JP will double check with Mari and Christine, co-chairs of the CA SMPG what was the initial issue regarding the wording of this section 3.14</w:t>
      </w:r>
    </w:p>
    <w:p w14:paraId="41FF8414" w14:textId="77777777" w:rsidR="008A5B30" w:rsidRDefault="008A5B30" w:rsidP="00D53337">
      <w:pPr>
        <w:rPr>
          <w:highlight w:val="green"/>
          <w:lang w:val="en-ZA"/>
        </w:rPr>
      </w:pPr>
    </w:p>
    <w:p w14:paraId="027AD8CC" w14:textId="77777777" w:rsidR="003E570F" w:rsidRPr="00B37952" w:rsidRDefault="003E570F" w:rsidP="00D53337">
      <w:pPr>
        <w:rPr>
          <w:lang w:val="en-ZA"/>
        </w:rPr>
      </w:pPr>
      <w:r w:rsidRPr="00C620E8">
        <w:rPr>
          <w:u w:val="single"/>
          <w:lang w:val="en-ZA"/>
        </w:rPr>
        <w:t xml:space="preserve">June 2020 </w:t>
      </w:r>
      <w:r w:rsidR="00D61BFC" w:rsidRPr="00C620E8">
        <w:rPr>
          <w:u w:val="single"/>
          <w:lang w:val="en-ZA"/>
        </w:rPr>
        <w:t xml:space="preserve">/ </w:t>
      </w:r>
      <w:r w:rsidR="00685B6E" w:rsidRPr="00C620E8">
        <w:rPr>
          <w:u w:val="single"/>
          <w:lang w:val="en-ZA"/>
        </w:rPr>
        <w:t xml:space="preserve">October </w:t>
      </w:r>
      <w:r w:rsidR="00D61BFC" w:rsidRPr="00C620E8">
        <w:rPr>
          <w:u w:val="single"/>
          <w:lang w:val="en-ZA"/>
        </w:rPr>
        <w:t xml:space="preserve">/ December </w:t>
      </w:r>
      <w:r w:rsidRPr="00C620E8">
        <w:rPr>
          <w:u w:val="single"/>
          <w:lang w:val="en-ZA"/>
        </w:rPr>
        <w:t>call:</w:t>
      </w:r>
      <w:r w:rsidRPr="00B37952">
        <w:rPr>
          <w:lang w:val="en-ZA"/>
        </w:rPr>
        <w:t xml:space="preserve"> no progress</w:t>
      </w:r>
      <w:r w:rsidR="00D61BFC" w:rsidRPr="00B37952">
        <w:rPr>
          <w:lang w:val="en-ZA"/>
        </w:rPr>
        <w:t>.</w:t>
      </w:r>
      <w:r w:rsidR="00D61BFC" w:rsidRPr="00B37952">
        <w:rPr>
          <w:lang w:val="en-ZA"/>
        </w:rPr>
        <w:br/>
        <w:t>JP will share with the group the current version of the GMP for further discussion.</w:t>
      </w:r>
    </w:p>
    <w:p w14:paraId="3DDBC24E" w14:textId="77777777" w:rsidR="003E570F" w:rsidRDefault="003E570F" w:rsidP="00D53337">
      <w:pPr>
        <w:rPr>
          <w:highlight w:val="green"/>
          <w:lang w:val="en-ZA"/>
        </w:rPr>
      </w:pPr>
    </w:p>
    <w:p w14:paraId="32BA0D05" w14:textId="77777777" w:rsidR="00BC24E6" w:rsidRPr="003E570F" w:rsidRDefault="00BC24E6" w:rsidP="00D53337">
      <w:pPr>
        <w:rPr>
          <w:lang w:val="en-ZA"/>
        </w:rPr>
      </w:pPr>
      <w:r w:rsidRPr="003E570F">
        <w:rPr>
          <w:lang w:val="en-ZA"/>
        </w:rPr>
        <w:t>April 2020 call: still no progress and unfortunately impossible to be covered during the global SMPG due to the special circumstances and limited attendance physically present in South Africa</w:t>
      </w:r>
    </w:p>
    <w:p w14:paraId="26924BC4" w14:textId="77777777" w:rsidR="00BC24E6" w:rsidRDefault="00BC24E6" w:rsidP="00D53337">
      <w:pPr>
        <w:rPr>
          <w:highlight w:val="green"/>
          <w:lang w:val="en-ZA"/>
        </w:rPr>
      </w:pPr>
    </w:p>
    <w:p w14:paraId="5571549A" w14:textId="77777777" w:rsidR="00AB673A" w:rsidRPr="00BC24E6" w:rsidRDefault="00AB673A" w:rsidP="00D53337">
      <w:pPr>
        <w:rPr>
          <w:lang w:val="en-ZA"/>
        </w:rPr>
      </w:pPr>
      <w:r w:rsidRPr="00BC24E6">
        <w:rPr>
          <w:lang w:val="en-ZA"/>
        </w:rPr>
        <w:t>February 2020 call:</w:t>
      </w:r>
    </w:p>
    <w:p w14:paraId="77C76CD6" w14:textId="77777777" w:rsidR="00AB673A" w:rsidRPr="00BC24E6" w:rsidRDefault="00AB673A" w:rsidP="00D53337">
      <w:pPr>
        <w:rPr>
          <w:lang w:val="en-ZA"/>
        </w:rPr>
      </w:pPr>
      <w:r w:rsidRPr="00BC24E6">
        <w:rPr>
          <w:lang w:val="en-ZA"/>
        </w:rPr>
        <w:t>No progress on that topic. To see if it could be discussed during SMPG in South Africa</w:t>
      </w:r>
    </w:p>
    <w:p w14:paraId="38A7463A" w14:textId="77777777" w:rsidR="00AB673A" w:rsidRPr="00BC24E6" w:rsidRDefault="00AB673A" w:rsidP="00D53337">
      <w:pPr>
        <w:rPr>
          <w:lang w:val="en-ZA"/>
        </w:rPr>
      </w:pPr>
    </w:p>
    <w:p w14:paraId="043DFBE9" w14:textId="77777777" w:rsidR="00D53337" w:rsidRPr="00AB673A" w:rsidRDefault="00D53337" w:rsidP="00D53337">
      <w:pPr>
        <w:rPr>
          <w:lang w:val="en-ZA"/>
        </w:rPr>
      </w:pPr>
      <w:r w:rsidRPr="00AB673A">
        <w:rPr>
          <w:lang w:val="en-ZA"/>
        </w:rPr>
        <w:t xml:space="preserve">Comment during December </w:t>
      </w:r>
      <w:r w:rsidR="003E570F">
        <w:rPr>
          <w:lang w:val="en-ZA"/>
        </w:rPr>
        <w:t xml:space="preserve">2019 </w:t>
      </w:r>
      <w:r w:rsidRPr="00AB673A">
        <w:rPr>
          <w:lang w:val="en-ZA"/>
        </w:rPr>
        <w:t>call:</w:t>
      </w:r>
    </w:p>
    <w:p w14:paraId="58F5CF24" w14:textId="77777777" w:rsidR="00D53337" w:rsidRPr="00AB673A" w:rsidRDefault="00142EE8" w:rsidP="00AF0D2F">
      <w:pPr>
        <w:pStyle w:val="Actions"/>
        <w:jc w:val="left"/>
        <w:rPr>
          <w:color w:val="auto"/>
          <w:lang w:val="en-US"/>
        </w:rPr>
      </w:pPr>
      <w:r w:rsidRPr="00AB673A">
        <w:rPr>
          <w:color w:val="auto"/>
          <w:lang w:val="en-US"/>
        </w:rPr>
        <w:t xml:space="preserve">Mari explained the case where one </w:t>
      </w:r>
      <w:r w:rsidR="00F15617" w:rsidRPr="00AB673A">
        <w:rPr>
          <w:color w:val="auto"/>
          <w:lang w:val="en-US"/>
        </w:rPr>
        <w:t xml:space="preserve">dividend </w:t>
      </w:r>
      <w:r w:rsidRPr="00AB673A">
        <w:rPr>
          <w:color w:val="auto"/>
          <w:lang w:val="en-US"/>
        </w:rPr>
        <w:t xml:space="preserve">could have </w:t>
      </w:r>
      <w:r w:rsidR="00F15617" w:rsidRPr="00AB673A">
        <w:rPr>
          <w:color w:val="auto"/>
          <w:lang w:val="en-US"/>
        </w:rPr>
        <w:t xml:space="preserve">different tax rates </w:t>
      </w:r>
      <w:r w:rsidRPr="00AB673A">
        <w:rPr>
          <w:color w:val="auto"/>
          <w:lang w:val="en-US"/>
        </w:rPr>
        <w:t xml:space="preserve">applied and </w:t>
      </w:r>
      <w:r w:rsidR="00F15617" w:rsidRPr="00AB673A">
        <w:rPr>
          <w:color w:val="auto"/>
          <w:lang w:val="en-US"/>
        </w:rPr>
        <w:t>according to the issuer</w:t>
      </w:r>
      <w:r w:rsidRPr="00AB673A">
        <w:rPr>
          <w:color w:val="auto"/>
          <w:lang w:val="en-US"/>
        </w:rPr>
        <w:t>, announced in two separate events.</w:t>
      </w:r>
    </w:p>
    <w:p w14:paraId="69188C71" w14:textId="77777777" w:rsidR="00E73BD3" w:rsidRPr="00AB673A" w:rsidRDefault="00887370" w:rsidP="00AF0D2F">
      <w:pPr>
        <w:pStyle w:val="Actions"/>
        <w:jc w:val="left"/>
        <w:rPr>
          <w:color w:val="auto"/>
          <w:lang w:val="en-US"/>
        </w:rPr>
      </w:pPr>
      <w:r w:rsidRPr="00AB673A">
        <w:rPr>
          <w:color w:val="auto"/>
          <w:lang w:val="en-US"/>
        </w:rPr>
        <w:t>I</w:t>
      </w:r>
      <w:r w:rsidR="00142EE8" w:rsidRPr="00AB673A">
        <w:rPr>
          <w:color w:val="auto"/>
          <w:lang w:val="en-US"/>
        </w:rPr>
        <w:t xml:space="preserve">n the </w:t>
      </w:r>
      <w:r w:rsidR="00E73BD3" w:rsidRPr="00AB673A">
        <w:rPr>
          <w:color w:val="auto"/>
          <w:lang w:val="en-US"/>
        </w:rPr>
        <w:t>UK</w:t>
      </w:r>
      <w:r w:rsidRPr="00AB673A">
        <w:rPr>
          <w:color w:val="auto"/>
          <w:lang w:val="en-US"/>
        </w:rPr>
        <w:t xml:space="preserve"> Market</w:t>
      </w:r>
      <w:r w:rsidR="00142EE8" w:rsidRPr="00AB673A">
        <w:rPr>
          <w:color w:val="auto"/>
          <w:lang w:val="en-US"/>
        </w:rPr>
        <w:t>,</w:t>
      </w:r>
      <w:r w:rsidRPr="00AB673A">
        <w:rPr>
          <w:color w:val="auto"/>
          <w:lang w:val="en-US"/>
        </w:rPr>
        <w:t xml:space="preserve"> it appears that</w:t>
      </w:r>
      <w:r w:rsidR="00142EE8" w:rsidRPr="00AB673A">
        <w:rPr>
          <w:color w:val="auto"/>
          <w:lang w:val="en-US"/>
        </w:rPr>
        <w:t xml:space="preserve"> there is </w:t>
      </w:r>
      <w:r w:rsidRPr="00AB673A">
        <w:rPr>
          <w:color w:val="auto"/>
          <w:lang w:val="en-US"/>
        </w:rPr>
        <w:t>one</w:t>
      </w:r>
      <w:r w:rsidR="00F15617" w:rsidRPr="00AB673A">
        <w:rPr>
          <w:color w:val="auto"/>
          <w:lang w:val="en-US"/>
        </w:rPr>
        <w:t xml:space="preserve"> event for the normal dividend </w:t>
      </w:r>
      <w:r w:rsidRPr="00AB673A">
        <w:rPr>
          <w:color w:val="auto"/>
          <w:lang w:val="en-US"/>
        </w:rPr>
        <w:t>and a second event announced with</w:t>
      </w:r>
      <w:r w:rsidR="00E73BD3" w:rsidRPr="00AB673A">
        <w:rPr>
          <w:color w:val="auto"/>
          <w:lang w:val="en-US"/>
        </w:rPr>
        <w:t xml:space="preserve"> </w:t>
      </w:r>
      <w:r w:rsidR="00F15617" w:rsidRPr="00AB673A">
        <w:rPr>
          <w:color w:val="auto"/>
          <w:lang w:val="en-US"/>
        </w:rPr>
        <w:t>property rate</w:t>
      </w:r>
    </w:p>
    <w:p w14:paraId="6DD0A842" w14:textId="77777777" w:rsidR="00F15617" w:rsidRPr="00AB673A" w:rsidRDefault="00887370" w:rsidP="00AF0D2F">
      <w:pPr>
        <w:pStyle w:val="Actions"/>
        <w:jc w:val="left"/>
        <w:rPr>
          <w:color w:val="auto"/>
          <w:lang w:val="en-US"/>
        </w:rPr>
      </w:pPr>
      <w:r w:rsidRPr="00AB673A">
        <w:rPr>
          <w:color w:val="auto"/>
          <w:lang w:val="en-US"/>
        </w:rPr>
        <w:t xml:space="preserve">In other </w:t>
      </w:r>
      <w:r w:rsidR="00E73BD3" w:rsidRPr="00AB673A">
        <w:rPr>
          <w:color w:val="auto"/>
          <w:lang w:val="en-US"/>
        </w:rPr>
        <w:t xml:space="preserve">Markets: </w:t>
      </w:r>
      <w:r w:rsidRPr="00AB673A">
        <w:rPr>
          <w:color w:val="auto"/>
          <w:lang w:val="en-US"/>
        </w:rPr>
        <w:t xml:space="preserve">there are also some cases with </w:t>
      </w:r>
      <w:r w:rsidR="00E73BD3" w:rsidRPr="00AB673A">
        <w:rPr>
          <w:color w:val="auto"/>
          <w:lang w:val="en-US"/>
        </w:rPr>
        <w:t xml:space="preserve">multiple components on the distribution so </w:t>
      </w:r>
      <w:r w:rsidRPr="00AB673A">
        <w:rPr>
          <w:color w:val="auto"/>
          <w:lang w:val="en-US"/>
        </w:rPr>
        <w:t>tax rates were</w:t>
      </w:r>
      <w:r w:rsidR="00E73BD3" w:rsidRPr="00AB673A">
        <w:rPr>
          <w:color w:val="auto"/>
          <w:lang w:val="en-US"/>
        </w:rPr>
        <w:t xml:space="preserve"> repeatable which is no longer the case</w:t>
      </w:r>
      <w:r w:rsidRPr="00AB673A">
        <w:rPr>
          <w:color w:val="auto"/>
          <w:lang w:val="en-US"/>
        </w:rPr>
        <w:t>.</w:t>
      </w:r>
      <w:r w:rsidR="00F15617" w:rsidRPr="00AB673A">
        <w:rPr>
          <w:color w:val="auto"/>
          <w:lang w:val="en-US"/>
        </w:rPr>
        <w:t xml:space="preserve"> </w:t>
      </w:r>
    </w:p>
    <w:p w14:paraId="78D3EAAD" w14:textId="77777777" w:rsidR="00D53337" w:rsidRPr="00AB673A" w:rsidRDefault="00887370" w:rsidP="00AF0D2F">
      <w:pPr>
        <w:pStyle w:val="Actions"/>
        <w:jc w:val="left"/>
        <w:rPr>
          <w:color w:val="auto"/>
          <w:lang w:val="en-US"/>
        </w:rPr>
      </w:pPr>
      <w:r w:rsidRPr="00AB673A">
        <w:rPr>
          <w:color w:val="auto"/>
          <w:lang w:val="en-US"/>
        </w:rPr>
        <w:t>Urban explained that the scenario is n</w:t>
      </w:r>
      <w:r w:rsidR="00E73BD3" w:rsidRPr="00AB673A">
        <w:rPr>
          <w:color w:val="auto"/>
          <w:lang w:val="en-US"/>
        </w:rPr>
        <w:t>ot necessarily applicable for Nordics</w:t>
      </w:r>
    </w:p>
    <w:p w14:paraId="74DEF50B" w14:textId="77777777" w:rsidR="00E73BD3" w:rsidRPr="00AB673A" w:rsidRDefault="00887370" w:rsidP="00AF0D2F">
      <w:pPr>
        <w:pStyle w:val="Actions"/>
        <w:jc w:val="left"/>
        <w:rPr>
          <w:color w:val="auto"/>
          <w:lang w:val="en-US"/>
        </w:rPr>
      </w:pPr>
      <w:r w:rsidRPr="00AB673A">
        <w:rPr>
          <w:color w:val="auto"/>
          <w:lang w:val="en-US"/>
        </w:rPr>
        <w:t xml:space="preserve">Alexander and </w:t>
      </w:r>
      <w:r w:rsidR="00E73BD3" w:rsidRPr="00AB673A">
        <w:rPr>
          <w:color w:val="auto"/>
          <w:lang w:val="en-US"/>
        </w:rPr>
        <w:t>Eric</w:t>
      </w:r>
      <w:r w:rsidRPr="00AB673A">
        <w:rPr>
          <w:color w:val="auto"/>
          <w:lang w:val="en-US"/>
        </w:rPr>
        <w:t>, from their ICSD perspective pointed out that</w:t>
      </w:r>
      <w:r w:rsidR="00E73BD3" w:rsidRPr="00AB673A">
        <w:rPr>
          <w:color w:val="auto"/>
          <w:lang w:val="en-US"/>
        </w:rPr>
        <w:t xml:space="preserve"> it could relate to some few Markets and some specific instruments… but breaking the STP due to a specific case and specific Market practice.</w:t>
      </w:r>
    </w:p>
    <w:p w14:paraId="286B8D20" w14:textId="77777777" w:rsidR="00E73BD3" w:rsidRDefault="00E73BD3" w:rsidP="00AF0D2F">
      <w:pPr>
        <w:pStyle w:val="Actions"/>
        <w:jc w:val="left"/>
        <w:rPr>
          <w:color w:val="auto"/>
          <w:lang w:val="en-US"/>
        </w:rPr>
      </w:pPr>
      <w:r w:rsidRPr="00AB673A">
        <w:rPr>
          <w:color w:val="auto"/>
          <w:lang w:val="en-US"/>
        </w:rPr>
        <w:t>Sanjeev</w:t>
      </w:r>
      <w:r w:rsidR="002D60BB" w:rsidRPr="00AB673A">
        <w:rPr>
          <w:color w:val="auto"/>
          <w:lang w:val="en-US"/>
        </w:rPr>
        <w:t xml:space="preserve"> </w:t>
      </w:r>
      <w:r w:rsidR="00887370" w:rsidRPr="00AB673A">
        <w:rPr>
          <w:color w:val="auto"/>
          <w:lang w:val="en-US"/>
        </w:rPr>
        <w:t xml:space="preserve">also identified a similar scenario for South Africa and </w:t>
      </w:r>
      <w:r w:rsidR="002D60BB" w:rsidRPr="00AB673A">
        <w:rPr>
          <w:color w:val="auto"/>
          <w:lang w:val="en-US"/>
        </w:rPr>
        <w:t>will provide an example</w:t>
      </w:r>
    </w:p>
    <w:p w14:paraId="4111CE48" w14:textId="77777777" w:rsidR="00E73BD3" w:rsidRDefault="00E73BD3" w:rsidP="00AF0D2F">
      <w:pPr>
        <w:pStyle w:val="Actions"/>
        <w:jc w:val="left"/>
        <w:rPr>
          <w:color w:val="auto"/>
          <w:lang w:val="en-US"/>
        </w:rPr>
      </w:pPr>
    </w:p>
    <w:p w14:paraId="632368D6" w14:textId="77777777" w:rsidR="00AF0D2F" w:rsidRPr="00505B4E" w:rsidRDefault="00BB49A1" w:rsidP="00AF0D2F">
      <w:pPr>
        <w:pStyle w:val="Actions"/>
        <w:jc w:val="left"/>
        <w:rPr>
          <w:color w:val="auto"/>
          <w:u w:val="single"/>
          <w:lang w:val="en-US"/>
        </w:rPr>
      </w:pPr>
      <w:r w:rsidRPr="00505B4E">
        <w:rPr>
          <w:color w:val="auto"/>
          <w:u w:val="single"/>
          <w:lang w:val="en-US"/>
        </w:rPr>
        <w:t>C</w:t>
      </w:r>
      <w:r w:rsidR="00AF0D2F" w:rsidRPr="00505B4E">
        <w:rPr>
          <w:color w:val="auto"/>
          <w:u w:val="single"/>
          <w:lang w:val="en-US"/>
        </w:rPr>
        <w:t xml:space="preserve">omment received by email from South Africa prior to October </w:t>
      </w:r>
      <w:r w:rsidR="00AB673A">
        <w:rPr>
          <w:color w:val="auto"/>
          <w:u w:val="single"/>
          <w:lang w:val="en-US"/>
        </w:rPr>
        <w:t xml:space="preserve">2019 </w:t>
      </w:r>
      <w:r w:rsidR="00AF0D2F" w:rsidRPr="00505B4E">
        <w:rPr>
          <w:color w:val="auto"/>
          <w:u w:val="single"/>
          <w:lang w:val="en-US"/>
        </w:rPr>
        <w:t>call:</w:t>
      </w:r>
    </w:p>
    <w:p w14:paraId="6079BAEC" w14:textId="77777777" w:rsidR="00AF0D2F" w:rsidRPr="00D53337" w:rsidRDefault="00AF0D2F" w:rsidP="00AC4FBC"/>
    <w:p w14:paraId="3904E021" w14:textId="77777777" w:rsidR="00AF0D2F" w:rsidRPr="00D17FAC" w:rsidRDefault="00BB49A1" w:rsidP="00AC4FBC">
      <w:pPr>
        <w:rPr>
          <w:sz w:val="18"/>
          <w:szCs w:val="18"/>
          <w:lang w:val="en-ZA"/>
        </w:rPr>
      </w:pPr>
      <w:r w:rsidRPr="00D53337">
        <w:rPr>
          <w:lang w:val="en-ZA"/>
        </w:rPr>
        <w:t>“</w:t>
      </w:r>
      <w:r w:rsidR="00AF0D2F" w:rsidRPr="00D53337">
        <w:rPr>
          <w:lang w:val="en-ZA"/>
        </w:rPr>
        <w:t>Ideally each distribution (component) should be communicated in its own movement and we are not aware of instances where a distribution may be subject to more tha</w:t>
      </w:r>
      <w:r w:rsidR="00D53337">
        <w:rPr>
          <w:lang w:val="en-ZA"/>
        </w:rPr>
        <w:t>n</w:t>
      </w:r>
      <w:r w:rsidR="00AF0D2F" w:rsidRPr="00D53337">
        <w:rPr>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D53337">
        <w:rPr>
          <w:lang w:val="en-ZA"/>
        </w:rPr>
        <w:t>”</w:t>
      </w:r>
    </w:p>
    <w:p w14:paraId="0B171727" w14:textId="77777777" w:rsidR="00AC4FBC" w:rsidRPr="00AC4FBC" w:rsidRDefault="00BB49A1" w:rsidP="00AC4FBC">
      <w:pPr>
        <w:rPr>
          <w:lang w:val="en-GB"/>
        </w:rPr>
      </w:pPr>
      <w:r w:rsidRPr="00DC736B">
        <w:rPr>
          <w:u w:val="single"/>
          <w:lang w:val="en-GB"/>
        </w:rPr>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14:paraId="0FDFD962" w14:textId="77777777"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14:paraId="19A35082" w14:textId="77777777" w:rsidR="00AC4FBC" w:rsidRPr="00AC4FBC" w:rsidRDefault="00AC4FBC" w:rsidP="00AC4FBC">
      <w:pPr>
        <w:rPr>
          <w:lang w:val="en-GB"/>
        </w:rPr>
      </w:pPr>
      <w:r w:rsidRPr="00AC4FBC">
        <w:rPr>
          <w:lang w:val="en-GB"/>
        </w:rPr>
        <w:lastRenderedPageBreak/>
        <w:t xml:space="preserve">It’s no longer possible to have several rates repeated in the subsequence so the market practice is no longer correct. </w:t>
      </w:r>
    </w:p>
    <w:p w14:paraId="29543EC7" w14:textId="77777777" w:rsidR="00DC736B" w:rsidRDefault="00AC4FBC" w:rsidP="00AC4FBC">
      <w:pPr>
        <w:rPr>
          <w:lang w:val="en-GB"/>
        </w:rPr>
      </w:pPr>
      <w:r w:rsidRPr="00AC4FBC">
        <w:rPr>
          <w:lang w:val="en-GB"/>
        </w:rPr>
        <w:t>Dividend, real estate, capital return should be in different movement sub</w:t>
      </w:r>
      <w:r w:rsidR="00BC24E6">
        <w:rPr>
          <w:lang w:val="en-GB"/>
        </w:rPr>
        <w:t>-</w:t>
      </w:r>
      <w:r w:rsidRPr="00AC4FBC">
        <w:rPr>
          <w:lang w:val="en-GB"/>
        </w:rPr>
        <w:t>sequences with the applicable tax rates.  If you have the same tax rate then it’s ok to show all income in one subsequence.</w:t>
      </w:r>
    </w:p>
    <w:p w14:paraId="1FF930EF" w14:textId="77777777" w:rsidR="00DC736B" w:rsidRPr="00F62B1B" w:rsidRDefault="00DC736B" w:rsidP="00DC736B">
      <w:pPr>
        <w:pStyle w:val="Actions"/>
        <w:rPr>
          <w:lang w:val="en-US"/>
        </w:rPr>
      </w:pPr>
      <w:r w:rsidRPr="00F62B1B">
        <w:rPr>
          <w:b/>
          <w:u w:val="single"/>
          <w:lang w:val="en-US"/>
        </w:rPr>
        <w:t>Action</w:t>
      </w:r>
      <w:r w:rsidRPr="00F62B1B">
        <w:rPr>
          <w:lang w:val="en-US"/>
        </w:rPr>
        <w:t xml:space="preserve">: </w:t>
      </w:r>
    </w:p>
    <w:p w14:paraId="792F9F63" w14:textId="77D25309" w:rsidR="007B3D96" w:rsidRPr="007B3D96" w:rsidRDefault="007B3D96" w:rsidP="007B3D96">
      <w:pPr>
        <w:rPr>
          <w:color w:val="FF0000"/>
          <w:highlight w:val="yellow"/>
          <w:lang w:val="en-ZA"/>
        </w:rPr>
      </w:pPr>
      <w:r w:rsidRPr="007B3D96">
        <w:rPr>
          <w:color w:val="FF0000"/>
          <w:highlight w:val="yellow"/>
          <w:lang w:val="en-ZA"/>
        </w:rPr>
        <w:t>Mari and JP will propose a new version of the 3.14 to the Tax sub-group.</w:t>
      </w:r>
    </w:p>
    <w:p w14:paraId="35D71618" w14:textId="4F39D866" w:rsidR="00DC736B" w:rsidRDefault="009F44A1" w:rsidP="00B24CC4">
      <w:pPr>
        <w:pStyle w:val="Actions"/>
        <w:jc w:val="left"/>
      </w:pPr>
      <w:r>
        <w:br/>
      </w:r>
    </w:p>
    <w:p w14:paraId="0B207DE9" w14:textId="77777777" w:rsidR="00AC4FBC" w:rsidRDefault="00AC4FBC" w:rsidP="00AC4FBC">
      <w:pPr>
        <w:rPr>
          <w:lang w:val="en-GB" w:eastAsia="en-GB"/>
        </w:rPr>
      </w:pPr>
    </w:p>
    <w:p w14:paraId="788B1A60" w14:textId="77777777" w:rsidR="00B9349F" w:rsidRPr="00F736BB" w:rsidRDefault="00B9349F" w:rsidP="00B9349F">
      <w:pPr>
        <w:pStyle w:val="Heading1"/>
        <w:numPr>
          <w:ilvl w:val="0"/>
          <w:numId w:val="0"/>
        </w:numPr>
      </w:pPr>
      <w:bookmarkStart w:id="10" w:name="_Toc54174703"/>
      <w:bookmarkStart w:id="11" w:name="_Toc80119644"/>
      <w:r w:rsidRPr="00F736BB">
        <w:t>CA470 DVOP - How Best to Reflect Tax and CINL on DVOP</w:t>
      </w:r>
      <w:bookmarkEnd w:id="10"/>
      <w:bookmarkEnd w:id="11"/>
    </w:p>
    <w:p w14:paraId="47B8299B" w14:textId="77777777" w:rsidR="007D4652" w:rsidRDefault="007D4652" w:rsidP="00B9349F">
      <w:pPr>
        <w:rPr>
          <w:u w:val="single"/>
        </w:rPr>
      </w:pPr>
      <w:r w:rsidRPr="007D4652">
        <w:rPr>
          <w:highlight w:val="green"/>
          <w:u w:val="single"/>
        </w:rPr>
        <w:t>July 2021 call:</w:t>
      </w:r>
    </w:p>
    <w:p w14:paraId="2E8FFDA7" w14:textId="35A5BB73" w:rsidR="007D4652" w:rsidRDefault="007D4652" w:rsidP="00B9349F">
      <w:pPr>
        <w:rPr>
          <w:u w:val="single"/>
        </w:rPr>
      </w:pPr>
    </w:p>
    <w:p w14:paraId="4B7C6DC6" w14:textId="05732550" w:rsidR="008F48B3" w:rsidRPr="00A36E2B" w:rsidRDefault="008F48B3" w:rsidP="008F48B3">
      <w:pPr>
        <w:rPr>
          <w:highlight w:val="green"/>
        </w:rPr>
      </w:pPr>
      <w:r w:rsidRPr="00A36E2B">
        <w:rPr>
          <w:highlight w:val="green"/>
        </w:rPr>
        <w:t>Randi and JP will prepare new templates to describe the following scenarios:</w:t>
      </w:r>
    </w:p>
    <w:p w14:paraId="7F8C268F" w14:textId="77777777" w:rsidR="008F48B3" w:rsidRPr="00A36E2B" w:rsidRDefault="008F48B3" w:rsidP="008F48B3">
      <w:pPr>
        <w:rPr>
          <w:highlight w:val="green"/>
        </w:rPr>
      </w:pPr>
      <w:r w:rsidRPr="00A36E2B">
        <w:rPr>
          <w:highlight w:val="green"/>
        </w:rPr>
        <w:t>• Taxable SECU option for a taxable clients</w:t>
      </w:r>
    </w:p>
    <w:p w14:paraId="3EB02FCA" w14:textId="77777777" w:rsidR="008F48B3" w:rsidRPr="00A36E2B" w:rsidRDefault="008F48B3" w:rsidP="008F48B3">
      <w:pPr>
        <w:rPr>
          <w:highlight w:val="green"/>
        </w:rPr>
      </w:pPr>
      <w:r w:rsidRPr="00A36E2B">
        <w:rPr>
          <w:highlight w:val="green"/>
        </w:rPr>
        <w:t>• Taxable SECU option for an exempt clients</w:t>
      </w:r>
    </w:p>
    <w:p w14:paraId="3A3DF487" w14:textId="08262B55" w:rsidR="008F48B3" w:rsidRPr="00A36E2B" w:rsidRDefault="008F48B3" w:rsidP="008F48B3">
      <w:pPr>
        <w:rPr>
          <w:highlight w:val="green"/>
        </w:rPr>
      </w:pPr>
      <w:r w:rsidRPr="00A36E2B">
        <w:rPr>
          <w:highlight w:val="green"/>
        </w:rPr>
        <w:t>• Exempt SECU option for a taxable clients</w:t>
      </w:r>
    </w:p>
    <w:p w14:paraId="46593CE6" w14:textId="48F76B62" w:rsidR="007D4652" w:rsidRPr="00A36E2B" w:rsidRDefault="007D4652" w:rsidP="00B9349F">
      <w:pPr>
        <w:rPr>
          <w:highlight w:val="green"/>
        </w:rPr>
      </w:pPr>
    </w:p>
    <w:p w14:paraId="56DF6478" w14:textId="15A12B04" w:rsidR="008F48B3" w:rsidRPr="00A36E2B" w:rsidRDefault="008F48B3" w:rsidP="00B9349F">
      <w:r w:rsidRPr="00A36E2B">
        <w:rPr>
          <w:highlight w:val="green"/>
        </w:rPr>
        <w:t>These templates will be either shared with the Tax sub-group or directly</w:t>
      </w:r>
      <w:r w:rsidR="00A36E2B" w:rsidRPr="00A36E2B">
        <w:rPr>
          <w:highlight w:val="green"/>
        </w:rPr>
        <w:t xml:space="preserve"> with the </w:t>
      </w:r>
      <w:r w:rsidR="00111D64">
        <w:rPr>
          <w:highlight w:val="green"/>
        </w:rPr>
        <w:t xml:space="preserve">global </w:t>
      </w:r>
      <w:r w:rsidR="00A36E2B" w:rsidRPr="00A36E2B">
        <w:rPr>
          <w:highlight w:val="green"/>
        </w:rPr>
        <w:t>CA SMPG</w:t>
      </w:r>
    </w:p>
    <w:p w14:paraId="1BB83919" w14:textId="77777777" w:rsidR="00A36E2B" w:rsidRDefault="00A36E2B" w:rsidP="00B9349F">
      <w:pPr>
        <w:rPr>
          <w:u w:val="single"/>
        </w:rPr>
      </w:pPr>
    </w:p>
    <w:p w14:paraId="091B6945" w14:textId="7F20F626" w:rsidR="00C620E8" w:rsidRDefault="00C620E8" w:rsidP="00B9349F">
      <w:pPr>
        <w:rPr>
          <w:u w:val="single"/>
        </w:rPr>
      </w:pPr>
      <w:r>
        <w:rPr>
          <w:u w:val="single"/>
        </w:rPr>
        <w:t>April 2021 call:</w:t>
      </w:r>
    </w:p>
    <w:p w14:paraId="15D7A253" w14:textId="4AE81C09" w:rsidR="00C620E8" w:rsidRPr="008D7033" w:rsidRDefault="008D7033" w:rsidP="00B9349F">
      <w:r w:rsidRPr="008D7033">
        <w:t>Topic presented to the CA SMPG. No additional action for the Tax sub-group.</w:t>
      </w:r>
    </w:p>
    <w:p w14:paraId="679441CF" w14:textId="77777777" w:rsidR="00C620E8" w:rsidRDefault="00C620E8" w:rsidP="00B9349F">
      <w:pPr>
        <w:rPr>
          <w:u w:val="single"/>
        </w:rPr>
      </w:pPr>
    </w:p>
    <w:p w14:paraId="0B7FC0B3" w14:textId="7BA220F7" w:rsidR="009F44A1" w:rsidRDefault="009F44A1" w:rsidP="00B9349F">
      <w:pPr>
        <w:rPr>
          <w:u w:val="single"/>
        </w:rPr>
      </w:pPr>
      <w:r>
        <w:rPr>
          <w:u w:val="single"/>
        </w:rPr>
        <w:t>February 2021 call:</w:t>
      </w:r>
    </w:p>
    <w:p w14:paraId="3F105530" w14:textId="77777777" w:rsidR="009F44A1" w:rsidRPr="009F44A1" w:rsidRDefault="009F44A1" w:rsidP="00B9349F">
      <w:pPr>
        <w:rPr>
          <w:u w:val="single"/>
        </w:rPr>
      </w:pPr>
      <w:r w:rsidRPr="009F44A1">
        <w:t>First feedback within the group is that the PRPP</w:t>
      </w:r>
      <w:r>
        <w:t xml:space="preserve"> being a Market information, it </w:t>
      </w:r>
      <w:r w:rsidR="006D3455">
        <w:t xml:space="preserve">would be better to manage it as </w:t>
      </w:r>
      <w:r>
        <w:t xml:space="preserve">a general data and not a net calculated amount after </w:t>
      </w:r>
      <w:r w:rsidR="006D3455">
        <w:t>t</w:t>
      </w:r>
      <w:r>
        <w:t>ax being applied.</w:t>
      </w:r>
    </w:p>
    <w:p w14:paraId="70A0FB2F" w14:textId="77777777" w:rsidR="009F44A1" w:rsidRDefault="009F44A1" w:rsidP="00B9349F">
      <w:pPr>
        <w:rPr>
          <w:u w:val="single"/>
        </w:rPr>
      </w:pPr>
    </w:p>
    <w:p w14:paraId="6AD137BA" w14:textId="77777777" w:rsidR="00B9349F" w:rsidRPr="0000405C" w:rsidRDefault="00B9349F" w:rsidP="00B9349F">
      <w:pPr>
        <w:rPr>
          <w:u w:val="single"/>
        </w:rPr>
      </w:pPr>
      <w:r w:rsidRPr="0000405C">
        <w:rPr>
          <w:u w:val="single"/>
        </w:rPr>
        <w:t>Input from Randi</w:t>
      </w:r>
      <w:r>
        <w:rPr>
          <w:u w:val="single"/>
        </w:rPr>
        <w:t xml:space="preserve"> </w:t>
      </w:r>
      <w:proofErr w:type="spellStart"/>
      <w:r>
        <w:rPr>
          <w:u w:val="single"/>
        </w:rPr>
        <w:t>Hattens</w:t>
      </w:r>
      <w:proofErr w:type="spellEnd"/>
      <w:r>
        <w:rPr>
          <w:u w:val="single"/>
        </w:rPr>
        <w:t xml:space="preserve"> (Danish Market</w:t>
      </w:r>
      <w:r w:rsidR="00A96212">
        <w:rPr>
          <w:u w:val="single"/>
        </w:rPr>
        <w:t xml:space="preserve">) during the </w:t>
      </w:r>
      <w:r w:rsidR="00F736BB">
        <w:rPr>
          <w:u w:val="single"/>
        </w:rPr>
        <w:t xml:space="preserve">global </w:t>
      </w:r>
      <w:r w:rsidR="00A96212">
        <w:rPr>
          <w:u w:val="single"/>
        </w:rPr>
        <w:t>SMPG meeting end of September</w:t>
      </w:r>
      <w:r w:rsidR="005137D3">
        <w:rPr>
          <w:u w:val="single"/>
        </w:rPr>
        <w:t xml:space="preserve"> 2020</w:t>
      </w:r>
      <w:r w:rsidRPr="0000405C">
        <w:rPr>
          <w:u w:val="single"/>
        </w:rPr>
        <w:t>:</w:t>
      </w:r>
    </w:p>
    <w:bookmarkStart w:id="12" w:name="_MON_1678637109"/>
    <w:bookmarkEnd w:id="12"/>
    <w:p w14:paraId="7753CBEF" w14:textId="77777777" w:rsidR="00B9349F" w:rsidRDefault="006D3455" w:rsidP="00B9349F">
      <w:r>
        <w:object w:dxaOrig="1539" w:dyaOrig="1058" w14:anchorId="08A5D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3.25pt" o:ole="">
            <v:imagedata r:id="rId9" o:title=""/>
          </v:shape>
          <o:OLEObject Type="Embed" ProgID="Word.Document.12" ShapeID="_x0000_i1025" DrawAspect="Icon" ObjectID="_1690732556" r:id="rId10">
            <o:FieldCodes>\s</o:FieldCodes>
          </o:OLEObject>
        </w:object>
      </w:r>
    </w:p>
    <w:p w14:paraId="64C38948" w14:textId="77777777" w:rsidR="00B9349F" w:rsidRDefault="00B9349F" w:rsidP="00B9349F">
      <w:pPr>
        <w:spacing w:after="0"/>
      </w:pPr>
      <w:r w:rsidRPr="00CA788E">
        <w:t xml:space="preserve">The </w:t>
      </w:r>
      <w:r>
        <w:t xml:space="preserve">event </w:t>
      </w:r>
      <w:r w:rsidRPr="00CA788E">
        <w:t xml:space="preserve">template </w:t>
      </w:r>
      <w:r>
        <w:t>R</w:t>
      </w:r>
      <w:r w:rsidRPr="00CA788E">
        <w:t xml:space="preserve">/M/O </w:t>
      </w:r>
      <w:r w:rsidR="00A96212">
        <w:t xml:space="preserve">(Repetitive / Mandatory / Optional) </w:t>
      </w:r>
      <w:r w:rsidRPr="00CA788E">
        <w:t>s</w:t>
      </w:r>
      <w:r>
        <w:t>hould be aligned with the EIG+.</w:t>
      </w:r>
    </w:p>
    <w:p w14:paraId="3C7679EE" w14:textId="77777777" w:rsidR="00B9349F" w:rsidRDefault="00A96212" w:rsidP="00A96212">
      <w:pPr>
        <w:spacing w:after="0"/>
      </w:pPr>
      <w:r w:rsidRPr="00A96212">
        <w:t xml:space="preserve">During, the global SMPG, the </w:t>
      </w:r>
      <w:r w:rsidR="00B9349F" w:rsidRPr="00A96212">
        <w:t>Tax S</w:t>
      </w:r>
      <w:r w:rsidRPr="00A96212">
        <w:t>ub-</w:t>
      </w:r>
      <w:r w:rsidR="00B9349F" w:rsidRPr="00A96212">
        <w:t>G</w:t>
      </w:r>
      <w:r w:rsidRPr="00A96212">
        <w:t>roup</w:t>
      </w:r>
      <w:r w:rsidR="00B9349F">
        <w:t xml:space="preserve"> volunteered to work on how to best format the SECU option details.</w:t>
      </w:r>
    </w:p>
    <w:p w14:paraId="28307315" w14:textId="77777777" w:rsidR="005C6DCA" w:rsidRDefault="005C6DCA" w:rsidP="00AC4FBC">
      <w:pPr>
        <w:rPr>
          <w:lang w:val="en-GB" w:eastAsia="en-GB"/>
        </w:rPr>
      </w:pPr>
    </w:p>
    <w:p w14:paraId="65BBBB60" w14:textId="77777777" w:rsidR="00A96212" w:rsidRPr="005137D3" w:rsidRDefault="00A96212" w:rsidP="00A96212">
      <w:pPr>
        <w:pStyle w:val="Actions"/>
        <w:rPr>
          <w:lang w:val="en-US"/>
        </w:rPr>
      </w:pPr>
      <w:r w:rsidRPr="005137D3">
        <w:rPr>
          <w:b/>
          <w:u w:val="single"/>
          <w:lang w:val="en-US"/>
        </w:rPr>
        <w:t>Action</w:t>
      </w:r>
      <w:r w:rsidRPr="005137D3">
        <w:rPr>
          <w:lang w:val="en-US"/>
        </w:rPr>
        <w:t xml:space="preserve">: </w:t>
      </w:r>
    </w:p>
    <w:p w14:paraId="6E104E67" w14:textId="761C88F8" w:rsidR="00A96212" w:rsidRDefault="008D7033" w:rsidP="009F44A1">
      <w:pPr>
        <w:pStyle w:val="Actions"/>
        <w:jc w:val="left"/>
      </w:pPr>
      <w:r w:rsidRPr="00643A78">
        <w:rPr>
          <w:highlight w:val="yellow"/>
        </w:rPr>
        <w:t xml:space="preserve">Topic on-hold. </w:t>
      </w:r>
      <w:r w:rsidR="00A36E2B">
        <w:rPr>
          <w:highlight w:val="yellow"/>
        </w:rPr>
        <w:t>Shared directly with the</w:t>
      </w:r>
      <w:r w:rsidRPr="00643A78">
        <w:rPr>
          <w:highlight w:val="yellow"/>
        </w:rPr>
        <w:t xml:space="preserve"> CA SMPG</w:t>
      </w:r>
      <w:r w:rsidR="00A36E2B">
        <w:t>.</w:t>
      </w:r>
      <w:r w:rsidR="009F44A1">
        <w:t xml:space="preserve"> </w:t>
      </w:r>
      <w:r w:rsidR="009F44A1">
        <w:br/>
      </w:r>
    </w:p>
    <w:p w14:paraId="04E656A8" w14:textId="33FC3530" w:rsidR="00020ACC" w:rsidRDefault="00020ACC" w:rsidP="009F44A1">
      <w:pPr>
        <w:pStyle w:val="Actions"/>
        <w:jc w:val="left"/>
      </w:pPr>
    </w:p>
    <w:p w14:paraId="6D913379" w14:textId="6C775DD0" w:rsidR="00020ACC" w:rsidRDefault="00020ACC" w:rsidP="009F44A1">
      <w:pPr>
        <w:pStyle w:val="Actions"/>
        <w:jc w:val="left"/>
      </w:pPr>
    </w:p>
    <w:p w14:paraId="3A56F84A" w14:textId="4E34B0BD" w:rsidR="00020ACC" w:rsidRDefault="00020ACC" w:rsidP="009F44A1">
      <w:pPr>
        <w:pStyle w:val="Actions"/>
        <w:jc w:val="left"/>
      </w:pPr>
    </w:p>
    <w:p w14:paraId="566D2976" w14:textId="7CA4FD2D" w:rsidR="00020ACC" w:rsidRDefault="00020ACC" w:rsidP="009F44A1">
      <w:pPr>
        <w:pStyle w:val="Actions"/>
        <w:jc w:val="left"/>
      </w:pPr>
    </w:p>
    <w:p w14:paraId="60919E08" w14:textId="1646DF9B" w:rsidR="00020ACC" w:rsidRDefault="00020ACC" w:rsidP="009F44A1">
      <w:pPr>
        <w:pStyle w:val="Actions"/>
        <w:jc w:val="left"/>
      </w:pPr>
    </w:p>
    <w:p w14:paraId="37FCFBF3" w14:textId="5750A5E3" w:rsidR="00020ACC" w:rsidRDefault="00020ACC" w:rsidP="009F44A1">
      <w:pPr>
        <w:pStyle w:val="Actions"/>
        <w:jc w:val="left"/>
      </w:pPr>
    </w:p>
    <w:p w14:paraId="4BF8DB84" w14:textId="77777777" w:rsidR="00020ACC" w:rsidRPr="005137D3" w:rsidRDefault="00020ACC" w:rsidP="009F44A1">
      <w:pPr>
        <w:pStyle w:val="Actions"/>
        <w:jc w:val="left"/>
      </w:pPr>
    </w:p>
    <w:p w14:paraId="029CC147" w14:textId="77777777" w:rsidR="00E40662" w:rsidRDefault="00E40662" w:rsidP="00E40662">
      <w:pPr>
        <w:pStyle w:val="Heading1"/>
        <w:numPr>
          <w:ilvl w:val="0"/>
          <w:numId w:val="0"/>
        </w:numPr>
      </w:pPr>
      <w:bookmarkStart w:id="13" w:name="_Toc80119645"/>
      <w:r>
        <w:t>Market updates</w:t>
      </w:r>
      <w:bookmarkEnd w:id="13"/>
    </w:p>
    <w:p w14:paraId="52AF7E02" w14:textId="77777777" w:rsidR="00F736BB" w:rsidRDefault="00785404" w:rsidP="00385F2A">
      <w:pPr>
        <w:rPr>
          <w:lang w:eastAsia="en-GB"/>
        </w:rPr>
      </w:pPr>
      <w:r>
        <w:rPr>
          <w:lang w:eastAsia="en-GB"/>
        </w:rPr>
        <w:t>A</w:t>
      </w:r>
      <w:r w:rsidR="00E40662">
        <w:rPr>
          <w:lang w:eastAsia="en-GB"/>
        </w:rPr>
        <w:t xml:space="preserve">ttached </w:t>
      </w:r>
      <w:r>
        <w:rPr>
          <w:lang w:eastAsia="en-GB"/>
        </w:rPr>
        <w:t>the</w:t>
      </w:r>
      <w:r w:rsidR="00E40662">
        <w:rPr>
          <w:lang w:eastAsia="en-GB"/>
        </w:rPr>
        <w:t xml:space="preserve"> follow up file covering the different Market initiatives.</w:t>
      </w:r>
      <w:r w:rsidR="00385F2A" w:rsidRPr="00385F2A">
        <w:rPr>
          <w:lang w:eastAsia="en-GB"/>
        </w:rPr>
        <w:t xml:space="preserve"> </w:t>
      </w:r>
    </w:p>
    <w:p w14:paraId="3181FBEE" w14:textId="12509110" w:rsidR="00F736BB" w:rsidRDefault="00111D64" w:rsidP="00385F2A">
      <w:pPr>
        <w:rPr>
          <w:lang w:eastAsia="en-GB"/>
        </w:rPr>
      </w:pPr>
      <w:r>
        <w:rPr>
          <w:lang w:eastAsia="en-GB"/>
        </w:rPr>
        <w:object w:dxaOrig="1539" w:dyaOrig="1058" w14:anchorId="37D9C577">
          <v:shape id="_x0000_i1032" type="#_x0000_t75" style="width:77.25pt;height:53.25pt" o:ole="">
            <v:imagedata r:id="rId11" o:title=""/>
          </v:shape>
          <o:OLEObject Type="Embed" ProgID="Excel.Sheet.12" ShapeID="_x0000_i1032" DrawAspect="Icon" ObjectID="_1690732557" r:id="rId12"/>
        </w:object>
      </w:r>
    </w:p>
    <w:p w14:paraId="62AAA4D6" w14:textId="77777777" w:rsidR="00385F2A" w:rsidRDefault="00F736BB" w:rsidP="00385F2A">
      <w:pPr>
        <w:rPr>
          <w:lang w:eastAsia="en-GB"/>
        </w:rPr>
      </w:pPr>
      <w:r>
        <w:rPr>
          <w:lang w:eastAsia="en-GB"/>
        </w:rPr>
        <w:t>B</w:t>
      </w:r>
      <w:r w:rsidR="00385F2A">
        <w:rPr>
          <w:lang w:eastAsia="en-GB"/>
        </w:rPr>
        <w:t>elow an extract</w:t>
      </w:r>
      <w:r>
        <w:rPr>
          <w:lang w:eastAsia="en-GB"/>
        </w:rPr>
        <w:t xml:space="preserve"> of this file</w:t>
      </w:r>
      <w:r w:rsidR="00385F2A">
        <w:rPr>
          <w:lang w:eastAsia="en-GB"/>
        </w:rPr>
        <w:t xml:space="preserve"> limited </w:t>
      </w:r>
      <w:r>
        <w:rPr>
          <w:lang w:eastAsia="en-GB"/>
        </w:rPr>
        <w:t>to open topics</w:t>
      </w:r>
    </w:p>
    <w:p w14:paraId="47829B9B" w14:textId="77777777" w:rsidR="00E40662" w:rsidRPr="00F209DF" w:rsidRDefault="00DA756E" w:rsidP="00E40662">
      <w:pPr>
        <w:rPr>
          <w:lang w:val="en-GB" w:eastAsia="en-GB"/>
        </w:rPr>
      </w:pPr>
      <w:r w:rsidRPr="00DA756E">
        <w:rPr>
          <w:noProof/>
        </w:rPr>
        <w:drawing>
          <wp:inline distT="0" distB="0" distL="0" distR="0" wp14:anchorId="7A87C64D" wp14:editId="45CF7C4C">
            <wp:extent cx="5697855" cy="162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855" cy="1623695"/>
                    </a:xfrm>
                    <a:prstGeom prst="rect">
                      <a:avLst/>
                    </a:prstGeom>
                    <a:noFill/>
                    <a:ln>
                      <a:noFill/>
                    </a:ln>
                  </pic:spPr>
                </pic:pic>
              </a:graphicData>
            </a:graphic>
          </wp:inline>
        </w:drawing>
      </w:r>
    </w:p>
    <w:p w14:paraId="24B24D6C" w14:textId="779DE5FD" w:rsidR="00A96212" w:rsidRDefault="00BF67CD" w:rsidP="0029390A">
      <w:pPr>
        <w:rPr>
          <w:lang w:eastAsia="en-GB"/>
        </w:rPr>
      </w:pPr>
      <w:r w:rsidRPr="00111D64">
        <w:rPr>
          <w:highlight w:val="green"/>
          <w:lang w:eastAsia="en-GB"/>
        </w:rPr>
        <w:t xml:space="preserve">No updates during </w:t>
      </w:r>
      <w:r w:rsidR="00111D64" w:rsidRPr="00111D64">
        <w:rPr>
          <w:highlight w:val="green"/>
          <w:lang w:eastAsia="en-GB"/>
        </w:rPr>
        <w:t>July</w:t>
      </w:r>
      <w:r w:rsidRPr="00111D64">
        <w:rPr>
          <w:highlight w:val="green"/>
          <w:lang w:eastAsia="en-GB"/>
        </w:rPr>
        <w:t xml:space="preserve"> 2021 call</w:t>
      </w:r>
      <w:r w:rsidR="00111D64" w:rsidRPr="00111D64">
        <w:rPr>
          <w:highlight w:val="green"/>
          <w:lang w:eastAsia="en-GB"/>
        </w:rPr>
        <w:t>. Focus on Spanish FTT. Please see details in the follow-up file</w:t>
      </w:r>
    </w:p>
    <w:p w14:paraId="6750EE37" w14:textId="77777777" w:rsidR="00A96212" w:rsidRPr="00867579" w:rsidRDefault="00A96212" w:rsidP="00A96212">
      <w:pPr>
        <w:rPr>
          <w:highlight w:val="green"/>
          <w:lang w:val="en-AU" w:eastAsia="en-GB"/>
        </w:rPr>
      </w:pPr>
    </w:p>
    <w:p w14:paraId="029829D8" w14:textId="77777777" w:rsidR="00CF0489" w:rsidRDefault="00CF0489" w:rsidP="00E40662">
      <w:pPr>
        <w:rPr>
          <w:lang w:eastAsia="en-GB"/>
        </w:rPr>
      </w:pPr>
    </w:p>
    <w:p w14:paraId="228A0256" w14:textId="77777777" w:rsidR="00E60462" w:rsidRDefault="00E60462" w:rsidP="00EF7F89">
      <w:pPr>
        <w:pStyle w:val="Heading1"/>
        <w:numPr>
          <w:ilvl w:val="0"/>
          <w:numId w:val="0"/>
        </w:numPr>
      </w:pPr>
      <w:bookmarkStart w:id="14" w:name="_Toc80119646"/>
      <w:r>
        <w:t xml:space="preserve">Next </w:t>
      </w:r>
      <w:r w:rsidR="00AC3C0E">
        <w:t>Conference Call</w:t>
      </w:r>
      <w:r w:rsidR="00416984">
        <w:t>s</w:t>
      </w:r>
      <w:bookmarkEnd w:id="14"/>
    </w:p>
    <w:p w14:paraId="23885FEF" w14:textId="77777777" w:rsidR="00AF12D0" w:rsidRDefault="00AF12D0" w:rsidP="0026493B">
      <w:pPr>
        <w:pStyle w:val="ListParagraph"/>
        <w:rPr>
          <w:bCs/>
          <w:iCs/>
          <w:sz w:val="20"/>
        </w:rPr>
      </w:pPr>
    </w:p>
    <w:p w14:paraId="41D51144" w14:textId="7EB28422" w:rsidR="00CB20DE" w:rsidRDefault="002A04B8" w:rsidP="00D66A3E">
      <w:pPr>
        <w:rPr>
          <w:lang w:val="en-AU"/>
        </w:rPr>
      </w:pPr>
      <w:r>
        <w:rPr>
          <w:lang w:val="en-AU"/>
        </w:rPr>
        <w:t>N</w:t>
      </w:r>
      <w:r w:rsidR="00735647">
        <w:rPr>
          <w:lang w:val="en-AU"/>
        </w:rPr>
        <w:t xml:space="preserve">ext </w:t>
      </w:r>
      <w:r w:rsidR="00CB20DE">
        <w:rPr>
          <w:lang w:val="en-AU"/>
        </w:rPr>
        <w:t>call</w:t>
      </w:r>
      <w:r w:rsidR="00531554">
        <w:rPr>
          <w:lang w:val="en-AU"/>
        </w:rPr>
        <w:t>s</w:t>
      </w:r>
      <w:r w:rsidR="00CB20DE">
        <w:rPr>
          <w:lang w:val="en-AU"/>
        </w:rPr>
        <w:t xml:space="preserve"> </w:t>
      </w:r>
      <w:r>
        <w:rPr>
          <w:lang w:val="en-AU"/>
        </w:rPr>
        <w:t xml:space="preserve">scheduled for 2021: </w:t>
      </w:r>
      <w:r w:rsidR="00A074F6">
        <w:rPr>
          <w:lang w:val="en-AU"/>
        </w:rPr>
        <w:t>16</w:t>
      </w:r>
      <w:r w:rsidR="00A074F6" w:rsidRPr="00A074F6">
        <w:rPr>
          <w:vertAlign w:val="superscript"/>
          <w:lang w:val="en-AU"/>
        </w:rPr>
        <w:t>th</w:t>
      </w:r>
      <w:r w:rsidR="00A074F6">
        <w:rPr>
          <w:lang w:val="en-AU"/>
        </w:rPr>
        <w:t xml:space="preserve"> September, 4</w:t>
      </w:r>
      <w:r w:rsidR="00A074F6" w:rsidRPr="00A074F6">
        <w:rPr>
          <w:vertAlign w:val="superscript"/>
          <w:lang w:val="en-AU"/>
        </w:rPr>
        <w:t>th</w:t>
      </w:r>
      <w:r w:rsidR="00A074F6">
        <w:rPr>
          <w:lang w:val="en-AU"/>
        </w:rPr>
        <w:t xml:space="preserve"> November, 16</w:t>
      </w:r>
      <w:r w:rsidR="00A074F6" w:rsidRPr="00A074F6">
        <w:rPr>
          <w:vertAlign w:val="superscript"/>
          <w:lang w:val="en-AU"/>
        </w:rPr>
        <w:t>th</w:t>
      </w:r>
      <w:r w:rsidR="00A074F6">
        <w:rPr>
          <w:lang w:val="en-AU"/>
        </w:rPr>
        <w:t xml:space="preserve"> December</w:t>
      </w:r>
      <w:r w:rsidR="00A074F6">
        <w:rPr>
          <w:lang w:val="en-AU"/>
        </w:rPr>
        <w:br/>
      </w:r>
      <w:r w:rsidR="00B44265" w:rsidRPr="00661D35">
        <w:rPr>
          <w:lang w:val="en-AU"/>
        </w:rPr>
        <w:t>(</w:t>
      </w:r>
      <w:r w:rsidR="002D59A3" w:rsidRPr="00661D35">
        <w:rPr>
          <w:lang w:val="en-AU"/>
        </w:rPr>
        <w:t>call</w:t>
      </w:r>
      <w:r w:rsidR="00A074F6">
        <w:rPr>
          <w:lang w:val="en-AU"/>
        </w:rPr>
        <w:t>s</w:t>
      </w:r>
      <w:r w:rsidR="00B44265" w:rsidRPr="00661D35">
        <w:rPr>
          <w:lang w:val="en-AU"/>
        </w:rPr>
        <w:t xml:space="preserve"> from 2:00 to 3:30 pm </w:t>
      </w:r>
      <w:r w:rsidR="00CF0489" w:rsidRPr="00661D35">
        <w:rPr>
          <w:lang w:val="en-AU"/>
        </w:rPr>
        <w:t>Paris time</w:t>
      </w:r>
      <w:r w:rsidR="00B44265" w:rsidRPr="00661D35">
        <w:rPr>
          <w:lang w:val="en-AU"/>
        </w:rPr>
        <w:t>)</w:t>
      </w:r>
    </w:p>
    <w:p w14:paraId="26043572" w14:textId="77777777" w:rsidR="00B062B4" w:rsidRDefault="00B062B4" w:rsidP="00D66A3E">
      <w:pPr>
        <w:rPr>
          <w:lang w:val="en-AU"/>
        </w:rPr>
      </w:pPr>
    </w:p>
    <w:p w14:paraId="0A8324CB" w14:textId="77777777" w:rsidR="00B062B4" w:rsidRPr="000E1DBE" w:rsidRDefault="00B062B4" w:rsidP="00D66A3E">
      <w:pPr>
        <w:rPr>
          <w:lang w:val="en-AU"/>
        </w:rPr>
      </w:pPr>
    </w:p>
    <w:p w14:paraId="64273312" w14:textId="77777777" w:rsidR="002A6142" w:rsidRPr="00FC0782" w:rsidRDefault="002A6142" w:rsidP="0018110E">
      <w:pPr>
        <w:rPr>
          <w:bCs/>
          <w:iCs/>
        </w:rPr>
      </w:pPr>
    </w:p>
    <w:bookmarkEnd w:id="4"/>
    <w:bookmarkEnd w:id="5"/>
    <w:p w14:paraId="4EDF23A3" w14:textId="77777777"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4"/>
      <w:headerReference w:type="default" r:id="rId15"/>
      <w:footerReference w:type="even" r:id="rId16"/>
      <w:footerReference w:type="default" r:id="rId17"/>
      <w:headerReference w:type="first" r:id="rId18"/>
      <w:footerReference w:type="first" r:id="rId19"/>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932C" w14:textId="77777777" w:rsidR="00531554" w:rsidRDefault="00531554" w:rsidP="00592037">
      <w:r>
        <w:separator/>
      </w:r>
    </w:p>
    <w:p w14:paraId="6FA50973" w14:textId="77777777" w:rsidR="00531554" w:rsidRDefault="00531554" w:rsidP="00592037"/>
  </w:endnote>
  <w:endnote w:type="continuationSeparator" w:id="0">
    <w:p w14:paraId="274604A9" w14:textId="77777777" w:rsidR="00531554" w:rsidRDefault="00531554" w:rsidP="00592037">
      <w:r>
        <w:continuationSeparator/>
      </w:r>
    </w:p>
    <w:p w14:paraId="442D8330" w14:textId="77777777" w:rsidR="00531554" w:rsidRDefault="00531554"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6456" w14:textId="77777777" w:rsidR="00531554" w:rsidRDefault="00531554" w:rsidP="00B82AD4">
    <w:pPr>
      <w:pStyle w:val="Footer"/>
      <w:spacing w:after="0"/>
    </w:pPr>
    <w:bookmarkStart w:id="15" w:name="SSCStd1FooterEvenPages"/>
  </w:p>
  <w:bookmarkEnd w:id="15"/>
  <w:p w14:paraId="5B97F50F" w14:textId="77777777" w:rsidR="00531554" w:rsidRDefault="00531554">
    <w:pPr>
      <w:pStyle w:val="Footer"/>
    </w:pPr>
    <w:r>
      <w:tab/>
      <w:t xml:space="preserve">Page </w:t>
    </w:r>
    <w:r>
      <w:fldChar w:fldCharType="begin"/>
    </w:r>
    <w:r>
      <w:instrText xml:space="preserve"> PAGE   \* MERGEFORMAT </w:instrText>
    </w:r>
    <w:r>
      <w:fldChar w:fldCharType="separate"/>
    </w:r>
    <w:r>
      <w:rPr>
        <w:noProof/>
      </w:rPr>
      <w:t>2</w:t>
    </w:r>
    <w:r>
      <w:rPr>
        <w:noProof/>
      </w:rPr>
      <w:fldChar w:fldCharType="end"/>
    </w:r>
  </w:p>
  <w:p w14:paraId="6FA114AB" w14:textId="77777777" w:rsidR="00531554" w:rsidRDefault="00531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CD41" w14:textId="77777777" w:rsidR="00531554" w:rsidRDefault="00531554" w:rsidP="00B82AD4">
    <w:pPr>
      <w:pStyle w:val="Footer"/>
      <w:spacing w:after="0"/>
    </w:pPr>
    <w:bookmarkStart w:id="16" w:name="SSCStd1FooterPrimary"/>
  </w:p>
  <w:bookmarkEnd w:id="16"/>
  <w:p w14:paraId="0C81EFB6" w14:textId="77777777" w:rsidR="00531554" w:rsidRDefault="00531554">
    <w:pPr>
      <w:pStyle w:val="Footer"/>
    </w:pPr>
    <w:r>
      <w:tab/>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B60D" w14:textId="77777777" w:rsidR="00531554" w:rsidRDefault="0053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410E" w14:textId="77777777" w:rsidR="00531554" w:rsidRDefault="00531554" w:rsidP="00592037">
      <w:r>
        <w:separator/>
      </w:r>
    </w:p>
    <w:p w14:paraId="0D2CA0F0" w14:textId="77777777" w:rsidR="00531554" w:rsidRDefault="00531554" w:rsidP="00592037"/>
  </w:footnote>
  <w:footnote w:type="continuationSeparator" w:id="0">
    <w:p w14:paraId="5F566C23" w14:textId="77777777" w:rsidR="00531554" w:rsidRDefault="00531554" w:rsidP="00592037">
      <w:r>
        <w:continuationSeparator/>
      </w:r>
    </w:p>
    <w:p w14:paraId="117F5143" w14:textId="77777777" w:rsidR="00531554" w:rsidRDefault="00531554"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92D4" w14:textId="41D42B1F" w:rsidR="00531554" w:rsidRDefault="00531554" w:rsidP="00B747C8">
    <w:pPr>
      <w:rPr>
        <w:b/>
      </w:rPr>
    </w:pPr>
    <w:r w:rsidRPr="00284B42">
      <w:rPr>
        <w:b/>
      </w:rPr>
      <w:t>SMPG</w:t>
    </w:r>
    <w:r>
      <w:rPr>
        <w:b/>
      </w:rPr>
      <w:t xml:space="preserve"> TAX Sub-group – Conference Call Minutes</w:t>
    </w:r>
    <w:r w:rsidRPr="00344965">
      <w:rPr>
        <w:b/>
      </w:rPr>
      <w:t xml:space="preserve"> </w:t>
    </w:r>
    <w:r>
      <w:rPr>
        <w:b/>
      </w:rPr>
      <w:t>July 1st, 2021</w:t>
    </w:r>
  </w:p>
  <w:p w14:paraId="5AF2A076" w14:textId="77777777" w:rsidR="00531554" w:rsidRPr="00B747C8" w:rsidRDefault="00531554" w:rsidP="00B747C8">
    <w:pPr>
      <w:ind w:left="6480" w:firstLine="720"/>
      <w:rPr>
        <w:b/>
      </w:rPr>
    </w:pPr>
  </w:p>
  <w:p w14:paraId="2902B9B7" w14:textId="77777777" w:rsidR="00531554" w:rsidRDefault="005315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892B" w14:textId="29B33C5F" w:rsidR="00531554" w:rsidRDefault="00531554" w:rsidP="00B747C8">
    <w:pPr>
      <w:rPr>
        <w:b/>
      </w:rPr>
    </w:pPr>
    <w:r w:rsidRPr="00284B42">
      <w:rPr>
        <w:b/>
      </w:rPr>
      <w:t>SMPG</w:t>
    </w:r>
    <w:r>
      <w:rPr>
        <w:b/>
      </w:rPr>
      <w:t xml:space="preserve"> TAX Sub-group – Conference Call Minutes</w:t>
    </w:r>
    <w:r w:rsidRPr="00344965">
      <w:rPr>
        <w:b/>
      </w:rPr>
      <w:t xml:space="preserve"> </w:t>
    </w:r>
    <w:r>
      <w:rPr>
        <w:b/>
      </w:rPr>
      <w:t>July 1st, 2021</w:t>
    </w:r>
  </w:p>
  <w:p w14:paraId="2CE20D2A" w14:textId="77777777" w:rsidR="00531554" w:rsidRPr="00B747C8" w:rsidRDefault="00531554" w:rsidP="00B747C8">
    <w:pPr>
      <w:ind w:left="6480" w:firstLine="7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522E" w14:textId="77777777" w:rsidR="00531554" w:rsidRDefault="0053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672"/>
    <w:multiLevelType w:val="hybridMultilevel"/>
    <w:tmpl w:val="390840F8"/>
    <w:lvl w:ilvl="0" w:tplc="7D3CF0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15:restartNumberingAfterBreak="0">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7538B"/>
    <w:multiLevelType w:val="hybridMultilevel"/>
    <w:tmpl w:val="4692B2F8"/>
    <w:lvl w:ilvl="0" w:tplc="5B207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5FB2"/>
    <w:multiLevelType w:val="hybridMultilevel"/>
    <w:tmpl w:val="4F90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9" w15:restartNumberingAfterBreak="0">
    <w:nsid w:val="4ACF2867"/>
    <w:multiLevelType w:val="hybridMultilevel"/>
    <w:tmpl w:val="445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13"/>
  </w:num>
  <w:num w:numId="6">
    <w:abstractNumId w:val="12"/>
  </w:num>
  <w:num w:numId="7">
    <w:abstractNumId w:val="10"/>
  </w:num>
  <w:num w:numId="8">
    <w:abstractNumId w:val="5"/>
  </w:num>
  <w:num w:numId="9">
    <w:abstractNumId w:val="4"/>
  </w:num>
  <w:num w:numId="10">
    <w:abstractNumId w:val="1"/>
  </w:num>
  <w:num w:numId="11">
    <w:abstractNumId w:val="1"/>
  </w:num>
  <w:num w:numId="12">
    <w:abstractNumId w:val="6"/>
  </w:num>
  <w:num w:numId="13">
    <w:abstractNumId w:val="0"/>
  </w:num>
  <w:num w:numId="14">
    <w:abstractNumId w:val="1"/>
  </w:num>
  <w:num w:numId="15">
    <w:abstractNumId w:val="7"/>
  </w:num>
  <w:num w:numId="16">
    <w:abstractNumId w:val="1"/>
  </w:num>
  <w:num w:numId="17">
    <w:abstractNumId w:val="1"/>
  </w:num>
  <w:num w:numId="18">
    <w:abstractNumId w:val="1"/>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B4"/>
    <w:rsid w:val="000003F0"/>
    <w:rsid w:val="0000073F"/>
    <w:rsid w:val="00001971"/>
    <w:rsid w:val="0000241A"/>
    <w:rsid w:val="00002D65"/>
    <w:rsid w:val="00002D80"/>
    <w:rsid w:val="00004C7C"/>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0ACC"/>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1BBB"/>
    <w:rsid w:val="00042874"/>
    <w:rsid w:val="00042B2F"/>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2B8"/>
    <w:rsid w:val="00071DDE"/>
    <w:rsid w:val="00071ED9"/>
    <w:rsid w:val="0007256E"/>
    <w:rsid w:val="000729A3"/>
    <w:rsid w:val="00072DAB"/>
    <w:rsid w:val="00073207"/>
    <w:rsid w:val="000739DF"/>
    <w:rsid w:val="000745EC"/>
    <w:rsid w:val="00075D3E"/>
    <w:rsid w:val="00076786"/>
    <w:rsid w:val="000768FB"/>
    <w:rsid w:val="000777F8"/>
    <w:rsid w:val="0008112D"/>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6A3"/>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268"/>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6253"/>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274F"/>
    <w:rsid w:val="000F35D9"/>
    <w:rsid w:val="000F3614"/>
    <w:rsid w:val="000F4705"/>
    <w:rsid w:val="000F4B41"/>
    <w:rsid w:val="000F5913"/>
    <w:rsid w:val="001006E9"/>
    <w:rsid w:val="0010148B"/>
    <w:rsid w:val="001016F9"/>
    <w:rsid w:val="00101DFB"/>
    <w:rsid w:val="001021B7"/>
    <w:rsid w:val="00104342"/>
    <w:rsid w:val="00104962"/>
    <w:rsid w:val="00104B81"/>
    <w:rsid w:val="00104E0B"/>
    <w:rsid w:val="00105979"/>
    <w:rsid w:val="00106021"/>
    <w:rsid w:val="001066F3"/>
    <w:rsid w:val="00107248"/>
    <w:rsid w:val="00107E4E"/>
    <w:rsid w:val="00110DA4"/>
    <w:rsid w:val="00111422"/>
    <w:rsid w:val="00111B6A"/>
    <w:rsid w:val="00111D64"/>
    <w:rsid w:val="00112883"/>
    <w:rsid w:val="00113F7B"/>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4B9E"/>
    <w:rsid w:val="0013566B"/>
    <w:rsid w:val="001358D5"/>
    <w:rsid w:val="00135C1B"/>
    <w:rsid w:val="00136796"/>
    <w:rsid w:val="001368E8"/>
    <w:rsid w:val="0013786A"/>
    <w:rsid w:val="001379EC"/>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33C1"/>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A0"/>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0EA0"/>
    <w:rsid w:val="001C0F6D"/>
    <w:rsid w:val="001C1436"/>
    <w:rsid w:val="001C16D3"/>
    <w:rsid w:val="001C2AB4"/>
    <w:rsid w:val="001C2F37"/>
    <w:rsid w:val="001C50FA"/>
    <w:rsid w:val="001C55E3"/>
    <w:rsid w:val="001C5824"/>
    <w:rsid w:val="001C5BDD"/>
    <w:rsid w:val="001C6483"/>
    <w:rsid w:val="001C691E"/>
    <w:rsid w:val="001C7357"/>
    <w:rsid w:val="001C74D7"/>
    <w:rsid w:val="001C7F55"/>
    <w:rsid w:val="001D0D2F"/>
    <w:rsid w:val="001D0D7A"/>
    <w:rsid w:val="001D0FDF"/>
    <w:rsid w:val="001D1050"/>
    <w:rsid w:val="001D1633"/>
    <w:rsid w:val="001D1F27"/>
    <w:rsid w:val="001D276D"/>
    <w:rsid w:val="001D2EE1"/>
    <w:rsid w:val="001D7DB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09F"/>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2FAC"/>
    <w:rsid w:val="002533BB"/>
    <w:rsid w:val="002549AE"/>
    <w:rsid w:val="00254C1D"/>
    <w:rsid w:val="00254E98"/>
    <w:rsid w:val="00257190"/>
    <w:rsid w:val="0025798E"/>
    <w:rsid w:val="00257BFF"/>
    <w:rsid w:val="00260B07"/>
    <w:rsid w:val="00261660"/>
    <w:rsid w:val="0026168B"/>
    <w:rsid w:val="002624D3"/>
    <w:rsid w:val="00262E44"/>
    <w:rsid w:val="00262F75"/>
    <w:rsid w:val="00263DA4"/>
    <w:rsid w:val="0026493B"/>
    <w:rsid w:val="00265B60"/>
    <w:rsid w:val="00266341"/>
    <w:rsid w:val="00266950"/>
    <w:rsid w:val="00266FB5"/>
    <w:rsid w:val="00270080"/>
    <w:rsid w:val="00270D0A"/>
    <w:rsid w:val="00271477"/>
    <w:rsid w:val="00272B37"/>
    <w:rsid w:val="00273B43"/>
    <w:rsid w:val="00273F18"/>
    <w:rsid w:val="00274D7A"/>
    <w:rsid w:val="00275165"/>
    <w:rsid w:val="00275835"/>
    <w:rsid w:val="00275F48"/>
    <w:rsid w:val="002762F9"/>
    <w:rsid w:val="00276C1F"/>
    <w:rsid w:val="002771E1"/>
    <w:rsid w:val="00277BC7"/>
    <w:rsid w:val="0028014D"/>
    <w:rsid w:val="00280575"/>
    <w:rsid w:val="00281FE5"/>
    <w:rsid w:val="0028242A"/>
    <w:rsid w:val="0028320A"/>
    <w:rsid w:val="00284B42"/>
    <w:rsid w:val="00285001"/>
    <w:rsid w:val="00285165"/>
    <w:rsid w:val="0028574A"/>
    <w:rsid w:val="00285DAA"/>
    <w:rsid w:val="0028678C"/>
    <w:rsid w:val="00286D76"/>
    <w:rsid w:val="002870C2"/>
    <w:rsid w:val="00287431"/>
    <w:rsid w:val="002907A7"/>
    <w:rsid w:val="00290BA0"/>
    <w:rsid w:val="00290DCB"/>
    <w:rsid w:val="00291A70"/>
    <w:rsid w:val="0029301A"/>
    <w:rsid w:val="0029390A"/>
    <w:rsid w:val="00293BD3"/>
    <w:rsid w:val="0029519D"/>
    <w:rsid w:val="00296BB7"/>
    <w:rsid w:val="00297415"/>
    <w:rsid w:val="00297D5D"/>
    <w:rsid w:val="002A04B8"/>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51A"/>
    <w:rsid w:val="002D26F6"/>
    <w:rsid w:val="002D33B9"/>
    <w:rsid w:val="002D3ECD"/>
    <w:rsid w:val="002D4171"/>
    <w:rsid w:val="002D5579"/>
    <w:rsid w:val="002D59A3"/>
    <w:rsid w:val="002D5A70"/>
    <w:rsid w:val="002D60BB"/>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1A77"/>
    <w:rsid w:val="002F3775"/>
    <w:rsid w:val="002F378F"/>
    <w:rsid w:val="002F37F9"/>
    <w:rsid w:val="002F434C"/>
    <w:rsid w:val="002F44D7"/>
    <w:rsid w:val="002F49AF"/>
    <w:rsid w:val="002F5EE8"/>
    <w:rsid w:val="002F6AFE"/>
    <w:rsid w:val="002F70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5F71"/>
    <w:rsid w:val="003261CF"/>
    <w:rsid w:val="00326BA7"/>
    <w:rsid w:val="00327C15"/>
    <w:rsid w:val="003306B2"/>
    <w:rsid w:val="00330A55"/>
    <w:rsid w:val="00330A64"/>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23A7"/>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659"/>
    <w:rsid w:val="00377902"/>
    <w:rsid w:val="003805B6"/>
    <w:rsid w:val="003815C4"/>
    <w:rsid w:val="00381A23"/>
    <w:rsid w:val="00382B23"/>
    <w:rsid w:val="00383BD5"/>
    <w:rsid w:val="00384B04"/>
    <w:rsid w:val="00385DD6"/>
    <w:rsid w:val="00385E1E"/>
    <w:rsid w:val="00385F2A"/>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12B"/>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8D5"/>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1F1B"/>
    <w:rsid w:val="003E458D"/>
    <w:rsid w:val="003E570F"/>
    <w:rsid w:val="003E58A3"/>
    <w:rsid w:val="003E5EFD"/>
    <w:rsid w:val="003E6B0C"/>
    <w:rsid w:val="003F0D0A"/>
    <w:rsid w:val="003F0EE4"/>
    <w:rsid w:val="003F1217"/>
    <w:rsid w:val="003F1787"/>
    <w:rsid w:val="003F28ED"/>
    <w:rsid w:val="003F2BDB"/>
    <w:rsid w:val="003F43E4"/>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2E6"/>
    <w:rsid w:val="004957BB"/>
    <w:rsid w:val="00495BE7"/>
    <w:rsid w:val="00496351"/>
    <w:rsid w:val="00497810"/>
    <w:rsid w:val="004A0F2B"/>
    <w:rsid w:val="004A17C2"/>
    <w:rsid w:val="004A1E9D"/>
    <w:rsid w:val="004A3256"/>
    <w:rsid w:val="004A355B"/>
    <w:rsid w:val="004A37EF"/>
    <w:rsid w:val="004A3833"/>
    <w:rsid w:val="004A4080"/>
    <w:rsid w:val="004A56C8"/>
    <w:rsid w:val="004A5979"/>
    <w:rsid w:val="004A683B"/>
    <w:rsid w:val="004A6867"/>
    <w:rsid w:val="004A6917"/>
    <w:rsid w:val="004A6BF7"/>
    <w:rsid w:val="004A701F"/>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06D"/>
    <w:rsid w:val="004B58F8"/>
    <w:rsid w:val="004B5DE4"/>
    <w:rsid w:val="004B68CC"/>
    <w:rsid w:val="004B69EF"/>
    <w:rsid w:val="004B7DFC"/>
    <w:rsid w:val="004B7E5A"/>
    <w:rsid w:val="004B7FE6"/>
    <w:rsid w:val="004C0334"/>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1C3B"/>
    <w:rsid w:val="004D26FC"/>
    <w:rsid w:val="004D2C5C"/>
    <w:rsid w:val="004D2E16"/>
    <w:rsid w:val="004D4937"/>
    <w:rsid w:val="004D4F4F"/>
    <w:rsid w:val="004D548E"/>
    <w:rsid w:val="004D62A5"/>
    <w:rsid w:val="004E0357"/>
    <w:rsid w:val="004E0F76"/>
    <w:rsid w:val="004E0F93"/>
    <w:rsid w:val="004E12E6"/>
    <w:rsid w:val="004E1D55"/>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92D"/>
    <w:rsid w:val="004F4B63"/>
    <w:rsid w:val="004F4DA3"/>
    <w:rsid w:val="004F506B"/>
    <w:rsid w:val="004F5EF8"/>
    <w:rsid w:val="004F6152"/>
    <w:rsid w:val="004F76FA"/>
    <w:rsid w:val="005006F0"/>
    <w:rsid w:val="005023A2"/>
    <w:rsid w:val="005028FD"/>
    <w:rsid w:val="00505B4E"/>
    <w:rsid w:val="00506869"/>
    <w:rsid w:val="00507298"/>
    <w:rsid w:val="00510058"/>
    <w:rsid w:val="00510BCA"/>
    <w:rsid w:val="00511438"/>
    <w:rsid w:val="00512424"/>
    <w:rsid w:val="005127EB"/>
    <w:rsid w:val="00513624"/>
    <w:rsid w:val="005137D3"/>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6D2A"/>
    <w:rsid w:val="0052715F"/>
    <w:rsid w:val="00530BA3"/>
    <w:rsid w:val="00530D88"/>
    <w:rsid w:val="00531554"/>
    <w:rsid w:val="00534622"/>
    <w:rsid w:val="00534F9F"/>
    <w:rsid w:val="0053546A"/>
    <w:rsid w:val="00536C9B"/>
    <w:rsid w:val="00537A59"/>
    <w:rsid w:val="0054022C"/>
    <w:rsid w:val="005405BF"/>
    <w:rsid w:val="0054102E"/>
    <w:rsid w:val="0054253A"/>
    <w:rsid w:val="00543A08"/>
    <w:rsid w:val="00544027"/>
    <w:rsid w:val="005453F8"/>
    <w:rsid w:val="00546600"/>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0C89"/>
    <w:rsid w:val="00561321"/>
    <w:rsid w:val="00561405"/>
    <w:rsid w:val="00561423"/>
    <w:rsid w:val="00561EF5"/>
    <w:rsid w:val="00561FBF"/>
    <w:rsid w:val="00562084"/>
    <w:rsid w:val="00562151"/>
    <w:rsid w:val="00562A40"/>
    <w:rsid w:val="0056364D"/>
    <w:rsid w:val="00563E5D"/>
    <w:rsid w:val="00564272"/>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260B"/>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28D"/>
    <w:rsid w:val="005A076E"/>
    <w:rsid w:val="005A1A6C"/>
    <w:rsid w:val="005A29B7"/>
    <w:rsid w:val="005A3C11"/>
    <w:rsid w:val="005A3FA1"/>
    <w:rsid w:val="005A4507"/>
    <w:rsid w:val="005A46BD"/>
    <w:rsid w:val="005A4948"/>
    <w:rsid w:val="005A5198"/>
    <w:rsid w:val="005B0264"/>
    <w:rsid w:val="005B0E23"/>
    <w:rsid w:val="005B1737"/>
    <w:rsid w:val="005B4768"/>
    <w:rsid w:val="005B60FA"/>
    <w:rsid w:val="005B6C04"/>
    <w:rsid w:val="005B79AF"/>
    <w:rsid w:val="005C033A"/>
    <w:rsid w:val="005C066C"/>
    <w:rsid w:val="005C0760"/>
    <w:rsid w:val="005C1423"/>
    <w:rsid w:val="005C2442"/>
    <w:rsid w:val="005C262D"/>
    <w:rsid w:val="005C2A8B"/>
    <w:rsid w:val="005C39DE"/>
    <w:rsid w:val="005C3E37"/>
    <w:rsid w:val="005C3FCB"/>
    <w:rsid w:val="005C3FF1"/>
    <w:rsid w:val="005C410F"/>
    <w:rsid w:val="005C54C3"/>
    <w:rsid w:val="005C6DCA"/>
    <w:rsid w:val="005C7169"/>
    <w:rsid w:val="005C7623"/>
    <w:rsid w:val="005D082A"/>
    <w:rsid w:val="005D0D04"/>
    <w:rsid w:val="005D1D53"/>
    <w:rsid w:val="005D27E7"/>
    <w:rsid w:val="005D2809"/>
    <w:rsid w:val="005D495D"/>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3ACD"/>
    <w:rsid w:val="005F4089"/>
    <w:rsid w:val="005F4678"/>
    <w:rsid w:val="005F4BB5"/>
    <w:rsid w:val="005F6712"/>
    <w:rsid w:val="005F68EE"/>
    <w:rsid w:val="005F76A1"/>
    <w:rsid w:val="00601865"/>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48D6"/>
    <w:rsid w:val="00615205"/>
    <w:rsid w:val="0061654D"/>
    <w:rsid w:val="0061750F"/>
    <w:rsid w:val="00617AF5"/>
    <w:rsid w:val="00617E28"/>
    <w:rsid w:val="00620B53"/>
    <w:rsid w:val="00621B1F"/>
    <w:rsid w:val="00622B75"/>
    <w:rsid w:val="00623818"/>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1C2"/>
    <w:rsid w:val="00642693"/>
    <w:rsid w:val="00642BC1"/>
    <w:rsid w:val="00643A78"/>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3D9"/>
    <w:rsid w:val="0065757D"/>
    <w:rsid w:val="00657EA2"/>
    <w:rsid w:val="00660D06"/>
    <w:rsid w:val="00661324"/>
    <w:rsid w:val="00661D35"/>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719"/>
    <w:rsid w:val="00677CE6"/>
    <w:rsid w:val="006805EA"/>
    <w:rsid w:val="006808CE"/>
    <w:rsid w:val="00681363"/>
    <w:rsid w:val="0068198A"/>
    <w:rsid w:val="006825E0"/>
    <w:rsid w:val="006830D0"/>
    <w:rsid w:val="006831EF"/>
    <w:rsid w:val="0068361F"/>
    <w:rsid w:val="0068464B"/>
    <w:rsid w:val="006846A1"/>
    <w:rsid w:val="00684806"/>
    <w:rsid w:val="00685B6E"/>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97B80"/>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3E47"/>
    <w:rsid w:val="006B448C"/>
    <w:rsid w:val="006B5372"/>
    <w:rsid w:val="006B5AC3"/>
    <w:rsid w:val="006B5B64"/>
    <w:rsid w:val="006B60FA"/>
    <w:rsid w:val="006B746B"/>
    <w:rsid w:val="006B7CFF"/>
    <w:rsid w:val="006C002F"/>
    <w:rsid w:val="006C1A33"/>
    <w:rsid w:val="006C1AF3"/>
    <w:rsid w:val="006C216A"/>
    <w:rsid w:val="006C2ADA"/>
    <w:rsid w:val="006C2BEA"/>
    <w:rsid w:val="006C347A"/>
    <w:rsid w:val="006C3CB0"/>
    <w:rsid w:val="006C3F04"/>
    <w:rsid w:val="006C4331"/>
    <w:rsid w:val="006C4BC9"/>
    <w:rsid w:val="006C5C86"/>
    <w:rsid w:val="006C62A1"/>
    <w:rsid w:val="006C6684"/>
    <w:rsid w:val="006C7749"/>
    <w:rsid w:val="006C7CA8"/>
    <w:rsid w:val="006C7E3B"/>
    <w:rsid w:val="006D1C81"/>
    <w:rsid w:val="006D1DD6"/>
    <w:rsid w:val="006D1DE0"/>
    <w:rsid w:val="006D290F"/>
    <w:rsid w:val="006D2D08"/>
    <w:rsid w:val="006D3455"/>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BBE"/>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2D0"/>
    <w:rsid w:val="00701948"/>
    <w:rsid w:val="0070379B"/>
    <w:rsid w:val="00703AC9"/>
    <w:rsid w:val="0070770C"/>
    <w:rsid w:val="007107F2"/>
    <w:rsid w:val="007111AE"/>
    <w:rsid w:val="007114CE"/>
    <w:rsid w:val="00712934"/>
    <w:rsid w:val="00713AC9"/>
    <w:rsid w:val="00715D9E"/>
    <w:rsid w:val="0071665F"/>
    <w:rsid w:val="007208B6"/>
    <w:rsid w:val="00722447"/>
    <w:rsid w:val="00723AF2"/>
    <w:rsid w:val="00724382"/>
    <w:rsid w:val="00725070"/>
    <w:rsid w:val="00725E78"/>
    <w:rsid w:val="00725EDA"/>
    <w:rsid w:val="00726876"/>
    <w:rsid w:val="00726F6D"/>
    <w:rsid w:val="00727100"/>
    <w:rsid w:val="00730F3D"/>
    <w:rsid w:val="00730F5D"/>
    <w:rsid w:val="0073105B"/>
    <w:rsid w:val="007311A0"/>
    <w:rsid w:val="0073127D"/>
    <w:rsid w:val="0073240B"/>
    <w:rsid w:val="00732F53"/>
    <w:rsid w:val="00733125"/>
    <w:rsid w:val="00733AB4"/>
    <w:rsid w:val="00734DE6"/>
    <w:rsid w:val="00735647"/>
    <w:rsid w:val="007359F5"/>
    <w:rsid w:val="0073707E"/>
    <w:rsid w:val="0073772C"/>
    <w:rsid w:val="00737BF1"/>
    <w:rsid w:val="0074191F"/>
    <w:rsid w:val="0074236F"/>
    <w:rsid w:val="00742ADC"/>
    <w:rsid w:val="00743759"/>
    <w:rsid w:val="00743766"/>
    <w:rsid w:val="00743D57"/>
    <w:rsid w:val="007444CA"/>
    <w:rsid w:val="00745404"/>
    <w:rsid w:val="00745F27"/>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0101"/>
    <w:rsid w:val="0076109A"/>
    <w:rsid w:val="0076205B"/>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53D"/>
    <w:rsid w:val="0078177E"/>
    <w:rsid w:val="007817DB"/>
    <w:rsid w:val="0078318E"/>
    <w:rsid w:val="00783962"/>
    <w:rsid w:val="00784DE6"/>
    <w:rsid w:val="00785272"/>
    <w:rsid w:val="00785404"/>
    <w:rsid w:val="007862E3"/>
    <w:rsid w:val="00787ECD"/>
    <w:rsid w:val="00790934"/>
    <w:rsid w:val="00791DDD"/>
    <w:rsid w:val="00792FB8"/>
    <w:rsid w:val="007936A6"/>
    <w:rsid w:val="00793A2D"/>
    <w:rsid w:val="00793BEE"/>
    <w:rsid w:val="007943BE"/>
    <w:rsid w:val="007945DD"/>
    <w:rsid w:val="00795A51"/>
    <w:rsid w:val="00796B9D"/>
    <w:rsid w:val="00797286"/>
    <w:rsid w:val="007972D3"/>
    <w:rsid w:val="0079798E"/>
    <w:rsid w:val="00797D59"/>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3D96"/>
    <w:rsid w:val="007B4003"/>
    <w:rsid w:val="007B4336"/>
    <w:rsid w:val="007B5AB3"/>
    <w:rsid w:val="007B6EDE"/>
    <w:rsid w:val="007B7792"/>
    <w:rsid w:val="007B7BBA"/>
    <w:rsid w:val="007C037E"/>
    <w:rsid w:val="007C0797"/>
    <w:rsid w:val="007C092F"/>
    <w:rsid w:val="007C0CF6"/>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4652"/>
    <w:rsid w:val="007D629A"/>
    <w:rsid w:val="007D63F1"/>
    <w:rsid w:val="007D6535"/>
    <w:rsid w:val="007D7448"/>
    <w:rsid w:val="007E104F"/>
    <w:rsid w:val="007E124C"/>
    <w:rsid w:val="007E15A6"/>
    <w:rsid w:val="007E1B7E"/>
    <w:rsid w:val="007E1C55"/>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5A5"/>
    <w:rsid w:val="007F669E"/>
    <w:rsid w:val="007F73FB"/>
    <w:rsid w:val="007F7D7A"/>
    <w:rsid w:val="008000C6"/>
    <w:rsid w:val="00800138"/>
    <w:rsid w:val="008009FF"/>
    <w:rsid w:val="00802AD1"/>
    <w:rsid w:val="008030C2"/>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60D9"/>
    <w:rsid w:val="00847318"/>
    <w:rsid w:val="0085019F"/>
    <w:rsid w:val="00850250"/>
    <w:rsid w:val="0085065A"/>
    <w:rsid w:val="00850692"/>
    <w:rsid w:val="00850B2C"/>
    <w:rsid w:val="00852261"/>
    <w:rsid w:val="008527D7"/>
    <w:rsid w:val="00852F5E"/>
    <w:rsid w:val="00853704"/>
    <w:rsid w:val="008539FB"/>
    <w:rsid w:val="00853ABD"/>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579"/>
    <w:rsid w:val="008676D0"/>
    <w:rsid w:val="008708D6"/>
    <w:rsid w:val="00870ACC"/>
    <w:rsid w:val="00870CF1"/>
    <w:rsid w:val="00870D88"/>
    <w:rsid w:val="008719C7"/>
    <w:rsid w:val="00871AC5"/>
    <w:rsid w:val="00872FB1"/>
    <w:rsid w:val="00873E0F"/>
    <w:rsid w:val="0087449A"/>
    <w:rsid w:val="0087486F"/>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86CB5"/>
    <w:rsid w:val="00887370"/>
    <w:rsid w:val="00890387"/>
    <w:rsid w:val="00890F1B"/>
    <w:rsid w:val="00891F36"/>
    <w:rsid w:val="008932C0"/>
    <w:rsid w:val="008958B0"/>
    <w:rsid w:val="00895F7D"/>
    <w:rsid w:val="00896602"/>
    <w:rsid w:val="00897669"/>
    <w:rsid w:val="008A00D6"/>
    <w:rsid w:val="008A0E84"/>
    <w:rsid w:val="008A1840"/>
    <w:rsid w:val="008A2391"/>
    <w:rsid w:val="008A2D39"/>
    <w:rsid w:val="008A33D1"/>
    <w:rsid w:val="008A355C"/>
    <w:rsid w:val="008A5B30"/>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033"/>
    <w:rsid w:val="008D778F"/>
    <w:rsid w:val="008D7983"/>
    <w:rsid w:val="008D7EDB"/>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48B3"/>
    <w:rsid w:val="008F5AA8"/>
    <w:rsid w:val="008F5ACE"/>
    <w:rsid w:val="008F5B0A"/>
    <w:rsid w:val="008F62F4"/>
    <w:rsid w:val="008F66A7"/>
    <w:rsid w:val="008F6884"/>
    <w:rsid w:val="008F68C2"/>
    <w:rsid w:val="008F6B18"/>
    <w:rsid w:val="008F6B95"/>
    <w:rsid w:val="008F70DE"/>
    <w:rsid w:val="00900188"/>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17FD0"/>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4011"/>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2FA"/>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C15"/>
    <w:rsid w:val="00991DD7"/>
    <w:rsid w:val="009923A7"/>
    <w:rsid w:val="0099255F"/>
    <w:rsid w:val="00993839"/>
    <w:rsid w:val="009938B8"/>
    <w:rsid w:val="00993A28"/>
    <w:rsid w:val="00995285"/>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44A1"/>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4F6"/>
    <w:rsid w:val="00A07B34"/>
    <w:rsid w:val="00A10F08"/>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43DC"/>
    <w:rsid w:val="00A3578C"/>
    <w:rsid w:val="00A35DE2"/>
    <w:rsid w:val="00A368C0"/>
    <w:rsid w:val="00A36E2B"/>
    <w:rsid w:val="00A37B41"/>
    <w:rsid w:val="00A37CFE"/>
    <w:rsid w:val="00A4048E"/>
    <w:rsid w:val="00A40575"/>
    <w:rsid w:val="00A40868"/>
    <w:rsid w:val="00A42D4E"/>
    <w:rsid w:val="00A43511"/>
    <w:rsid w:val="00A444B1"/>
    <w:rsid w:val="00A444EF"/>
    <w:rsid w:val="00A44A41"/>
    <w:rsid w:val="00A45224"/>
    <w:rsid w:val="00A45979"/>
    <w:rsid w:val="00A46158"/>
    <w:rsid w:val="00A50D47"/>
    <w:rsid w:val="00A51A7F"/>
    <w:rsid w:val="00A520ED"/>
    <w:rsid w:val="00A52775"/>
    <w:rsid w:val="00A52AD3"/>
    <w:rsid w:val="00A538C7"/>
    <w:rsid w:val="00A54ED5"/>
    <w:rsid w:val="00A55A24"/>
    <w:rsid w:val="00A57665"/>
    <w:rsid w:val="00A57F28"/>
    <w:rsid w:val="00A6125C"/>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1E1"/>
    <w:rsid w:val="00A91CE4"/>
    <w:rsid w:val="00A91F68"/>
    <w:rsid w:val="00A927D2"/>
    <w:rsid w:val="00A9353D"/>
    <w:rsid w:val="00A93CED"/>
    <w:rsid w:val="00A94C35"/>
    <w:rsid w:val="00A94FEB"/>
    <w:rsid w:val="00A96132"/>
    <w:rsid w:val="00A9621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029B"/>
    <w:rsid w:val="00AB1053"/>
    <w:rsid w:val="00AB18CE"/>
    <w:rsid w:val="00AB2464"/>
    <w:rsid w:val="00AB3C29"/>
    <w:rsid w:val="00AB5229"/>
    <w:rsid w:val="00AB525C"/>
    <w:rsid w:val="00AB5D12"/>
    <w:rsid w:val="00AB6103"/>
    <w:rsid w:val="00AB6283"/>
    <w:rsid w:val="00AB673A"/>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398"/>
    <w:rsid w:val="00AD25C8"/>
    <w:rsid w:val="00AD28BB"/>
    <w:rsid w:val="00AD4824"/>
    <w:rsid w:val="00AD6414"/>
    <w:rsid w:val="00AD6F51"/>
    <w:rsid w:val="00AD7FAD"/>
    <w:rsid w:val="00AE045E"/>
    <w:rsid w:val="00AE053C"/>
    <w:rsid w:val="00AE05F8"/>
    <w:rsid w:val="00AE1BFE"/>
    <w:rsid w:val="00AE295B"/>
    <w:rsid w:val="00AE2F33"/>
    <w:rsid w:val="00AE414F"/>
    <w:rsid w:val="00AE5261"/>
    <w:rsid w:val="00AE6450"/>
    <w:rsid w:val="00AE679C"/>
    <w:rsid w:val="00AF0408"/>
    <w:rsid w:val="00AF055D"/>
    <w:rsid w:val="00AF0815"/>
    <w:rsid w:val="00AF0D2F"/>
    <w:rsid w:val="00AF12D0"/>
    <w:rsid w:val="00AF1AE3"/>
    <w:rsid w:val="00AF1DAC"/>
    <w:rsid w:val="00AF2227"/>
    <w:rsid w:val="00AF37B1"/>
    <w:rsid w:val="00AF3B99"/>
    <w:rsid w:val="00AF3D2B"/>
    <w:rsid w:val="00AF4BD8"/>
    <w:rsid w:val="00AF4C0B"/>
    <w:rsid w:val="00AF5E71"/>
    <w:rsid w:val="00AF5F69"/>
    <w:rsid w:val="00AF6404"/>
    <w:rsid w:val="00AF715B"/>
    <w:rsid w:val="00B0227F"/>
    <w:rsid w:val="00B02623"/>
    <w:rsid w:val="00B02BB1"/>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428"/>
    <w:rsid w:val="00B2719B"/>
    <w:rsid w:val="00B31281"/>
    <w:rsid w:val="00B31430"/>
    <w:rsid w:val="00B31E8C"/>
    <w:rsid w:val="00B322DA"/>
    <w:rsid w:val="00B327DD"/>
    <w:rsid w:val="00B3301A"/>
    <w:rsid w:val="00B3425D"/>
    <w:rsid w:val="00B34719"/>
    <w:rsid w:val="00B3578C"/>
    <w:rsid w:val="00B35901"/>
    <w:rsid w:val="00B361F5"/>
    <w:rsid w:val="00B373F0"/>
    <w:rsid w:val="00B37952"/>
    <w:rsid w:val="00B40C8B"/>
    <w:rsid w:val="00B41238"/>
    <w:rsid w:val="00B416F4"/>
    <w:rsid w:val="00B417B4"/>
    <w:rsid w:val="00B42146"/>
    <w:rsid w:val="00B4281A"/>
    <w:rsid w:val="00B44265"/>
    <w:rsid w:val="00B443EF"/>
    <w:rsid w:val="00B44667"/>
    <w:rsid w:val="00B45637"/>
    <w:rsid w:val="00B45B6D"/>
    <w:rsid w:val="00B4667C"/>
    <w:rsid w:val="00B47358"/>
    <w:rsid w:val="00B47415"/>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4DCA"/>
    <w:rsid w:val="00B66CA1"/>
    <w:rsid w:val="00B674D6"/>
    <w:rsid w:val="00B67588"/>
    <w:rsid w:val="00B67AAF"/>
    <w:rsid w:val="00B67D67"/>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49F"/>
    <w:rsid w:val="00B9361F"/>
    <w:rsid w:val="00B93987"/>
    <w:rsid w:val="00B93A7E"/>
    <w:rsid w:val="00B93D87"/>
    <w:rsid w:val="00B94457"/>
    <w:rsid w:val="00B95317"/>
    <w:rsid w:val="00B95D9E"/>
    <w:rsid w:val="00B960F9"/>
    <w:rsid w:val="00B9709B"/>
    <w:rsid w:val="00B976DD"/>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9D5"/>
    <w:rsid w:val="00BC0D34"/>
    <w:rsid w:val="00BC1BB6"/>
    <w:rsid w:val="00BC24E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1C2E"/>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0FE"/>
    <w:rsid w:val="00BE2716"/>
    <w:rsid w:val="00BE28FF"/>
    <w:rsid w:val="00BE3699"/>
    <w:rsid w:val="00BE3F83"/>
    <w:rsid w:val="00BE412F"/>
    <w:rsid w:val="00BE62CC"/>
    <w:rsid w:val="00BE6B8A"/>
    <w:rsid w:val="00BF0462"/>
    <w:rsid w:val="00BF0C03"/>
    <w:rsid w:val="00BF0D72"/>
    <w:rsid w:val="00BF2ED8"/>
    <w:rsid w:val="00BF3939"/>
    <w:rsid w:val="00BF5872"/>
    <w:rsid w:val="00BF67CD"/>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11"/>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690"/>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0E8"/>
    <w:rsid w:val="00C62B35"/>
    <w:rsid w:val="00C62FC4"/>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7A0"/>
    <w:rsid w:val="00CA0A2E"/>
    <w:rsid w:val="00CA0C4D"/>
    <w:rsid w:val="00CA0D45"/>
    <w:rsid w:val="00CA182B"/>
    <w:rsid w:val="00CA1917"/>
    <w:rsid w:val="00CA1CF7"/>
    <w:rsid w:val="00CA2F81"/>
    <w:rsid w:val="00CA3AD6"/>
    <w:rsid w:val="00CA43E2"/>
    <w:rsid w:val="00CA51C0"/>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02F2"/>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489"/>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6C"/>
    <w:rsid w:val="00D075AB"/>
    <w:rsid w:val="00D07A69"/>
    <w:rsid w:val="00D10871"/>
    <w:rsid w:val="00D10EC8"/>
    <w:rsid w:val="00D127E9"/>
    <w:rsid w:val="00D130A4"/>
    <w:rsid w:val="00D1455A"/>
    <w:rsid w:val="00D14680"/>
    <w:rsid w:val="00D14AB7"/>
    <w:rsid w:val="00D150FE"/>
    <w:rsid w:val="00D15962"/>
    <w:rsid w:val="00D16A20"/>
    <w:rsid w:val="00D16BCF"/>
    <w:rsid w:val="00D17FAC"/>
    <w:rsid w:val="00D2001E"/>
    <w:rsid w:val="00D20DDA"/>
    <w:rsid w:val="00D21B7D"/>
    <w:rsid w:val="00D223C8"/>
    <w:rsid w:val="00D225BD"/>
    <w:rsid w:val="00D23C61"/>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308F"/>
    <w:rsid w:val="00D444DA"/>
    <w:rsid w:val="00D44D0B"/>
    <w:rsid w:val="00D46E82"/>
    <w:rsid w:val="00D505C6"/>
    <w:rsid w:val="00D50AA7"/>
    <w:rsid w:val="00D5246B"/>
    <w:rsid w:val="00D52833"/>
    <w:rsid w:val="00D53337"/>
    <w:rsid w:val="00D53847"/>
    <w:rsid w:val="00D5465F"/>
    <w:rsid w:val="00D54E0D"/>
    <w:rsid w:val="00D55818"/>
    <w:rsid w:val="00D57315"/>
    <w:rsid w:val="00D57789"/>
    <w:rsid w:val="00D5794C"/>
    <w:rsid w:val="00D60FA4"/>
    <w:rsid w:val="00D6145B"/>
    <w:rsid w:val="00D61B38"/>
    <w:rsid w:val="00D61B83"/>
    <w:rsid w:val="00D61BFC"/>
    <w:rsid w:val="00D61C5E"/>
    <w:rsid w:val="00D62372"/>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4022"/>
    <w:rsid w:val="00D74517"/>
    <w:rsid w:val="00D7470F"/>
    <w:rsid w:val="00D747F6"/>
    <w:rsid w:val="00D75CB5"/>
    <w:rsid w:val="00D76F5E"/>
    <w:rsid w:val="00D7765F"/>
    <w:rsid w:val="00D81E0E"/>
    <w:rsid w:val="00D82225"/>
    <w:rsid w:val="00D83D31"/>
    <w:rsid w:val="00D847E5"/>
    <w:rsid w:val="00D86196"/>
    <w:rsid w:val="00D86B65"/>
    <w:rsid w:val="00D8725F"/>
    <w:rsid w:val="00D87972"/>
    <w:rsid w:val="00D87979"/>
    <w:rsid w:val="00D87F0D"/>
    <w:rsid w:val="00D90176"/>
    <w:rsid w:val="00D91336"/>
    <w:rsid w:val="00D938FC"/>
    <w:rsid w:val="00D9409A"/>
    <w:rsid w:val="00D940B0"/>
    <w:rsid w:val="00D94FAA"/>
    <w:rsid w:val="00D95C01"/>
    <w:rsid w:val="00D96FA6"/>
    <w:rsid w:val="00D97523"/>
    <w:rsid w:val="00DA059A"/>
    <w:rsid w:val="00DA06B7"/>
    <w:rsid w:val="00DA0AF6"/>
    <w:rsid w:val="00DA1312"/>
    <w:rsid w:val="00DA1629"/>
    <w:rsid w:val="00DA206B"/>
    <w:rsid w:val="00DA3F50"/>
    <w:rsid w:val="00DA62B4"/>
    <w:rsid w:val="00DA650C"/>
    <w:rsid w:val="00DA662E"/>
    <w:rsid w:val="00DA7497"/>
    <w:rsid w:val="00DA756E"/>
    <w:rsid w:val="00DA7CED"/>
    <w:rsid w:val="00DB1325"/>
    <w:rsid w:val="00DB1963"/>
    <w:rsid w:val="00DB1D4E"/>
    <w:rsid w:val="00DB1F54"/>
    <w:rsid w:val="00DB25AA"/>
    <w:rsid w:val="00DB2F02"/>
    <w:rsid w:val="00DB3133"/>
    <w:rsid w:val="00DB32F6"/>
    <w:rsid w:val="00DB444C"/>
    <w:rsid w:val="00DB5705"/>
    <w:rsid w:val="00DB6416"/>
    <w:rsid w:val="00DB7FAD"/>
    <w:rsid w:val="00DC23B9"/>
    <w:rsid w:val="00DC2B7F"/>
    <w:rsid w:val="00DC2DE7"/>
    <w:rsid w:val="00DC30BC"/>
    <w:rsid w:val="00DC3831"/>
    <w:rsid w:val="00DC4698"/>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4746"/>
    <w:rsid w:val="00DE631F"/>
    <w:rsid w:val="00DE649F"/>
    <w:rsid w:val="00DE706A"/>
    <w:rsid w:val="00DE7148"/>
    <w:rsid w:val="00DF0644"/>
    <w:rsid w:val="00DF0782"/>
    <w:rsid w:val="00DF0B83"/>
    <w:rsid w:val="00DF2E30"/>
    <w:rsid w:val="00DF3878"/>
    <w:rsid w:val="00DF3E97"/>
    <w:rsid w:val="00DF5277"/>
    <w:rsid w:val="00DF5C4F"/>
    <w:rsid w:val="00DF674D"/>
    <w:rsid w:val="00DF6D3F"/>
    <w:rsid w:val="00DF7A95"/>
    <w:rsid w:val="00E0037A"/>
    <w:rsid w:val="00E00C01"/>
    <w:rsid w:val="00E01386"/>
    <w:rsid w:val="00E01913"/>
    <w:rsid w:val="00E01E13"/>
    <w:rsid w:val="00E01F24"/>
    <w:rsid w:val="00E047A1"/>
    <w:rsid w:val="00E05479"/>
    <w:rsid w:val="00E0582B"/>
    <w:rsid w:val="00E066A2"/>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195C"/>
    <w:rsid w:val="00E22122"/>
    <w:rsid w:val="00E22F53"/>
    <w:rsid w:val="00E235E2"/>
    <w:rsid w:val="00E23A36"/>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4973"/>
    <w:rsid w:val="00E472D9"/>
    <w:rsid w:val="00E478C3"/>
    <w:rsid w:val="00E47BFA"/>
    <w:rsid w:val="00E47E4E"/>
    <w:rsid w:val="00E47EAE"/>
    <w:rsid w:val="00E5069D"/>
    <w:rsid w:val="00E51451"/>
    <w:rsid w:val="00E5193C"/>
    <w:rsid w:val="00E51CF6"/>
    <w:rsid w:val="00E529A1"/>
    <w:rsid w:val="00E53F33"/>
    <w:rsid w:val="00E55986"/>
    <w:rsid w:val="00E55EA8"/>
    <w:rsid w:val="00E55EF7"/>
    <w:rsid w:val="00E561B8"/>
    <w:rsid w:val="00E5666E"/>
    <w:rsid w:val="00E5748A"/>
    <w:rsid w:val="00E57E5F"/>
    <w:rsid w:val="00E60462"/>
    <w:rsid w:val="00E60509"/>
    <w:rsid w:val="00E606F9"/>
    <w:rsid w:val="00E60A85"/>
    <w:rsid w:val="00E62F12"/>
    <w:rsid w:val="00E63496"/>
    <w:rsid w:val="00E667E9"/>
    <w:rsid w:val="00E6740D"/>
    <w:rsid w:val="00E70CF3"/>
    <w:rsid w:val="00E70DB1"/>
    <w:rsid w:val="00E70E7D"/>
    <w:rsid w:val="00E7119E"/>
    <w:rsid w:val="00E71632"/>
    <w:rsid w:val="00E72CC1"/>
    <w:rsid w:val="00E73BD3"/>
    <w:rsid w:val="00E73BDD"/>
    <w:rsid w:val="00E747CA"/>
    <w:rsid w:val="00E749B4"/>
    <w:rsid w:val="00E758A9"/>
    <w:rsid w:val="00E76104"/>
    <w:rsid w:val="00E80485"/>
    <w:rsid w:val="00E81D81"/>
    <w:rsid w:val="00E82007"/>
    <w:rsid w:val="00E82056"/>
    <w:rsid w:val="00E82181"/>
    <w:rsid w:val="00E83286"/>
    <w:rsid w:val="00E83BDC"/>
    <w:rsid w:val="00E83D92"/>
    <w:rsid w:val="00E8461C"/>
    <w:rsid w:val="00E8505E"/>
    <w:rsid w:val="00E85094"/>
    <w:rsid w:val="00E85420"/>
    <w:rsid w:val="00E85593"/>
    <w:rsid w:val="00E85787"/>
    <w:rsid w:val="00E8621E"/>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59C"/>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291"/>
    <w:rsid w:val="00F07DCF"/>
    <w:rsid w:val="00F07E3C"/>
    <w:rsid w:val="00F109E9"/>
    <w:rsid w:val="00F11DC0"/>
    <w:rsid w:val="00F135E1"/>
    <w:rsid w:val="00F14CB6"/>
    <w:rsid w:val="00F15617"/>
    <w:rsid w:val="00F167E2"/>
    <w:rsid w:val="00F1685B"/>
    <w:rsid w:val="00F209DF"/>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7C"/>
    <w:rsid w:val="00F348F5"/>
    <w:rsid w:val="00F358E8"/>
    <w:rsid w:val="00F40A7D"/>
    <w:rsid w:val="00F4133C"/>
    <w:rsid w:val="00F413AB"/>
    <w:rsid w:val="00F42AEB"/>
    <w:rsid w:val="00F42F2A"/>
    <w:rsid w:val="00F43945"/>
    <w:rsid w:val="00F43B5B"/>
    <w:rsid w:val="00F441B7"/>
    <w:rsid w:val="00F44742"/>
    <w:rsid w:val="00F44F8D"/>
    <w:rsid w:val="00F45B76"/>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80A"/>
    <w:rsid w:val="00F55E9A"/>
    <w:rsid w:val="00F56120"/>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36BB"/>
    <w:rsid w:val="00F75DFC"/>
    <w:rsid w:val="00F76537"/>
    <w:rsid w:val="00F76A92"/>
    <w:rsid w:val="00F76DC5"/>
    <w:rsid w:val="00F76E7C"/>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4C75"/>
    <w:rsid w:val="00F95344"/>
    <w:rsid w:val="00F958BE"/>
    <w:rsid w:val="00F95BFC"/>
    <w:rsid w:val="00F960AE"/>
    <w:rsid w:val="00F962CB"/>
    <w:rsid w:val="00F968D1"/>
    <w:rsid w:val="00F96A82"/>
    <w:rsid w:val="00F97080"/>
    <w:rsid w:val="00FA0149"/>
    <w:rsid w:val="00FA0802"/>
    <w:rsid w:val="00FA2C90"/>
    <w:rsid w:val="00FA2DD3"/>
    <w:rsid w:val="00FA39DA"/>
    <w:rsid w:val="00FA3B6B"/>
    <w:rsid w:val="00FA4211"/>
    <w:rsid w:val="00FA446E"/>
    <w:rsid w:val="00FA48D9"/>
    <w:rsid w:val="00FA4900"/>
    <w:rsid w:val="00FA49A6"/>
    <w:rsid w:val="00FA4CB0"/>
    <w:rsid w:val="00FA4EA2"/>
    <w:rsid w:val="00FA5127"/>
    <w:rsid w:val="00FA5AF9"/>
    <w:rsid w:val="00FA5CDB"/>
    <w:rsid w:val="00FA5E8B"/>
    <w:rsid w:val="00FA651A"/>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4C7"/>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 w:val="00FF4FCA"/>
    <w:rsid w:val="00FF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0312C53B"/>
  <w15:docId w15:val="{76980679-4380-4629-ABD8-B62B742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 w:type="paragraph" w:customStyle="1" w:styleId="ListNumber1">
    <w:name w:val="List Number1"/>
    <w:basedOn w:val="Normal"/>
    <w:locked/>
    <w:rsid w:val="00290BA0"/>
    <w:pPr>
      <w:numPr>
        <w:numId w:val="21"/>
      </w:numPr>
      <w:tabs>
        <w:tab w:val="clear" w:pos="1211"/>
        <w:tab w:val="left" w:pos="1134"/>
      </w:tabs>
      <w:suppressAutoHyphens/>
      <w:spacing w:before="60" w:after="60"/>
    </w:pPr>
    <w:rPr>
      <w:rFonts w:eastAsia="Time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825">
      <w:bodyDiv w:val="1"/>
      <w:marLeft w:val="0"/>
      <w:marRight w:val="0"/>
      <w:marTop w:val="0"/>
      <w:marBottom w:val="0"/>
      <w:divBdr>
        <w:top w:val="none" w:sz="0" w:space="0" w:color="auto"/>
        <w:left w:val="none" w:sz="0" w:space="0" w:color="auto"/>
        <w:bottom w:val="none" w:sz="0" w:space="0" w:color="auto"/>
        <w:right w:val="none" w:sz="0" w:space="0" w:color="auto"/>
      </w:divBdr>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1390637">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228441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734831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42305054">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50248349">
      <w:bodyDiv w:val="1"/>
      <w:marLeft w:val="0"/>
      <w:marRight w:val="0"/>
      <w:marTop w:val="0"/>
      <w:marBottom w:val="0"/>
      <w:divBdr>
        <w:top w:val="none" w:sz="0" w:space="0" w:color="auto"/>
        <w:left w:val="none" w:sz="0" w:space="0" w:color="auto"/>
        <w:bottom w:val="none" w:sz="0" w:space="0" w:color="auto"/>
        <w:right w:val="none" w:sz="0" w:space="0" w:color="auto"/>
      </w:divBdr>
    </w:div>
    <w:div w:id="458227888">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697650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22943784">
      <w:bodyDiv w:val="1"/>
      <w:marLeft w:val="0"/>
      <w:marRight w:val="0"/>
      <w:marTop w:val="0"/>
      <w:marBottom w:val="0"/>
      <w:divBdr>
        <w:top w:val="none" w:sz="0" w:space="0" w:color="auto"/>
        <w:left w:val="none" w:sz="0" w:space="0" w:color="auto"/>
        <w:bottom w:val="none" w:sz="0" w:space="0" w:color="auto"/>
        <w:right w:val="none" w:sz="0" w:space="0" w:color="auto"/>
      </w:divBdr>
    </w:div>
    <w:div w:id="53107010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1738478">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7118125">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38135776">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43713566">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12465778">
      <w:bodyDiv w:val="1"/>
      <w:marLeft w:val="0"/>
      <w:marRight w:val="0"/>
      <w:marTop w:val="0"/>
      <w:marBottom w:val="0"/>
      <w:divBdr>
        <w:top w:val="none" w:sz="0" w:space="0" w:color="auto"/>
        <w:left w:val="none" w:sz="0" w:space="0" w:color="auto"/>
        <w:bottom w:val="none" w:sz="0" w:space="0" w:color="auto"/>
        <w:right w:val="none" w:sz="0" w:space="0" w:color="auto"/>
      </w:divBdr>
    </w:div>
    <w:div w:id="932206701">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5931016">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76077829">
      <w:bodyDiv w:val="1"/>
      <w:marLeft w:val="0"/>
      <w:marRight w:val="0"/>
      <w:marTop w:val="0"/>
      <w:marBottom w:val="0"/>
      <w:divBdr>
        <w:top w:val="none" w:sz="0" w:space="0" w:color="auto"/>
        <w:left w:val="none" w:sz="0" w:space="0" w:color="auto"/>
        <w:bottom w:val="none" w:sz="0" w:space="0" w:color="auto"/>
        <w:right w:val="none" w:sz="0" w:space="0" w:color="auto"/>
      </w:divBdr>
    </w:div>
    <w:div w:id="1396391084">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3873587">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31438652">
      <w:bodyDiv w:val="1"/>
      <w:marLeft w:val="0"/>
      <w:marRight w:val="0"/>
      <w:marTop w:val="0"/>
      <w:marBottom w:val="0"/>
      <w:divBdr>
        <w:top w:val="none" w:sz="0" w:space="0" w:color="auto"/>
        <w:left w:val="none" w:sz="0" w:space="0" w:color="auto"/>
        <w:bottom w:val="none" w:sz="0" w:space="0" w:color="auto"/>
        <w:right w:val="none" w:sz="0" w:space="0" w:color="auto"/>
      </w:divBdr>
      <w:divsChild>
        <w:div w:id="1358627018">
          <w:marLeft w:val="0"/>
          <w:marRight w:val="0"/>
          <w:marTop w:val="0"/>
          <w:marBottom w:val="0"/>
          <w:divBdr>
            <w:top w:val="none" w:sz="0" w:space="0" w:color="auto"/>
            <w:left w:val="none" w:sz="0" w:space="0" w:color="auto"/>
            <w:bottom w:val="none" w:sz="0" w:space="0" w:color="auto"/>
            <w:right w:val="none" w:sz="0" w:space="0" w:color="auto"/>
          </w:divBdr>
          <w:divsChild>
            <w:div w:id="1529176913">
              <w:marLeft w:val="0"/>
              <w:marRight w:val="0"/>
              <w:marTop w:val="0"/>
              <w:marBottom w:val="0"/>
              <w:divBdr>
                <w:top w:val="none" w:sz="0" w:space="0" w:color="auto"/>
                <w:left w:val="none" w:sz="0" w:space="0" w:color="auto"/>
                <w:bottom w:val="none" w:sz="0" w:space="0" w:color="auto"/>
                <w:right w:val="none" w:sz="0" w:space="0" w:color="auto"/>
              </w:divBdr>
              <w:divsChild>
                <w:div w:id="1091703361">
                  <w:marLeft w:val="0"/>
                  <w:marRight w:val="0"/>
                  <w:marTop w:val="0"/>
                  <w:marBottom w:val="0"/>
                  <w:divBdr>
                    <w:top w:val="none" w:sz="0" w:space="0" w:color="auto"/>
                    <w:left w:val="none" w:sz="0" w:space="0" w:color="auto"/>
                    <w:bottom w:val="none" w:sz="0" w:space="0" w:color="auto"/>
                    <w:right w:val="none" w:sz="0" w:space="0" w:color="auto"/>
                  </w:divBdr>
                  <w:divsChild>
                    <w:div w:id="512189298">
                      <w:marLeft w:val="0"/>
                      <w:marRight w:val="0"/>
                      <w:marTop w:val="0"/>
                      <w:marBottom w:val="0"/>
                      <w:divBdr>
                        <w:top w:val="none" w:sz="0" w:space="0" w:color="auto"/>
                        <w:left w:val="none" w:sz="0" w:space="0" w:color="auto"/>
                        <w:bottom w:val="none" w:sz="0" w:space="0" w:color="auto"/>
                        <w:right w:val="none" w:sz="0" w:space="0" w:color="auto"/>
                      </w:divBdr>
                      <w:divsChild>
                        <w:div w:id="1720937350">
                          <w:marLeft w:val="0"/>
                          <w:marRight w:val="0"/>
                          <w:marTop w:val="0"/>
                          <w:marBottom w:val="0"/>
                          <w:divBdr>
                            <w:top w:val="none" w:sz="0" w:space="0" w:color="auto"/>
                            <w:left w:val="none" w:sz="0" w:space="0" w:color="auto"/>
                            <w:bottom w:val="none" w:sz="0" w:space="0" w:color="auto"/>
                            <w:right w:val="none" w:sz="0" w:space="0" w:color="auto"/>
                          </w:divBdr>
                          <w:divsChild>
                            <w:div w:id="1942293180">
                              <w:marLeft w:val="0"/>
                              <w:marRight w:val="0"/>
                              <w:marTop w:val="0"/>
                              <w:marBottom w:val="0"/>
                              <w:divBdr>
                                <w:top w:val="none" w:sz="0" w:space="0" w:color="auto"/>
                                <w:left w:val="none" w:sz="0" w:space="0" w:color="auto"/>
                                <w:bottom w:val="none" w:sz="0" w:space="0" w:color="auto"/>
                                <w:right w:val="none" w:sz="0" w:space="0" w:color="auto"/>
                              </w:divBdr>
                              <w:divsChild>
                                <w:div w:id="916093800">
                                  <w:marLeft w:val="0"/>
                                  <w:marRight w:val="0"/>
                                  <w:marTop w:val="0"/>
                                  <w:marBottom w:val="0"/>
                                  <w:divBdr>
                                    <w:top w:val="none" w:sz="0" w:space="0" w:color="auto"/>
                                    <w:left w:val="none" w:sz="0" w:space="0" w:color="auto"/>
                                    <w:bottom w:val="none" w:sz="0" w:space="0" w:color="auto"/>
                                    <w:right w:val="none" w:sz="0" w:space="0" w:color="auto"/>
                                  </w:divBdr>
                                  <w:divsChild>
                                    <w:div w:id="285048415">
                                      <w:marLeft w:val="0"/>
                                      <w:marRight w:val="0"/>
                                      <w:marTop w:val="0"/>
                                      <w:marBottom w:val="0"/>
                                      <w:divBdr>
                                        <w:top w:val="none" w:sz="0" w:space="0" w:color="auto"/>
                                        <w:left w:val="none" w:sz="0" w:space="0" w:color="auto"/>
                                        <w:bottom w:val="none" w:sz="0" w:space="0" w:color="auto"/>
                                        <w:right w:val="none" w:sz="0" w:space="0" w:color="auto"/>
                                      </w:divBdr>
                                      <w:divsChild>
                                        <w:div w:id="860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1337">
      <w:bodyDiv w:val="1"/>
      <w:marLeft w:val="0"/>
      <w:marRight w:val="0"/>
      <w:marTop w:val="0"/>
      <w:marBottom w:val="0"/>
      <w:divBdr>
        <w:top w:val="none" w:sz="0" w:space="0" w:color="auto"/>
        <w:left w:val="none" w:sz="0" w:space="0" w:color="auto"/>
        <w:bottom w:val="none" w:sz="0" w:space="0" w:color="auto"/>
        <w:right w:val="none" w:sz="0" w:space="0" w:color="auto"/>
      </w:divBdr>
      <w:divsChild>
        <w:div w:id="1958948011">
          <w:marLeft w:val="0"/>
          <w:marRight w:val="0"/>
          <w:marTop w:val="0"/>
          <w:marBottom w:val="0"/>
          <w:divBdr>
            <w:top w:val="none" w:sz="0" w:space="0" w:color="auto"/>
            <w:left w:val="none" w:sz="0" w:space="0" w:color="auto"/>
            <w:bottom w:val="none" w:sz="0" w:space="0" w:color="auto"/>
            <w:right w:val="none" w:sz="0" w:space="0" w:color="auto"/>
          </w:divBdr>
        </w:div>
        <w:div w:id="820541807">
          <w:marLeft w:val="0"/>
          <w:marRight w:val="0"/>
          <w:marTop w:val="0"/>
          <w:marBottom w:val="0"/>
          <w:divBdr>
            <w:top w:val="none" w:sz="0" w:space="0" w:color="auto"/>
            <w:left w:val="none" w:sz="0" w:space="0" w:color="auto"/>
            <w:bottom w:val="none" w:sz="0" w:space="0" w:color="auto"/>
            <w:right w:val="none" w:sz="0" w:space="0" w:color="auto"/>
          </w:divBdr>
        </w:div>
      </w:divsChild>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23665253">
      <w:bodyDiv w:val="1"/>
      <w:marLeft w:val="0"/>
      <w:marRight w:val="0"/>
      <w:marTop w:val="0"/>
      <w:marBottom w:val="0"/>
      <w:divBdr>
        <w:top w:val="none" w:sz="0" w:space="0" w:color="auto"/>
        <w:left w:val="none" w:sz="0" w:space="0" w:color="auto"/>
        <w:bottom w:val="none" w:sz="0" w:space="0" w:color="auto"/>
        <w:right w:val="none" w:sz="0" w:space="0" w:color="auto"/>
      </w:divBdr>
    </w:div>
    <w:div w:id="1554268190">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595698979">
      <w:bodyDiv w:val="1"/>
      <w:marLeft w:val="0"/>
      <w:marRight w:val="0"/>
      <w:marTop w:val="0"/>
      <w:marBottom w:val="0"/>
      <w:divBdr>
        <w:top w:val="none" w:sz="0" w:space="0" w:color="auto"/>
        <w:left w:val="none" w:sz="0" w:space="0" w:color="auto"/>
        <w:bottom w:val="none" w:sz="0" w:space="0" w:color="auto"/>
        <w:right w:val="none" w:sz="0" w:space="0" w:color="auto"/>
      </w:divBdr>
    </w:div>
    <w:div w:id="1609511111">
      <w:bodyDiv w:val="1"/>
      <w:marLeft w:val="0"/>
      <w:marRight w:val="0"/>
      <w:marTop w:val="0"/>
      <w:marBottom w:val="0"/>
      <w:divBdr>
        <w:top w:val="none" w:sz="0" w:space="0" w:color="auto"/>
        <w:left w:val="none" w:sz="0" w:space="0" w:color="auto"/>
        <w:bottom w:val="none" w:sz="0" w:space="0" w:color="auto"/>
        <w:right w:val="none" w:sz="0" w:space="0" w:color="auto"/>
      </w:divBdr>
    </w:div>
    <w:div w:id="1611468358">
      <w:bodyDiv w:val="1"/>
      <w:marLeft w:val="0"/>
      <w:marRight w:val="0"/>
      <w:marTop w:val="0"/>
      <w:marBottom w:val="0"/>
      <w:divBdr>
        <w:top w:val="none" w:sz="0" w:space="0" w:color="auto"/>
        <w:left w:val="none" w:sz="0" w:space="0" w:color="auto"/>
        <w:bottom w:val="none" w:sz="0" w:space="0" w:color="auto"/>
        <w:right w:val="none" w:sz="0" w:space="0" w:color="auto"/>
      </w:divBdr>
    </w:div>
    <w:div w:id="1634141210">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26376479">
      <w:bodyDiv w:val="1"/>
      <w:marLeft w:val="0"/>
      <w:marRight w:val="0"/>
      <w:marTop w:val="0"/>
      <w:marBottom w:val="0"/>
      <w:divBdr>
        <w:top w:val="none" w:sz="0" w:space="0" w:color="auto"/>
        <w:left w:val="none" w:sz="0" w:space="0" w:color="auto"/>
        <w:bottom w:val="none" w:sz="0" w:space="0" w:color="auto"/>
        <w:right w:val="none" w:sz="0" w:space="0" w:color="auto"/>
      </w:divBdr>
      <w:divsChild>
        <w:div w:id="168370411">
          <w:marLeft w:val="0"/>
          <w:marRight w:val="0"/>
          <w:marTop w:val="0"/>
          <w:marBottom w:val="0"/>
          <w:divBdr>
            <w:top w:val="none" w:sz="0" w:space="0" w:color="auto"/>
            <w:left w:val="none" w:sz="0" w:space="0" w:color="auto"/>
            <w:bottom w:val="none" w:sz="0" w:space="0" w:color="auto"/>
            <w:right w:val="none" w:sz="0" w:space="0" w:color="auto"/>
          </w:divBdr>
          <w:divsChild>
            <w:div w:id="2022733185">
              <w:marLeft w:val="0"/>
              <w:marRight w:val="0"/>
              <w:marTop w:val="0"/>
              <w:marBottom w:val="0"/>
              <w:divBdr>
                <w:top w:val="none" w:sz="0" w:space="0" w:color="auto"/>
                <w:left w:val="none" w:sz="0" w:space="0" w:color="auto"/>
                <w:bottom w:val="none" w:sz="0" w:space="0" w:color="auto"/>
                <w:right w:val="none" w:sz="0" w:space="0" w:color="auto"/>
              </w:divBdr>
              <w:divsChild>
                <w:div w:id="1034497437">
                  <w:marLeft w:val="0"/>
                  <w:marRight w:val="0"/>
                  <w:marTop w:val="0"/>
                  <w:marBottom w:val="0"/>
                  <w:divBdr>
                    <w:top w:val="none" w:sz="0" w:space="0" w:color="auto"/>
                    <w:left w:val="none" w:sz="0" w:space="0" w:color="auto"/>
                    <w:bottom w:val="none" w:sz="0" w:space="0" w:color="auto"/>
                    <w:right w:val="none" w:sz="0" w:space="0" w:color="auto"/>
                  </w:divBdr>
                  <w:divsChild>
                    <w:div w:id="1209797948">
                      <w:marLeft w:val="0"/>
                      <w:marRight w:val="0"/>
                      <w:marTop w:val="0"/>
                      <w:marBottom w:val="0"/>
                      <w:divBdr>
                        <w:top w:val="none" w:sz="0" w:space="0" w:color="auto"/>
                        <w:left w:val="none" w:sz="0" w:space="0" w:color="auto"/>
                        <w:bottom w:val="none" w:sz="0" w:space="0" w:color="auto"/>
                        <w:right w:val="none" w:sz="0" w:space="0" w:color="auto"/>
                      </w:divBdr>
                      <w:divsChild>
                        <w:div w:id="367148742">
                          <w:marLeft w:val="0"/>
                          <w:marRight w:val="0"/>
                          <w:marTop w:val="0"/>
                          <w:marBottom w:val="0"/>
                          <w:divBdr>
                            <w:top w:val="none" w:sz="0" w:space="0" w:color="auto"/>
                            <w:left w:val="none" w:sz="0" w:space="0" w:color="auto"/>
                            <w:bottom w:val="none" w:sz="0" w:space="0" w:color="auto"/>
                            <w:right w:val="none" w:sz="0" w:space="0" w:color="auto"/>
                          </w:divBdr>
                          <w:divsChild>
                            <w:div w:id="1330014069">
                              <w:marLeft w:val="0"/>
                              <w:marRight w:val="0"/>
                              <w:marTop w:val="0"/>
                              <w:marBottom w:val="0"/>
                              <w:divBdr>
                                <w:top w:val="none" w:sz="0" w:space="0" w:color="auto"/>
                                <w:left w:val="none" w:sz="0" w:space="0" w:color="auto"/>
                                <w:bottom w:val="none" w:sz="0" w:space="0" w:color="auto"/>
                                <w:right w:val="none" w:sz="0" w:space="0" w:color="auto"/>
                              </w:divBdr>
                              <w:divsChild>
                                <w:div w:id="1637176384">
                                  <w:marLeft w:val="0"/>
                                  <w:marRight w:val="0"/>
                                  <w:marTop w:val="0"/>
                                  <w:marBottom w:val="0"/>
                                  <w:divBdr>
                                    <w:top w:val="none" w:sz="0" w:space="0" w:color="auto"/>
                                    <w:left w:val="none" w:sz="0" w:space="0" w:color="auto"/>
                                    <w:bottom w:val="none" w:sz="0" w:space="0" w:color="auto"/>
                                    <w:right w:val="none" w:sz="0" w:space="0" w:color="auto"/>
                                  </w:divBdr>
                                  <w:divsChild>
                                    <w:div w:id="135412719">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4530874">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1967202115">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2147746">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Word_Document.doc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637E-0988-4963-9209-9470DCCD666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837582</vt:lpwstr>
  </property>
  <property fmtid="{D5CDD505-2E9C-101B-9397-08002B2CF9AE}" pid="4" name="OptimizationTime">
    <vt:lpwstr>20210817_1913</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15</Pages>
  <Words>4513</Words>
  <Characters>23022</Characters>
  <Application>Microsoft Office Word</Application>
  <DocSecurity>0</DocSecurity>
  <Lines>780</Lines>
  <Paragraphs>443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2</cp:revision>
  <cp:lastPrinted>2020-02-06T12:23:00Z</cp:lastPrinted>
  <dcterms:created xsi:type="dcterms:W3CDTF">2021-08-17T17:09:00Z</dcterms:created>
  <dcterms:modified xsi:type="dcterms:W3CDTF">2021-08-17T17:09:00Z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81d20932-5538-4d7c-a2e3-dde4d0fd911b</vt:lpwstr>
  </property>
  <property fmtid="{D5CDD505-2E9C-101B-9397-08002B2CF9AE}" pid="4" name="_AdHocReviewCycleID">
    <vt:i4>477906547</vt:i4>
  </property>
  <property fmtid="{D5CDD505-2E9C-101B-9397-08002B2CF9AE}" pid="5" name="_EmailSubject">
    <vt:lpwstr>CA SMPG Tax sub-group 1st July 2021 call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108083162</vt:i4>
  </property>
  <property fmtid="{D5CDD505-2E9C-101B-9397-08002B2CF9AE}" pid="9" name="SSCClassification">
    <vt:lpwstr>LA</vt:lpwstr>
  </property>
  <property fmtid="{D5CDD505-2E9C-101B-9397-08002B2CF9AE}" pid="10" name="SSCVisualMarks">
    <vt:lpwstr>N</vt:lpwstr>
  </property>
</Properties>
</file>