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51531C" w:rsidP="00A738EA">
      <w:pPr>
        <w:pStyle w:val="Header"/>
        <w:rPr>
          <w:lang w:val="en-GB"/>
        </w:rPr>
      </w:pPr>
      <w:r>
        <w:rPr>
          <w:lang w:val="en-GB"/>
        </w:rPr>
        <w:t>1</w:t>
      </w:r>
      <w:r w:rsidR="00E85787">
        <w:rPr>
          <w:lang w:val="en-GB"/>
        </w:rPr>
        <w:t>5</w:t>
      </w:r>
      <w:r w:rsidRPr="0051531C">
        <w:rPr>
          <w:vertAlign w:val="superscript"/>
          <w:lang w:val="en-GB"/>
        </w:rPr>
        <w:t>th</w:t>
      </w:r>
      <w:r>
        <w:rPr>
          <w:lang w:val="en-GB"/>
        </w:rPr>
        <w:t xml:space="preserve"> </w:t>
      </w:r>
      <w:r w:rsidR="00E85787">
        <w:rPr>
          <w:lang w:val="en-GB"/>
        </w:rPr>
        <w:t>March</w:t>
      </w:r>
      <w:r w:rsidR="00337524">
        <w:rPr>
          <w:lang w:val="en-GB"/>
        </w:rPr>
        <w:t xml:space="preserve"> 201</w:t>
      </w:r>
      <w:r>
        <w:rPr>
          <w:lang w:val="en-GB"/>
        </w:rPr>
        <w:t>8</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49364F">
        <w:rPr>
          <w:lang w:val="en-GB"/>
        </w:rPr>
        <w:t>May</w:t>
      </w:r>
      <w:r w:rsidR="00FF2750">
        <w:rPr>
          <w:lang w:val="en-GB"/>
        </w:rPr>
        <w:t xml:space="preserve"> </w:t>
      </w:r>
      <w:r w:rsidR="00270D0A">
        <w:rPr>
          <w:lang w:val="en-GB"/>
        </w:rPr>
        <w:t>201</w:t>
      </w:r>
      <w:r w:rsidR="00FF2750">
        <w:rPr>
          <w:lang w:val="en-GB"/>
        </w:rPr>
        <w:t>8</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t>Table of Contents</w:t>
      </w:r>
    </w:p>
    <w:p w:rsidR="00A2097D"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513052705" w:history="1">
        <w:r w:rsidR="00A2097D" w:rsidRPr="006A0648">
          <w:rPr>
            <w:rStyle w:val="Hyperlink"/>
          </w:rPr>
          <w:t>Approval / comments on January 18th minutes call</w:t>
        </w:r>
        <w:r w:rsidR="00A2097D">
          <w:rPr>
            <w:webHidden/>
          </w:rPr>
          <w:tab/>
        </w:r>
        <w:r w:rsidR="00A2097D">
          <w:rPr>
            <w:webHidden/>
          </w:rPr>
          <w:fldChar w:fldCharType="begin"/>
        </w:r>
        <w:r w:rsidR="00A2097D">
          <w:rPr>
            <w:webHidden/>
          </w:rPr>
          <w:instrText xml:space="preserve"> PAGEREF _Toc513052705 \h </w:instrText>
        </w:r>
        <w:r w:rsidR="00A2097D">
          <w:rPr>
            <w:webHidden/>
          </w:rPr>
        </w:r>
        <w:r w:rsidR="00A2097D">
          <w:rPr>
            <w:webHidden/>
          </w:rPr>
          <w:fldChar w:fldCharType="separate"/>
        </w:r>
        <w:r w:rsidR="001800E6">
          <w:rPr>
            <w:webHidden/>
          </w:rPr>
          <w:t>3</w:t>
        </w:r>
        <w:r w:rsidR="00A2097D">
          <w:rPr>
            <w:webHidden/>
          </w:rPr>
          <w:fldChar w:fldCharType="end"/>
        </w:r>
      </w:hyperlink>
    </w:p>
    <w:p w:rsidR="00A2097D" w:rsidRDefault="00A2097D">
      <w:pPr>
        <w:pStyle w:val="TOC1"/>
        <w:rPr>
          <w:rFonts w:asciiTheme="minorHAnsi" w:eastAsiaTheme="minorEastAsia" w:hAnsiTheme="minorHAnsi" w:cstheme="minorBidi"/>
          <w:b w:val="0"/>
          <w:bCs w:val="0"/>
          <w:sz w:val="22"/>
          <w:szCs w:val="22"/>
        </w:rPr>
      </w:pPr>
      <w:hyperlink w:anchor="_Toc513052706" w:history="1">
        <w:r w:rsidRPr="006A0648">
          <w:rPr>
            <w:rStyle w:val="Hyperlink"/>
          </w:rPr>
          <w:t>Presentation by the South African Market of a future SR 2019 Change Request</w:t>
        </w:r>
        <w:r>
          <w:rPr>
            <w:webHidden/>
          </w:rPr>
          <w:tab/>
        </w:r>
        <w:r>
          <w:rPr>
            <w:webHidden/>
          </w:rPr>
          <w:fldChar w:fldCharType="begin"/>
        </w:r>
        <w:r>
          <w:rPr>
            <w:webHidden/>
          </w:rPr>
          <w:instrText xml:space="preserve"> PAGEREF _Toc513052706 \h </w:instrText>
        </w:r>
        <w:r>
          <w:rPr>
            <w:webHidden/>
          </w:rPr>
        </w:r>
        <w:r>
          <w:rPr>
            <w:webHidden/>
          </w:rPr>
          <w:fldChar w:fldCharType="separate"/>
        </w:r>
        <w:r w:rsidR="001800E6">
          <w:rPr>
            <w:webHidden/>
          </w:rPr>
          <w:t>4</w:t>
        </w:r>
        <w:r>
          <w:rPr>
            <w:webHidden/>
          </w:rPr>
          <w:fldChar w:fldCharType="end"/>
        </w:r>
      </w:hyperlink>
    </w:p>
    <w:p w:rsidR="00A2097D" w:rsidRDefault="00A2097D">
      <w:pPr>
        <w:pStyle w:val="TOC1"/>
        <w:rPr>
          <w:rFonts w:asciiTheme="minorHAnsi" w:eastAsiaTheme="minorEastAsia" w:hAnsiTheme="minorHAnsi" w:cstheme="minorBidi"/>
          <w:b w:val="0"/>
          <w:bCs w:val="0"/>
          <w:sz w:val="22"/>
          <w:szCs w:val="22"/>
        </w:rPr>
      </w:pPr>
      <w:hyperlink w:anchor="_Toc513052707" w:history="1">
        <w:r w:rsidRPr="006A0648">
          <w:rPr>
            <w:rStyle w:val="Hyperlink"/>
          </w:rPr>
          <w:t>CA 360. Taxation on security distributions</w:t>
        </w:r>
        <w:r>
          <w:rPr>
            <w:webHidden/>
          </w:rPr>
          <w:tab/>
        </w:r>
        <w:r>
          <w:rPr>
            <w:webHidden/>
          </w:rPr>
          <w:fldChar w:fldCharType="begin"/>
        </w:r>
        <w:r>
          <w:rPr>
            <w:webHidden/>
          </w:rPr>
          <w:instrText xml:space="preserve"> PAGEREF _Toc513052707 \h </w:instrText>
        </w:r>
        <w:r>
          <w:rPr>
            <w:webHidden/>
          </w:rPr>
        </w:r>
        <w:r>
          <w:rPr>
            <w:webHidden/>
          </w:rPr>
          <w:fldChar w:fldCharType="separate"/>
        </w:r>
        <w:r w:rsidR="001800E6">
          <w:rPr>
            <w:webHidden/>
          </w:rPr>
          <w:t>4</w:t>
        </w:r>
        <w:r>
          <w:rPr>
            <w:webHidden/>
          </w:rPr>
          <w:fldChar w:fldCharType="end"/>
        </w:r>
      </w:hyperlink>
    </w:p>
    <w:p w:rsidR="00A2097D" w:rsidRDefault="00A2097D">
      <w:pPr>
        <w:pStyle w:val="TOC1"/>
        <w:rPr>
          <w:rFonts w:asciiTheme="minorHAnsi" w:eastAsiaTheme="minorEastAsia" w:hAnsiTheme="minorHAnsi" w:cstheme="minorBidi"/>
          <w:b w:val="0"/>
          <w:bCs w:val="0"/>
          <w:sz w:val="22"/>
          <w:szCs w:val="22"/>
        </w:rPr>
      </w:pPr>
      <w:hyperlink w:anchor="_Toc513052708" w:history="1">
        <w:r w:rsidRPr="006A0648">
          <w:rPr>
            <w:rStyle w:val="Hyperlink"/>
          </w:rPr>
          <w:t>CA 315 Extending CA MPs to ISO 20022 - How to tax cash dividend events and reinvest on cash dividend events in the context of an omnibus account.</w:t>
        </w:r>
        <w:r>
          <w:rPr>
            <w:webHidden/>
          </w:rPr>
          <w:tab/>
        </w:r>
        <w:r>
          <w:rPr>
            <w:webHidden/>
          </w:rPr>
          <w:fldChar w:fldCharType="begin"/>
        </w:r>
        <w:r>
          <w:rPr>
            <w:webHidden/>
          </w:rPr>
          <w:instrText xml:space="preserve"> PAGEREF _Toc513052708 \h </w:instrText>
        </w:r>
        <w:r>
          <w:rPr>
            <w:webHidden/>
          </w:rPr>
        </w:r>
        <w:r>
          <w:rPr>
            <w:webHidden/>
          </w:rPr>
          <w:fldChar w:fldCharType="separate"/>
        </w:r>
        <w:r w:rsidR="001800E6">
          <w:rPr>
            <w:webHidden/>
          </w:rPr>
          <w:t>6</w:t>
        </w:r>
        <w:r>
          <w:rPr>
            <w:webHidden/>
          </w:rPr>
          <w:fldChar w:fldCharType="end"/>
        </w:r>
      </w:hyperlink>
    </w:p>
    <w:p w:rsidR="00A2097D" w:rsidRDefault="00A2097D">
      <w:pPr>
        <w:pStyle w:val="TOC1"/>
        <w:rPr>
          <w:rFonts w:asciiTheme="minorHAnsi" w:eastAsiaTheme="minorEastAsia" w:hAnsiTheme="minorHAnsi" w:cstheme="minorBidi"/>
          <w:b w:val="0"/>
          <w:bCs w:val="0"/>
          <w:sz w:val="22"/>
          <w:szCs w:val="22"/>
        </w:rPr>
      </w:pPr>
      <w:hyperlink w:anchor="_Toc513052709" w:history="1">
        <w:r w:rsidRPr="006A0648">
          <w:rPr>
            <w:rStyle w:val="Hyperlink"/>
          </w:rPr>
          <w:t>Other topics</w:t>
        </w:r>
        <w:r>
          <w:rPr>
            <w:webHidden/>
          </w:rPr>
          <w:tab/>
        </w:r>
        <w:r>
          <w:rPr>
            <w:webHidden/>
          </w:rPr>
          <w:fldChar w:fldCharType="begin"/>
        </w:r>
        <w:r>
          <w:rPr>
            <w:webHidden/>
          </w:rPr>
          <w:instrText xml:space="preserve"> PAGEREF _Toc513052709 \h </w:instrText>
        </w:r>
        <w:r>
          <w:rPr>
            <w:webHidden/>
          </w:rPr>
        </w:r>
        <w:r>
          <w:rPr>
            <w:webHidden/>
          </w:rPr>
          <w:fldChar w:fldCharType="separate"/>
        </w:r>
        <w:r w:rsidR="001800E6">
          <w:rPr>
            <w:webHidden/>
          </w:rPr>
          <w:t>6</w:t>
        </w:r>
        <w:r>
          <w:rPr>
            <w:webHidden/>
          </w:rPr>
          <w:fldChar w:fldCharType="end"/>
        </w:r>
      </w:hyperlink>
    </w:p>
    <w:p w:rsidR="00A2097D" w:rsidRDefault="00A2097D">
      <w:pPr>
        <w:pStyle w:val="TOC1"/>
        <w:rPr>
          <w:rFonts w:asciiTheme="minorHAnsi" w:eastAsiaTheme="minorEastAsia" w:hAnsiTheme="minorHAnsi" w:cstheme="minorBidi"/>
          <w:b w:val="0"/>
          <w:bCs w:val="0"/>
          <w:sz w:val="22"/>
          <w:szCs w:val="22"/>
        </w:rPr>
      </w:pPr>
      <w:hyperlink w:anchor="_Toc513052710" w:history="1">
        <w:r w:rsidRPr="006A0648">
          <w:rPr>
            <w:rStyle w:val="Hyperlink"/>
          </w:rPr>
          <w:t>Next Conference Call</w:t>
        </w:r>
        <w:r>
          <w:rPr>
            <w:webHidden/>
          </w:rPr>
          <w:tab/>
        </w:r>
        <w:r>
          <w:rPr>
            <w:webHidden/>
          </w:rPr>
          <w:fldChar w:fldCharType="begin"/>
        </w:r>
        <w:r>
          <w:rPr>
            <w:webHidden/>
          </w:rPr>
          <w:instrText xml:space="preserve"> PAGEREF _Toc513052710 \h </w:instrText>
        </w:r>
        <w:r>
          <w:rPr>
            <w:webHidden/>
          </w:rPr>
        </w:r>
        <w:r>
          <w:rPr>
            <w:webHidden/>
          </w:rPr>
          <w:fldChar w:fldCharType="separate"/>
        </w:r>
        <w:r w:rsidR="001800E6">
          <w:rPr>
            <w:webHidden/>
          </w:rPr>
          <w:t>8</w:t>
        </w:r>
        <w:r>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1E4538" w:rsidRDefault="001E4538"/>
    <w:p w:rsidR="006E5035" w:rsidRDefault="006E5035"/>
    <w:p w:rsidR="006E5035" w:rsidRDefault="006E5035"/>
    <w:p w:rsidR="006E5035" w:rsidRDefault="006E5035"/>
    <w:p w:rsidR="00E70CF3" w:rsidRDefault="00E70CF3"/>
    <w:p w:rsidR="006E5035" w:rsidRDefault="006E5035"/>
    <w:p w:rsidR="000D0C64" w:rsidRDefault="00E60462" w:rsidP="00EF7F89">
      <w:pPr>
        <w:rPr>
          <w:b/>
          <w:sz w:val="24"/>
          <w:szCs w:val="24"/>
          <w:u w:val="single"/>
          <w:lang w:eastAsia="en-GB"/>
        </w:rPr>
      </w:pPr>
      <w:bookmarkStart w:id="1" w:name="OLE_LINK1"/>
      <w:bookmarkStart w:id="2" w:name="OLE_LINK2"/>
      <w:r w:rsidRPr="00F80FDA">
        <w:rPr>
          <w:b/>
          <w:sz w:val="24"/>
          <w:szCs w:val="24"/>
          <w:u w:val="single"/>
          <w:lang w:eastAsia="en-GB"/>
        </w:rPr>
        <w:lastRenderedPageBreak/>
        <w:t>Attendees</w:t>
      </w:r>
      <w:bookmarkEnd w:id="0"/>
    </w:p>
    <w:p w:rsidR="00E85787" w:rsidRDefault="00E85787" w:rsidP="00EF7F89">
      <w:pPr>
        <w:rPr>
          <w:b/>
          <w:sz w:val="24"/>
          <w:szCs w:val="24"/>
          <w:u w:val="single"/>
          <w:lang w:eastAsia="en-GB"/>
        </w:rPr>
      </w:pPr>
    </w:p>
    <w:tbl>
      <w:tblPr>
        <w:tblW w:w="9160" w:type="dxa"/>
        <w:tblInd w:w="108" w:type="dxa"/>
        <w:tblLook w:val="04A0" w:firstRow="1" w:lastRow="0" w:firstColumn="1" w:lastColumn="0" w:noHBand="0" w:noVBand="1"/>
      </w:tblPr>
      <w:tblGrid>
        <w:gridCol w:w="1128"/>
        <w:gridCol w:w="983"/>
        <w:gridCol w:w="567"/>
        <w:gridCol w:w="1359"/>
        <w:gridCol w:w="1658"/>
        <w:gridCol w:w="2037"/>
        <w:gridCol w:w="1428"/>
      </w:tblGrid>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b/>
                <w:bCs/>
                <w:color w:val="000000"/>
              </w:rPr>
            </w:pPr>
            <w:r w:rsidRPr="00E85787">
              <w:rPr>
                <w:b/>
                <w:bCs/>
                <w:color w:val="000000"/>
              </w:rPr>
              <w:t>Country</w:t>
            </w:r>
          </w:p>
        </w:tc>
        <w:tc>
          <w:tcPr>
            <w:tcW w:w="559" w:type="dxa"/>
            <w:tcBorders>
              <w:top w:val="single" w:sz="8" w:space="0" w:color="auto"/>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b/>
                <w:bCs/>
                <w:color w:val="000000"/>
              </w:rPr>
            </w:pPr>
            <w:r w:rsidRPr="00E85787">
              <w:rPr>
                <w:b/>
                <w:bCs/>
                <w:color w:val="000000"/>
              </w:rPr>
              <w:t> </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b/>
                <w:bCs/>
                <w:color w:val="000000"/>
              </w:rPr>
            </w:pPr>
            <w:r w:rsidRPr="00E85787">
              <w:rPr>
                <w:b/>
                <w:bCs/>
                <w:color w:val="000000"/>
              </w:rPr>
              <w:t>First Name</w:t>
            </w:r>
          </w:p>
        </w:tc>
        <w:tc>
          <w:tcPr>
            <w:tcW w:w="1658" w:type="dxa"/>
            <w:tcBorders>
              <w:top w:val="single" w:sz="8" w:space="0" w:color="auto"/>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b/>
                <w:bCs/>
                <w:color w:val="000000"/>
              </w:rPr>
            </w:pPr>
            <w:r w:rsidRPr="00E85787">
              <w:rPr>
                <w:b/>
                <w:bCs/>
                <w:color w:val="000000"/>
              </w:rPr>
              <w:t>Last Name</w:t>
            </w:r>
          </w:p>
        </w:tc>
        <w:tc>
          <w:tcPr>
            <w:tcW w:w="2216" w:type="dxa"/>
            <w:tcBorders>
              <w:top w:val="single" w:sz="8" w:space="0" w:color="auto"/>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b/>
                <w:bCs/>
                <w:color w:val="000000"/>
              </w:rPr>
            </w:pPr>
            <w:r w:rsidRPr="00E85787">
              <w:rPr>
                <w:b/>
                <w:bCs/>
                <w:color w:val="000000"/>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b/>
                <w:bCs/>
                <w:color w:val="000000"/>
              </w:rPr>
            </w:pPr>
            <w:r w:rsidRPr="00E85787">
              <w:rPr>
                <w:b/>
                <w:bCs/>
                <w:color w:val="000000"/>
              </w:rPr>
              <w:t>Participation</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color w:val="000000"/>
              </w:rPr>
            </w:pPr>
            <w:r w:rsidRPr="00E85787">
              <w:rPr>
                <w:color w:val="000000"/>
              </w:rPr>
              <w:t>AU</w:t>
            </w:r>
          </w:p>
        </w:tc>
        <w:tc>
          <w:tcPr>
            <w:tcW w:w="5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rFonts w:ascii="Calibri" w:hAnsi="Calibri" w:cs="Times New Roman"/>
                <w:sz w:val="22"/>
                <w:szCs w:val="22"/>
              </w:rPr>
            </w:pPr>
            <w:r w:rsidRPr="00E85787">
              <w:rPr>
                <w:rFonts w:ascii="Calibri" w:hAnsi="Calibri" w:cs="Times New Roman"/>
                <w:sz w:val="22"/>
                <w:szCs w:val="22"/>
              </w:rPr>
              <w:t>Mrs</w:t>
            </w:r>
          </w:p>
        </w:tc>
        <w:tc>
          <w:tcPr>
            <w:tcW w:w="1359" w:type="dxa"/>
            <w:tcBorders>
              <w:top w:val="nil"/>
              <w:left w:val="nil"/>
              <w:bottom w:val="single" w:sz="8" w:space="0" w:color="auto"/>
              <w:right w:val="single" w:sz="8" w:space="0" w:color="auto"/>
            </w:tcBorders>
            <w:shd w:val="clear" w:color="000000" w:fill="FFFFFF"/>
            <w:noWrap/>
            <w:vAlign w:val="bottom"/>
            <w:hideMark/>
          </w:tcPr>
          <w:p w:rsidR="00E85787" w:rsidRPr="00E85787" w:rsidRDefault="00E85787" w:rsidP="00E85787">
            <w:pPr>
              <w:spacing w:after="0"/>
              <w:rPr>
                <w:rFonts w:ascii="Calibri" w:hAnsi="Calibri" w:cs="Times New Roman"/>
                <w:sz w:val="22"/>
                <w:szCs w:val="22"/>
              </w:rPr>
            </w:pPr>
            <w:r w:rsidRPr="00E85787">
              <w:rPr>
                <w:rFonts w:ascii="Calibri" w:hAnsi="Calibri" w:cs="Times New Roman"/>
                <w:sz w:val="22"/>
                <w:szCs w:val="22"/>
              </w:rPr>
              <w:t>Narelle</w:t>
            </w:r>
          </w:p>
        </w:tc>
        <w:tc>
          <w:tcPr>
            <w:tcW w:w="1658" w:type="dxa"/>
            <w:tcBorders>
              <w:top w:val="nil"/>
              <w:left w:val="nil"/>
              <w:bottom w:val="single" w:sz="8" w:space="0" w:color="auto"/>
              <w:right w:val="single" w:sz="8" w:space="0" w:color="auto"/>
            </w:tcBorders>
            <w:shd w:val="clear" w:color="000000" w:fill="FFFFFF"/>
            <w:noWrap/>
            <w:vAlign w:val="bottom"/>
            <w:hideMark/>
          </w:tcPr>
          <w:p w:rsidR="00E85787" w:rsidRPr="00E85787" w:rsidRDefault="00E85787" w:rsidP="00E85787">
            <w:pPr>
              <w:spacing w:after="0"/>
              <w:rPr>
                <w:rFonts w:ascii="Calibri" w:hAnsi="Calibri" w:cs="Times New Roman"/>
                <w:sz w:val="22"/>
                <w:szCs w:val="22"/>
              </w:rPr>
            </w:pPr>
            <w:r w:rsidRPr="00E85787">
              <w:rPr>
                <w:rFonts w:ascii="Calibri" w:hAnsi="Calibri" w:cs="Times New Roman"/>
                <w:sz w:val="22"/>
                <w:szCs w:val="22"/>
              </w:rPr>
              <w:t>Rutter</w:t>
            </w:r>
          </w:p>
        </w:tc>
        <w:tc>
          <w:tcPr>
            <w:tcW w:w="2216"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color w:val="000000"/>
              </w:rPr>
            </w:pPr>
            <w:r w:rsidRPr="00E85787">
              <w:rPr>
                <w:color w:val="000000"/>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sz w:val="22"/>
                <w:szCs w:val="22"/>
              </w:rPr>
            </w:pPr>
            <w:r w:rsidRPr="00E85787">
              <w:rPr>
                <w:rFonts w:ascii="Calibri" w:hAnsi="Calibri" w:cs="Times New Roman"/>
                <w:sz w:val="22"/>
                <w:szCs w:val="22"/>
              </w:rPr>
              <w:t>BE</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sz w:val="22"/>
                <w:szCs w:val="22"/>
              </w:rPr>
            </w:pPr>
            <w:r w:rsidRPr="00E85787">
              <w:rPr>
                <w:rFonts w:ascii="Calibri" w:hAnsi="Calibri" w:cs="Times New Roman"/>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sz w:val="22"/>
                <w:szCs w:val="22"/>
              </w:rPr>
            </w:pPr>
            <w:r w:rsidRPr="00E85787">
              <w:rPr>
                <w:rFonts w:ascii="Calibri" w:hAnsi="Calibri" w:cs="Times New Roman"/>
                <w:sz w:val="22"/>
                <w:szCs w:val="22"/>
              </w:rPr>
              <w:t>Véronique</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sz w:val="22"/>
                <w:szCs w:val="22"/>
              </w:rPr>
            </w:pPr>
            <w:r w:rsidRPr="00E85787">
              <w:rPr>
                <w:rFonts w:ascii="Calibri" w:hAnsi="Calibri" w:cs="Times New Roman"/>
                <w:sz w:val="22"/>
                <w:szCs w:val="22"/>
              </w:rPr>
              <w:t>Peeters</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sz w:val="22"/>
                <w:szCs w:val="22"/>
              </w:rPr>
            </w:pPr>
            <w:r w:rsidRPr="00E85787">
              <w:rPr>
                <w:rFonts w:ascii="Calibri" w:hAnsi="Calibri" w:cs="Times New Roman"/>
                <w:sz w:val="22"/>
                <w:szCs w:val="22"/>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N / A</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Jacques</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Littré</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SWIFT</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CA</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Cairbre</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Cowin</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CH</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Reto</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Baumgartner</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DE</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Daniel</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Schaefer</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DE</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Thomas</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Rockstroh</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SE</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 xml:space="preserve">Urban </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Hane</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Nordea</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FR</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Jean-Pierre</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Klak</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FR</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Karim</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Djenadi</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FR</w:t>
            </w:r>
          </w:p>
        </w:tc>
        <w:tc>
          <w:tcPr>
            <w:tcW w:w="5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Celine</w:t>
            </w:r>
          </w:p>
        </w:tc>
        <w:tc>
          <w:tcPr>
            <w:tcW w:w="1658"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Bohm</w:t>
            </w:r>
          </w:p>
        </w:tc>
        <w:tc>
          <w:tcPr>
            <w:tcW w:w="2216"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FR</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Alexandra</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Sellam</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IT</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Paola</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Deantoni</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LU</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Nicolas</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Godfrey</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LU</w:t>
            </w:r>
          </w:p>
        </w:tc>
        <w:tc>
          <w:tcPr>
            <w:tcW w:w="5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Bernard</w:t>
            </w:r>
          </w:p>
        </w:tc>
        <w:tc>
          <w:tcPr>
            <w:tcW w:w="1658"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Lenelle</w:t>
            </w:r>
          </w:p>
        </w:tc>
        <w:tc>
          <w:tcPr>
            <w:tcW w:w="2216"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SG</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Jyi-Chen</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Chueh</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UK &amp; IE</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Mariangela</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Fumagalli</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BNP Paribas</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UK &amp; IE</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Gabriel</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Sampaio</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US</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Paul</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Fullam</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FIS Global</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US</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Vandana</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Pasricha</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US</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Caleb</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Lanfear</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US</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Ian</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De Sacia</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US</w:t>
            </w:r>
          </w:p>
        </w:tc>
        <w:tc>
          <w:tcPr>
            <w:tcW w:w="5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Steven</w:t>
            </w:r>
          </w:p>
        </w:tc>
        <w:tc>
          <w:tcPr>
            <w:tcW w:w="1658"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Sloan</w:t>
            </w:r>
          </w:p>
        </w:tc>
        <w:tc>
          <w:tcPr>
            <w:tcW w:w="2216" w:type="dxa"/>
            <w:tcBorders>
              <w:top w:val="nil"/>
              <w:left w:val="nil"/>
              <w:bottom w:val="single" w:sz="8" w:space="0" w:color="auto"/>
              <w:right w:val="single" w:sz="8" w:space="0" w:color="auto"/>
            </w:tcBorders>
            <w:shd w:val="clear" w:color="auto" w:fill="auto"/>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XS</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Jean-Paul</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Lambotte</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XS</w:t>
            </w:r>
          </w:p>
        </w:tc>
        <w:tc>
          <w:tcPr>
            <w:tcW w:w="559" w:type="dxa"/>
            <w:tcBorders>
              <w:top w:val="nil"/>
              <w:left w:val="nil"/>
              <w:bottom w:val="single" w:sz="8" w:space="0" w:color="auto"/>
              <w:right w:val="single" w:sz="8" w:space="0" w:color="auto"/>
            </w:tcBorders>
            <w:shd w:val="clear" w:color="000000" w:fill="FFFFFF"/>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Eric</w:t>
            </w:r>
          </w:p>
        </w:tc>
        <w:tc>
          <w:tcPr>
            <w:tcW w:w="1658" w:type="dxa"/>
            <w:tcBorders>
              <w:top w:val="nil"/>
              <w:left w:val="nil"/>
              <w:bottom w:val="single" w:sz="8" w:space="0" w:color="auto"/>
              <w:right w:val="single" w:sz="8" w:space="0" w:color="auto"/>
            </w:tcBorders>
            <w:shd w:val="clear" w:color="000000" w:fill="FFFFFF"/>
            <w:noWrap/>
            <w:vAlign w:val="bottom"/>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Marega</w:t>
            </w:r>
          </w:p>
        </w:tc>
        <w:tc>
          <w:tcPr>
            <w:tcW w:w="2216"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ZA</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Sanjeev</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Jayram</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30"/>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ZA</w:t>
            </w:r>
          </w:p>
        </w:tc>
        <w:tc>
          <w:tcPr>
            <w:tcW w:w="5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Dale</w:t>
            </w:r>
          </w:p>
        </w:tc>
        <w:tc>
          <w:tcPr>
            <w:tcW w:w="1658"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Van Rayne</w:t>
            </w:r>
          </w:p>
        </w:tc>
        <w:tc>
          <w:tcPr>
            <w:tcW w:w="2216"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E85787" w:rsidRPr="00E85787" w:rsidRDefault="00E85787" w:rsidP="00E85787">
            <w:pPr>
              <w:spacing w:after="0"/>
              <w:jc w:val="center"/>
              <w:rPr>
                <w:rFonts w:ascii="Webdings" w:hAnsi="Webdings" w:cs="Times New Roman"/>
                <w:color w:val="000000"/>
                <w:sz w:val="22"/>
                <w:szCs w:val="22"/>
              </w:rPr>
            </w:pPr>
            <w:r w:rsidRPr="00E85787">
              <w:rPr>
                <w:rFonts w:ascii="Webdings" w:hAnsi="Webdings" w:cs="Times New Roman"/>
                <w:color w:val="000000"/>
                <w:sz w:val="22"/>
                <w:szCs w:val="22"/>
              </w:rPr>
              <w:t></w:t>
            </w:r>
          </w:p>
        </w:tc>
      </w:tr>
      <w:tr w:rsidR="00E85787" w:rsidRPr="00E85787" w:rsidTr="00E85787">
        <w:trPr>
          <w:trHeight w:val="315"/>
        </w:trPr>
        <w:tc>
          <w:tcPr>
            <w:tcW w:w="1128" w:type="dxa"/>
            <w:tcBorders>
              <w:top w:val="nil"/>
              <w:left w:val="nil"/>
              <w:bottom w:val="nil"/>
              <w:right w:val="nil"/>
            </w:tcBorders>
            <w:shd w:val="clear" w:color="auto" w:fill="auto"/>
            <w:noWrap/>
            <w:vAlign w:val="bottom"/>
            <w:hideMark/>
          </w:tcPr>
          <w:p w:rsidR="00E85787" w:rsidRPr="00E85787" w:rsidRDefault="00E85787" w:rsidP="00E85787">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ZA</w:t>
            </w:r>
          </w:p>
        </w:tc>
        <w:tc>
          <w:tcPr>
            <w:tcW w:w="5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Yusuf</w:t>
            </w:r>
          </w:p>
        </w:tc>
        <w:tc>
          <w:tcPr>
            <w:tcW w:w="1658"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Basha</w:t>
            </w:r>
          </w:p>
        </w:tc>
        <w:tc>
          <w:tcPr>
            <w:tcW w:w="2216" w:type="dxa"/>
            <w:tcBorders>
              <w:top w:val="nil"/>
              <w:left w:val="nil"/>
              <w:bottom w:val="single" w:sz="8" w:space="0" w:color="auto"/>
              <w:right w:val="single" w:sz="8" w:space="0" w:color="auto"/>
            </w:tcBorders>
            <w:shd w:val="clear" w:color="000000" w:fill="FFFFFF"/>
            <w:vAlign w:val="center"/>
            <w:hideMark/>
          </w:tcPr>
          <w:p w:rsidR="00E85787" w:rsidRPr="00E85787" w:rsidRDefault="00E85787" w:rsidP="00E85787">
            <w:pPr>
              <w:spacing w:after="0"/>
              <w:rPr>
                <w:rFonts w:ascii="Calibri" w:hAnsi="Calibri" w:cs="Times New Roman"/>
                <w:color w:val="000000"/>
                <w:sz w:val="22"/>
                <w:szCs w:val="22"/>
              </w:rPr>
            </w:pPr>
            <w:r w:rsidRPr="00E85787">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E85787" w:rsidRPr="00E85787" w:rsidRDefault="00E85787" w:rsidP="00E85787">
            <w:pPr>
              <w:spacing w:after="0"/>
              <w:jc w:val="center"/>
              <w:rPr>
                <w:rFonts w:ascii="Calibri" w:hAnsi="Calibri" w:cs="Times New Roman"/>
                <w:color w:val="000000"/>
                <w:sz w:val="22"/>
                <w:szCs w:val="22"/>
              </w:rPr>
            </w:pPr>
            <w:r w:rsidRPr="00E85787">
              <w:rPr>
                <w:rFonts w:ascii="Calibri" w:hAnsi="Calibri" w:cs="Times New Roman"/>
                <w:color w:val="000000"/>
                <w:sz w:val="22"/>
                <w:szCs w:val="22"/>
              </w:rPr>
              <w:t>Excused</w:t>
            </w:r>
          </w:p>
        </w:tc>
      </w:tr>
    </w:tbl>
    <w:p w:rsidR="00E85787" w:rsidRDefault="00E85787" w:rsidP="00EF7F89">
      <w:pPr>
        <w:rPr>
          <w:b/>
          <w:sz w:val="24"/>
          <w:szCs w:val="24"/>
          <w:u w:val="single"/>
          <w:lang w:eastAsia="en-GB"/>
        </w:rPr>
      </w:pPr>
      <w:bookmarkStart w:id="3" w:name="_GoBack"/>
      <w:bookmarkEnd w:id="3"/>
    </w:p>
    <w:p w:rsidR="001545BC" w:rsidRDefault="001545BC" w:rsidP="00EF7F89">
      <w:pPr>
        <w:pStyle w:val="Heading1"/>
        <w:numPr>
          <w:ilvl w:val="0"/>
          <w:numId w:val="0"/>
        </w:numPr>
      </w:pPr>
      <w:bookmarkStart w:id="4" w:name="OLE_LINK5"/>
      <w:bookmarkStart w:id="5" w:name="OLE_LINK8"/>
      <w:bookmarkStart w:id="6" w:name="_Toc513052705"/>
      <w:bookmarkEnd w:id="1"/>
      <w:bookmarkEnd w:id="2"/>
      <w:r>
        <w:t xml:space="preserve">Approval / </w:t>
      </w:r>
      <w:r w:rsidRPr="004F2C52">
        <w:t>comments o</w:t>
      </w:r>
      <w:r w:rsidR="00123CBF">
        <w:t xml:space="preserve">n </w:t>
      </w:r>
      <w:r w:rsidR="00E85787">
        <w:t>January 18th</w:t>
      </w:r>
      <w:r w:rsidR="009C54FA">
        <w:t xml:space="preserve"> </w:t>
      </w:r>
      <w:r w:rsidR="00D127E9">
        <w:t>minutes</w:t>
      </w:r>
      <w:r w:rsidR="009A687E">
        <w:t xml:space="preserve"> call</w:t>
      </w:r>
      <w:bookmarkEnd w:id="6"/>
    </w:p>
    <w:p w:rsidR="00C46D9B" w:rsidRDefault="00C46D9B" w:rsidP="001545BC">
      <w:pPr>
        <w:rPr>
          <w:lang w:eastAsia="en-GB"/>
        </w:rPr>
      </w:pPr>
      <w:r>
        <w:rPr>
          <w:lang w:eastAsia="en-GB"/>
        </w:rPr>
        <w:t>Last minutes approved</w:t>
      </w:r>
    </w:p>
    <w:p w:rsidR="00DD2DFA" w:rsidRDefault="00DD2DFA" w:rsidP="00E70CF3">
      <w:pPr>
        <w:rPr>
          <w:lang w:eastAsia="en-GB"/>
        </w:rPr>
      </w:pPr>
    </w:p>
    <w:p w:rsidR="00E85787" w:rsidRDefault="00E85787" w:rsidP="00E70CF3">
      <w:pPr>
        <w:rPr>
          <w:lang w:eastAsia="en-GB"/>
        </w:rPr>
      </w:pPr>
    </w:p>
    <w:p w:rsidR="00E85787" w:rsidRDefault="00E85787" w:rsidP="00E70CF3">
      <w:pPr>
        <w:rPr>
          <w:lang w:eastAsia="en-GB"/>
        </w:rPr>
      </w:pPr>
    </w:p>
    <w:p w:rsidR="00E85787" w:rsidRDefault="00E85787" w:rsidP="00E85787">
      <w:pPr>
        <w:pStyle w:val="Heading1"/>
        <w:numPr>
          <w:ilvl w:val="0"/>
          <w:numId w:val="0"/>
        </w:numPr>
      </w:pPr>
      <w:bookmarkStart w:id="7" w:name="_Toc513052706"/>
      <w:r>
        <w:lastRenderedPageBreak/>
        <w:t>Presentation by the South African Market of a future SR 2019 Change Request</w:t>
      </w:r>
      <w:bookmarkEnd w:id="7"/>
    </w:p>
    <w:p w:rsidR="00E85787" w:rsidRDefault="00E85787" w:rsidP="00E85787">
      <w:pPr>
        <w:rPr>
          <w:lang w:val="en-ZA"/>
        </w:rPr>
      </w:pPr>
      <w:r>
        <w:rPr>
          <w:lang w:val="en-ZA"/>
        </w:rPr>
        <w:t xml:space="preserve">Sanjeev proposed for discussion a Change </w:t>
      </w:r>
      <w:r w:rsidR="00A2097D">
        <w:rPr>
          <w:lang w:val="en-ZA"/>
        </w:rPr>
        <w:t>R</w:t>
      </w:r>
      <w:r>
        <w:rPr>
          <w:lang w:val="en-ZA"/>
        </w:rPr>
        <w:t>equest that South Africa will present for the next SR 2019 Maintenance session.</w:t>
      </w:r>
    </w:p>
    <w:bookmarkStart w:id="8" w:name="_MON_1586794111"/>
    <w:bookmarkEnd w:id="8"/>
    <w:p w:rsidR="00E85787" w:rsidRDefault="00A2097D" w:rsidP="00E85787">
      <w:pPr>
        <w:rPr>
          <w:lang w:eastAsia="en-GB"/>
        </w:rP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7.25pt;height:49.5pt" o:ole="">
            <v:imagedata r:id="rId10" o:title=""/>
          </v:shape>
          <o:OLEObject Type="Embed" ProgID="Excel.Sheet.12" ShapeID="_x0000_i1053" DrawAspect="Icon" ObjectID="_1586795084" r:id="rId11"/>
        </w:object>
      </w:r>
    </w:p>
    <w:p w:rsidR="00A2097D" w:rsidRDefault="00A2097D" w:rsidP="00E85787">
      <w:pPr>
        <w:rPr>
          <w:lang w:eastAsia="en-GB"/>
        </w:rPr>
      </w:pPr>
    </w:p>
    <w:p w:rsidR="00E85787" w:rsidRDefault="00E85787" w:rsidP="00E85787">
      <w:pPr>
        <w:rPr>
          <w:lang w:eastAsia="en-GB"/>
        </w:rPr>
      </w:pPr>
      <w:r w:rsidRPr="00E85787">
        <w:rPr>
          <w:u w:val="single"/>
          <w:lang w:eastAsia="en-GB"/>
        </w:rPr>
        <w:t>Background</w:t>
      </w:r>
      <w:r w:rsidRPr="00E85787">
        <w:rPr>
          <w:u w:val="single"/>
          <w:lang w:eastAsia="en-GB"/>
        </w:rPr>
        <w:t>:</w:t>
      </w:r>
      <w:r>
        <w:rPr>
          <w:lang w:eastAsia="en-GB"/>
        </w:rPr>
        <w:t xml:space="preserve"> </w:t>
      </w:r>
      <w:r>
        <w:rPr>
          <w:lang w:eastAsia="en-GB"/>
        </w:rPr>
        <w:br/>
      </w:r>
      <w:r>
        <w:t xml:space="preserve">The </w:t>
      </w:r>
      <w:r>
        <w:t xml:space="preserve">usage of COIN </w:t>
      </w:r>
      <w:r>
        <w:t xml:space="preserve">has been </w:t>
      </w:r>
      <w:r>
        <w:t>strictly limited</w:t>
      </w:r>
      <w:r>
        <w:t xml:space="preserve"> so the</w:t>
      </w:r>
      <w:r>
        <w:t xml:space="preserve"> proposal of ZA</w:t>
      </w:r>
      <w:r>
        <w:t xml:space="preserve"> is</w:t>
      </w:r>
      <w:r>
        <w:t xml:space="preserve"> to distinguish Foreign and Local dividend</w:t>
      </w:r>
      <w:r>
        <w:t xml:space="preserve"> differently than using COIN.</w:t>
      </w:r>
      <w:r>
        <w:rPr>
          <w:lang w:eastAsia="en-GB"/>
        </w:rPr>
        <w:t xml:space="preserve"> </w:t>
      </w:r>
    </w:p>
    <w:p w:rsidR="00A2097D" w:rsidRDefault="00A2097D" w:rsidP="00A2097D">
      <w:r>
        <w:t xml:space="preserve">TAXR / WITL </w:t>
      </w:r>
      <w:r>
        <w:t xml:space="preserve">are </w:t>
      </w:r>
      <w:r>
        <w:t>not enough to distinguish what is from the issuing part and the local part of the taxation.</w:t>
      </w:r>
    </w:p>
    <w:p w:rsidR="00E85787" w:rsidRPr="00A2097D" w:rsidRDefault="00E85787" w:rsidP="00E70CF3">
      <w:pPr>
        <w:rPr>
          <w:u w:val="single"/>
        </w:rPr>
      </w:pPr>
      <w:r w:rsidRPr="00A2097D">
        <w:rPr>
          <w:u w:val="single"/>
        </w:rPr>
        <w:t>Discussion during the call:</w:t>
      </w:r>
    </w:p>
    <w:p w:rsidR="00DD2DFA" w:rsidRDefault="00A2097D" w:rsidP="00E70CF3">
      <w:r>
        <w:t xml:space="preserve">=&gt; </w:t>
      </w:r>
      <w:r w:rsidR="00E85787">
        <w:t>Regarding the code, should ZA propose FDIV?</w:t>
      </w:r>
      <w:r w:rsidR="00E85787">
        <w:br/>
      </w:r>
      <w:r w:rsidR="00DD2DFA">
        <w:t xml:space="preserve">FDIV code already exists as Final Dividend </w:t>
      </w:r>
      <w:r>
        <w:t>(to distinguish Final Dividend vs</w:t>
      </w:r>
      <w:r w:rsidR="00DD2DFA">
        <w:t xml:space="preserve"> Partial Dividend</w:t>
      </w:r>
      <w:r>
        <w:t>, PDIV). Another code should be chosen.</w:t>
      </w:r>
    </w:p>
    <w:p w:rsidR="00A2097D" w:rsidRDefault="00A2097D" w:rsidP="00E70CF3">
      <w:r>
        <w:t>Nevertheless, it is confirmed during the call that the exact is reviewed by Standards before implementation and maybe different from the original proposal, so nothing urgent on that topic.</w:t>
      </w:r>
    </w:p>
    <w:p w:rsidR="00A2097D" w:rsidRDefault="00A2097D" w:rsidP="00E70CF3">
      <w:pPr>
        <w:rPr>
          <w:lang w:eastAsia="en-GB"/>
        </w:rPr>
      </w:pPr>
      <w:r>
        <w:rPr>
          <w:lang w:eastAsia="en-GB"/>
        </w:rPr>
        <w:t>Jacques and SWIFT Standards will investigate on their side in due time.</w:t>
      </w:r>
    </w:p>
    <w:p w:rsidR="00E70CF3" w:rsidRDefault="00A2097D" w:rsidP="00E70CF3">
      <w:pPr>
        <w:rPr>
          <w:lang w:eastAsia="en-GB"/>
        </w:rPr>
      </w:pPr>
      <w:r>
        <w:rPr>
          <w:lang w:eastAsia="en-GB"/>
        </w:rPr>
        <w:t>=&gt; Should we have the exact country or only an indicator?</w:t>
      </w:r>
    </w:p>
    <w:p w:rsidR="00FE4324" w:rsidRDefault="00FE4324" w:rsidP="00FE4324">
      <w:r>
        <w:t>Some feedbacks / comments already received from main actors in South Africa is to indicate a country code and not only indicator.</w:t>
      </w:r>
    </w:p>
    <w:p w:rsidR="00FE4324" w:rsidRDefault="00A2097D" w:rsidP="00FE4324">
      <w:r>
        <w:t xml:space="preserve">Regarding </w:t>
      </w:r>
      <w:r w:rsidR="00FE4324">
        <w:t>multi listed</w:t>
      </w:r>
      <w:r>
        <w:t xml:space="preserve"> securities</w:t>
      </w:r>
      <w:r w:rsidR="00FE4324">
        <w:t xml:space="preserve"> in Scandinavian countries</w:t>
      </w:r>
      <w:r>
        <w:t xml:space="preserve">, </w:t>
      </w:r>
      <w:r>
        <w:t xml:space="preserve">Urban </w:t>
      </w:r>
      <w:r>
        <w:t>said that it may</w:t>
      </w:r>
      <w:r w:rsidR="00FE4324">
        <w:t xml:space="preserve"> be interesting</w:t>
      </w:r>
      <w:r>
        <w:t xml:space="preserve">. To be checked if it could be applicable </w:t>
      </w:r>
      <w:r w:rsidR="00FE4324">
        <w:t xml:space="preserve"> </w:t>
      </w:r>
    </w:p>
    <w:p w:rsidR="00A2097D" w:rsidRDefault="00A2097D" w:rsidP="00FE4324"/>
    <w:p w:rsidR="00A2097D" w:rsidRPr="00F62B1B" w:rsidRDefault="00A2097D" w:rsidP="00A2097D">
      <w:pPr>
        <w:pStyle w:val="Actions"/>
        <w:rPr>
          <w:lang w:val="en-US"/>
        </w:rPr>
      </w:pPr>
      <w:r w:rsidRPr="00F62B1B">
        <w:rPr>
          <w:b/>
          <w:u w:val="single"/>
          <w:lang w:val="en-US"/>
        </w:rPr>
        <w:t>Action</w:t>
      </w:r>
      <w:r w:rsidRPr="00F62B1B">
        <w:rPr>
          <w:lang w:val="en-US"/>
        </w:rPr>
        <w:t xml:space="preserve">: </w:t>
      </w:r>
    </w:p>
    <w:p w:rsidR="00FE4324" w:rsidRPr="00E70CF3" w:rsidRDefault="00A2097D" w:rsidP="00A2097D">
      <w:pPr>
        <w:pStyle w:val="Actions"/>
      </w:pPr>
      <w:r>
        <w:t xml:space="preserve">ZA NMPG </w:t>
      </w:r>
      <w:r>
        <w:t>will update / finalize the Change Request in order to have a global review by the Corporate Actions SMPG during the physical meeting</w:t>
      </w:r>
    </w:p>
    <w:p w:rsidR="00CE0A0F" w:rsidRPr="00D74022" w:rsidRDefault="00EF7F89" w:rsidP="00EF7F89">
      <w:pPr>
        <w:pStyle w:val="Heading1"/>
        <w:numPr>
          <w:ilvl w:val="0"/>
          <w:numId w:val="0"/>
        </w:numPr>
      </w:pPr>
      <w:bookmarkStart w:id="9" w:name="_Toc513052707"/>
      <w:r>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9"/>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Pr="00684806" w:rsidRDefault="00CB5886" w:rsidP="00D74022">
      <w:pPr>
        <w:pStyle w:val="Actions"/>
        <w:jc w:val="left"/>
        <w:rPr>
          <w:color w:val="auto"/>
          <w:u w:val="single"/>
          <w:lang w:val="en-AU"/>
        </w:rPr>
      </w:pPr>
      <w:r w:rsidRPr="00684806">
        <w:rPr>
          <w:color w:val="auto"/>
          <w:u w:val="single"/>
          <w:lang w:val="en-AU"/>
        </w:rPr>
        <w:t>Discussions during Dec 15</w:t>
      </w:r>
      <w:r w:rsidRPr="00684806">
        <w:rPr>
          <w:color w:val="auto"/>
          <w:u w:val="single"/>
          <w:vertAlign w:val="superscript"/>
          <w:lang w:val="en-AU"/>
        </w:rPr>
        <w:t>th</w:t>
      </w:r>
      <w:r w:rsidRPr="00684806">
        <w:rPr>
          <w:color w:val="auto"/>
          <w:u w:val="single"/>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t>Delphine suggested to use the Cashmove to indicate the Tax to debit.</w:t>
      </w:r>
    </w:p>
    <w:p w:rsidR="00CB5886" w:rsidRDefault="00E277AC" w:rsidP="00D74022">
      <w:pPr>
        <w:pStyle w:val="Actions"/>
        <w:jc w:val="left"/>
        <w:rPr>
          <w:color w:val="auto"/>
          <w:lang w:val="en-AU"/>
        </w:rPr>
      </w:pPr>
      <w:r>
        <w:rPr>
          <w:color w:val="auto"/>
          <w:lang w:val="en-AU"/>
        </w:rPr>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Default="00E277AC" w:rsidP="00D74022">
      <w:pPr>
        <w:pStyle w:val="Actions"/>
        <w:jc w:val="left"/>
        <w:rPr>
          <w:color w:val="auto"/>
          <w:lang w:val="en-AU"/>
        </w:rPr>
      </w:pPr>
      <w:r>
        <w:rPr>
          <w:color w:val="auto"/>
          <w:lang w:val="en-AU"/>
        </w:rPr>
        <w:t>Sanjee</w:t>
      </w:r>
      <w:r w:rsidR="00684806">
        <w:rPr>
          <w:color w:val="auto"/>
          <w:lang w:val="en-AU"/>
        </w:rPr>
        <w:t>v</w:t>
      </w:r>
      <w:r>
        <w:rPr>
          <w:color w:val="auto"/>
          <w:lang w:val="en-AU"/>
        </w:rPr>
        <w:t xml:space="preserve"> explained that there is the same taxation applied to all beneficiaries, it could be OK but how does it work if the rate is different ? Gabriel explained that, in the UK, it is a 1 for 1</w:t>
      </w:r>
    </w:p>
    <w:p w:rsidR="00684806" w:rsidRDefault="00684806" w:rsidP="00D74022">
      <w:pPr>
        <w:pStyle w:val="Actions"/>
        <w:jc w:val="left"/>
        <w:rPr>
          <w:color w:val="auto"/>
          <w:lang w:val="en-AU"/>
        </w:rPr>
      </w:pPr>
      <w:r>
        <w:rPr>
          <w:color w:val="auto"/>
          <w:lang w:val="en-AU"/>
        </w:rPr>
        <w:t>Please see attached example from the UK Market.</w:t>
      </w:r>
    </w:p>
    <w:bookmarkStart w:id="10" w:name="_MON_1550906810"/>
    <w:bookmarkEnd w:id="10"/>
    <w:p w:rsidR="00684806" w:rsidRDefault="00684806" w:rsidP="00D74022">
      <w:pPr>
        <w:pStyle w:val="Actions"/>
        <w:jc w:val="left"/>
        <w:rPr>
          <w:color w:val="auto"/>
          <w:lang w:val="en-US"/>
        </w:rPr>
      </w:pPr>
      <w:r>
        <w:rPr>
          <w:color w:val="auto"/>
          <w:lang w:val="en-US"/>
        </w:rPr>
        <w:object w:dxaOrig="2069" w:dyaOrig="1320">
          <v:shape id="_x0000_i1025" type="#_x0000_t75" style="width:103.5pt;height:66pt" o:ole="">
            <v:imagedata r:id="rId12" o:title=""/>
          </v:shape>
          <o:OLEObject Type="Embed" ProgID="Word.Document.12" ShapeID="_x0000_i1025" DrawAspect="Icon" ObjectID="_1586795085" r:id="rId13">
            <o:FieldCodes>\s</o:FieldCodes>
          </o:OLEObject>
        </w:object>
      </w:r>
    </w:p>
    <w:p w:rsidR="00362140" w:rsidRDefault="00362140" w:rsidP="00D74022">
      <w:pPr>
        <w:pStyle w:val="Actions"/>
        <w:jc w:val="left"/>
        <w:rPr>
          <w:color w:val="auto"/>
          <w:lang w:val="en-US"/>
        </w:rPr>
      </w:pPr>
      <w:r>
        <w:rPr>
          <w:color w:val="auto"/>
          <w:lang w:val="en-US"/>
        </w:rPr>
        <w:t xml:space="preserve">Sanjeev also provided 2 examples: </w:t>
      </w:r>
      <w:r w:rsidRPr="00362140">
        <w:rPr>
          <w:color w:val="auto"/>
          <w:lang w:val="en-US"/>
        </w:rPr>
        <w:t>one with tax on cash fractions and another with tax on shares</w:t>
      </w:r>
      <w:r>
        <w:rPr>
          <w:color w:val="auto"/>
          <w:lang w:val="en-US"/>
        </w:rPr>
        <w:t>.</w:t>
      </w:r>
    </w:p>
    <w:p w:rsidR="00362140" w:rsidRPr="00362140" w:rsidRDefault="00362140" w:rsidP="00362140">
      <w:pPr>
        <w:pStyle w:val="Actions"/>
        <w:numPr>
          <w:ilvl w:val="0"/>
          <w:numId w:val="16"/>
        </w:numPr>
        <w:rPr>
          <w:color w:val="auto"/>
        </w:rPr>
      </w:pPr>
      <w:r w:rsidRPr="00362140">
        <w:rPr>
          <w:color w:val="auto"/>
        </w:rPr>
        <w:t xml:space="preserve">Mediclinics International Limited – Scheme of arrangement </w:t>
      </w:r>
    </w:p>
    <w:p w:rsidR="00362140" w:rsidRPr="00362140" w:rsidRDefault="00362140" w:rsidP="00362140">
      <w:pPr>
        <w:pStyle w:val="Actions"/>
        <w:rPr>
          <w:color w:val="auto"/>
        </w:rPr>
      </w:pPr>
      <w:r w:rsidRPr="00362140">
        <w:rPr>
          <w:color w:val="auto"/>
        </w:rPr>
        <w:t>Company made a scheme of arrangement to shareholders.</w:t>
      </w:r>
    </w:p>
    <w:p w:rsidR="00362140" w:rsidRPr="00362140" w:rsidRDefault="00362140" w:rsidP="00362140">
      <w:pPr>
        <w:pStyle w:val="Actions"/>
        <w:rPr>
          <w:color w:val="auto"/>
        </w:rPr>
      </w:pPr>
      <w:r w:rsidRPr="00362140">
        <w:rPr>
          <w:color w:val="auto"/>
        </w:rPr>
        <w:t>Shareholders afforded an option to elect for the repurchase option or an exchange option to receive Al Noor shares.</w:t>
      </w:r>
    </w:p>
    <w:p w:rsidR="00362140" w:rsidRPr="00362140" w:rsidRDefault="00362140" w:rsidP="00362140">
      <w:pPr>
        <w:pStyle w:val="Actions"/>
        <w:rPr>
          <w:color w:val="auto"/>
        </w:rPr>
      </w:pPr>
      <w:r w:rsidRPr="00362140">
        <w:rPr>
          <w:color w:val="auto"/>
        </w:rPr>
        <w:t>Repurchase option was subject to dividends withholding tax, issue price of the stock was utilised to determine the dividend rate and shareholders had to pay DWT on the stock they received even though they did not receive cash.</w:t>
      </w:r>
    </w:p>
    <w:p w:rsidR="00362140" w:rsidRPr="00362140" w:rsidRDefault="00362140" w:rsidP="00362140">
      <w:pPr>
        <w:pStyle w:val="Actions"/>
        <w:rPr>
          <w:color w:val="auto"/>
        </w:rPr>
      </w:pPr>
      <w:r w:rsidRPr="00362140">
        <w:rPr>
          <w:color w:val="auto"/>
        </w:rPr>
        <w:t>Withholding of tax (DWT) on security entitlement was processed manually and reported to the tax authority accordingly.</w:t>
      </w:r>
    </w:p>
    <w:p w:rsidR="00362140" w:rsidRPr="00362140" w:rsidRDefault="00362140" w:rsidP="00362140">
      <w:pPr>
        <w:pStyle w:val="Actions"/>
        <w:numPr>
          <w:ilvl w:val="0"/>
          <w:numId w:val="16"/>
        </w:numPr>
        <w:rPr>
          <w:color w:val="auto"/>
        </w:rPr>
      </w:pPr>
      <w:r w:rsidRPr="00362140">
        <w:rPr>
          <w:color w:val="auto"/>
        </w:rPr>
        <w:t>Brait Se (BAT) –</w:t>
      </w:r>
      <w:r w:rsidR="00BA6C38">
        <w:rPr>
          <w:color w:val="auto"/>
        </w:rPr>
        <w:t xml:space="preserve"> </w:t>
      </w:r>
      <w:r w:rsidRPr="00362140">
        <w:rPr>
          <w:color w:val="auto"/>
        </w:rPr>
        <w:t>Bonus Share Issue with a Cash Dividend Alternative (dividend with option)</w:t>
      </w:r>
    </w:p>
    <w:p w:rsidR="00362140" w:rsidRPr="00362140" w:rsidRDefault="00362140" w:rsidP="00362140">
      <w:pPr>
        <w:pStyle w:val="Actions"/>
        <w:rPr>
          <w:color w:val="auto"/>
        </w:rPr>
      </w:pPr>
      <w:r w:rsidRPr="00362140">
        <w:rPr>
          <w:color w:val="auto"/>
        </w:rPr>
        <w:t>Issuer declared bonus issue however shareholders could elect to receive cash option.</w:t>
      </w:r>
    </w:p>
    <w:p w:rsidR="00362140" w:rsidRPr="00362140" w:rsidRDefault="00362140" w:rsidP="00964659">
      <w:pPr>
        <w:pStyle w:val="Actions"/>
        <w:jc w:val="left"/>
        <w:rPr>
          <w:color w:val="auto"/>
        </w:rPr>
      </w:pPr>
      <w:r w:rsidRPr="00362140">
        <w:rPr>
          <w:color w:val="auto"/>
        </w:rPr>
        <w:t>Receipt of stock is of capital nature thus is not taxable.</w:t>
      </w:r>
      <w:r w:rsidR="00964659">
        <w:rPr>
          <w:color w:val="auto"/>
        </w:rPr>
        <w:br/>
      </w:r>
      <w:r w:rsidRPr="00362140">
        <w:rPr>
          <w:color w:val="auto"/>
        </w:rPr>
        <w:t>Fractions arising out of share entitlements are rounded down thus fractional cash entitlements are payable.</w:t>
      </w:r>
    </w:p>
    <w:p w:rsidR="00362140" w:rsidRPr="00362140" w:rsidRDefault="00362140" w:rsidP="00362140">
      <w:pPr>
        <w:pStyle w:val="Actions"/>
        <w:rPr>
          <w:color w:val="auto"/>
        </w:rPr>
      </w:pPr>
      <w:r w:rsidRPr="00362140">
        <w:rPr>
          <w:color w:val="auto"/>
        </w:rPr>
        <w:t>Fractional rate is different from dividend rate however the fraction is taxable.</w:t>
      </w:r>
    </w:p>
    <w:p w:rsidR="00362140" w:rsidRPr="00362140" w:rsidRDefault="00362140" w:rsidP="00362140">
      <w:pPr>
        <w:pStyle w:val="Actions"/>
        <w:jc w:val="left"/>
        <w:rPr>
          <w:color w:val="auto"/>
        </w:rPr>
      </w:pPr>
      <w:r w:rsidRPr="00362140">
        <w:rPr>
          <w:color w:val="auto"/>
        </w:rPr>
        <w:t>Withholding of tax (DWT) on fractional cash payouts, currently not possible via system.</w:t>
      </w:r>
    </w:p>
    <w:bookmarkStart w:id="11" w:name="_MON_1550909158"/>
    <w:bookmarkEnd w:id="11"/>
    <w:p w:rsidR="00362140" w:rsidRDefault="00362140" w:rsidP="00D74022">
      <w:pPr>
        <w:pStyle w:val="Actions"/>
        <w:jc w:val="left"/>
        <w:rPr>
          <w:color w:val="auto"/>
          <w:lang w:val="en-US"/>
        </w:rPr>
      </w:pPr>
      <w:r>
        <w:rPr>
          <w:color w:val="auto"/>
          <w:lang w:val="en-US"/>
        </w:rPr>
        <w:object w:dxaOrig="2069" w:dyaOrig="1320">
          <v:shape id="_x0000_i1026" type="#_x0000_t75" style="width:103.5pt;height:66pt" o:ole="">
            <v:imagedata r:id="rId14" o:title=""/>
          </v:shape>
          <o:OLEObject Type="Embed" ProgID="Word.Document.8" ShapeID="_x0000_i1026" DrawAspect="Icon" ObjectID="_1586795086" r:id="rId15">
            <o:FieldCodes>\s</o:FieldCodes>
          </o:OLEObject>
        </w:object>
      </w:r>
      <w:bookmarkStart w:id="12" w:name="_MON_1550909187"/>
      <w:bookmarkEnd w:id="12"/>
      <w:r>
        <w:rPr>
          <w:color w:val="auto"/>
          <w:lang w:val="en-US"/>
        </w:rPr>
        <w:object w:dxaOrig="2069" w:dyaOrig="1320">
          <v:shape id="_x0000_i1027" type="#_x0000_t75" style="width:103.5pt;height:66pt" o:ole="">
            <v:imagedata r:id="rId16" o:title=""/>
          </v:shape>
          <o:OLEObject Type="Embed" ProgID="Word.Document.12" ShapeID="_x0000_i1027" DrawAspect="Icon" ObjectID="_1586795087" r:id="rId17">
            <o:FieldCodes>\s</o:FieldCodes>
          </o:OLEObject>
        </w:object>
      </w:r>
    </w:p>
    <w:p w:rsidR="00BA6C38" w:rsidRDefault="0033211A" w:rsidP="00D74022">
      <w:pPr>
        <w:pStyle w:val="Actions"/>
        <w:jc w:val="left"/>
        <w:rPr>
          <w:color w:val="auto"/>
          <w:lang w:val="en-US"/>
        </w:rPr>
      </w:pPr>
      <w:r w:rsidRPr="00BA6C38">
        <w:rPr>
          <w:color w:val="auto"/>
          <w:u w:val="single"/>
          <w:lang w:val="en-US"/>
        </w:rPr>
        <w:t xml:space="preserve">Comments during </w:t>
      </w:r>
      <w:r w:rsidR="00903C46" w:rsidRPr="00BA6C38">
        <w:rPr>
          <w:color w:val="auto"/>
          <w:u w:val="single"/>
          <w:lang w:val="en-US"/>
        </w:rPr>
        <w:t xml:space="preserve">January call: </w:t>
      </w:r>
      <w:r w:rsidR="00BA6C38">
        <w:rPr>
          <w:color w:val="auto"/>
          <w:u w:val="single"/>
          <w:lang w:val="en-US"/>
        </w:rPr>
        <w:br/>
      </w:r>
      <w:r w:rsidR="00BA6C38" w:rsidRPr="00BA6C38">
        <w:rPr>
          <w:color w:val="auto"/>
          <w:lang w:val="en-US"/>
        </w:rPr>
        <w:t>Rate will depend on the client taxation. The maximum rate is always announced in the MT564 and MT566 depends on the client =&gt; to see how it works in South Africa and if case applicable</w:t>
      </w:r>
    </w:p>
    <w:p w:rsidR="00F43B5B" w:rsidRDefault="00F43B5B" w:rsidP="00D74022">
      <w:pPr>
        <w:pStyle w:val="Actions"/>
        <w:jc w:val="left"/>
        <w:rPr>
          <w:color w:val="auto"/>
          <w:lang w:val="en-US"/>
        </w:rPr>
      </w:pPr>
    </w:p>
    <w:p w:rsidR="00F43B5B" w:rsidRDefault="00F43B5B" w:rsidP="00D74022">
      <w:pPr>
        <w:pStyle w:val="Actions"/>
        <w:jc w:val="left"/>
        <w:rPr>
          <w:color w:val="auto"/>
          <w:lang w:val="en-US"/>
        </w:rPr>
      </w:pPr>
      <w:r>
        <w:rPr>
          <w:color w:val="auto"/>
          <w:lang w:val="en-US"/>
        </w:rPr>
        <w:t>June 15</w:t>
      </w:r>
      <w:r w:rsidRPr="00F43B5B">
        <w:rPr>
          <w:color w:val="auto"/>
          <w:vertAlign w:val="superscript"/>
          <w:lang w:val="en-US"/>
        </w:rPr>
        <w:t>th</w:t>
      </w:r>
      <w:r>
        <w:rPr>
          <w:color w:val="auto"/>
          <w:lang w:val="en-US"/>
        </w:rPr>
        <w:t xml:space="preserve"> call: </w:t>
      </w:r>
    </w:p>
    <w:p w:rsidR="009F668F" w:rsidRDefault="00F43B5B" w:rsidP="00D74022">
      <w:pPr>
        <w:pStyle w:val="Actions"/>
        <w:jc w:val="left"/>
        <w:rPr>
          <w:color w:val="auto"/>
          <w:lang w:val="en-US"/>
        </w:rPr>
      </w:pPr>
      <w:r>
        <w:rPr>
          <w:color w:val="auto"/>
          <w:lang w:val="en-US"/>
        </w:rPr>
        <w:t xml:space="preserve">it is reminded that </w:t>
      </w:r>
      <w:r w:rsidRPr="00F43B5B">
        <w:rPr>
          <w:color w:val="auto"/>
          <w:lang w:val="en-US"/>
        </w:rPr>
        <w:t xml:space="preserve">during </w:t>
      </w:r>
      <w:r>
        <w:rPr>
          <w:color w:val="auto"/>
          <w:lang w:val="en-US"/>
        </w:rPr>
        <w:t xml:space="preserve">the </w:t>
      </w:r>
      <w:r w:rsidRPr="00F43B5B">
        <w:rPr>
          <w:color w:val="auto"/>
          <w:lang w:val="en-US"/>
        </w:rPr>
        <w:t>April SMPG</w:t>
      </w:r>
      <w:r>
        <w:rPr>
          <w:color w:val="auto"/>
          <w:lang w:val="en-US"/>
        </w:rPr>
        <w:t>, t</w:t>
      </w:r>
      <w:r w:rsidRPr="00F43B5B">
        <w:rPr>
          <w:color w:val="auto"/>
          <w:lang w:val="en-US"/>
        </w:rPr>
        <w:t xml:space="preserve">he WG supported the proposal made by Delphine at the December conference call to rather open a cash movement sequence in order to use the rates and </w:t>
      </w:r>
      <w:r w:rsidRPr="00F43B5B">
        <w:rPr>
          <w:color w:val="auto"/>
          <w:lang w:val="en-US"/>
        </w:rPr>
        <w:lastRenderedPageBreak/>
        <w:t>amounts over there. No cash amounts should be ever placed in a securities movement sequence or securities quantity in the cash movement sequence.</w:t>
      </w:r>
    </w:p>
    <w:p w:rsidR="00623869" w:rsidRDefault="009F668F" w:rsidP="00D74022">
      <w:pPr>
        <w:pStyle w:val="Actions"/>
        <w:jc w:val="left"/>
        <w:rPr>
          <w:color w:val="auto"/>
          <w:lang w:val="en-US"/>
        </w:rPr>
      </w:pPr>
      <w:r>
        <w:rPr>
          <w:color w:val="auto"/>
          <w:lang w:val="en-US"/>
        </w:rPr>
        <w:t>September call : Sanjeev submitted to the ZA NMPG. Waiting for a feedback</w:t>
      </w:r>
    </w:p>
    <w:p w:rsidR="00623869" w:rsidRPr="001E4538" w:rsidRDefault="00623869" w:rsidP="00D74022">
      <w:pPr>
        <w:pStyle w:val="Actions"/>
        <w:jc w:val="left"/>
        <w:rPr>
          <w:color w:val="auto"/>
          <w:lang w:val="en-US"/>
        </w:rPr>
      </w:pPr>
      <w:r w:rsidRPr="001E4538">
        <w:rPr>
          <w:color w:val="auto"/>
          <w:lang w:val="en-US"/>
        </w:rPr>
        <w:t>November call : Thomas explained that in Germany, there is a similar situation where fractions are taxable. But the stock part is paid as guaranteed income payment which includes also the non- income part =&gt; difficult to separate.</w:t>
      </w:r>
    </w:p>
    <w:p w:rsidR="00623869" w:rsidRDefault="00623869" w:rsidP="00D74022">
      <w:pPr>
        <w:pStyle w:val="Actions"/>
        <w:jc w:val="left"/>
        <w:rPr>
          <w:color w:val="auto"/>
          <w:lang w:val="en-US"/>
        </w:rPr>
      </w:pPr>
      <w:r w:rsidRPr="001E4538">
        <w:rPr>
          <w:color w:val="auto"/>
          <w:lang w:val="en-US"/>
        </w:rPr>
        <w:t>Attached a description with the issue taxation on stock (outcome of CA).</w:t>
      </w:r>
    </w:p>
    <w:bookmarkStart w:id="13" w:name="_MON_1577633715"/>
    <w:bookmarkEnd w:id="13"/>
    <w:p w:rsidR="00157EEB" w:rsidRPr="00BA6C38" w:rsidRDefault="00623869" w:rsidP="00D74022">
      <w:pPr>
        <w:pStyle w:val="Actions"/>
        <w:jc w:val="left"/>
        <w:rPr>
          <w:color w:val="auto"/>
          <w:lang w:val="en-US"/>
        </w:rPr>
      </w:pPr>
      <w:r>
        <w:rPr>
          <w:color w:val="auto"/>
          <w:lang w:val="en-US"/>
        </w:rPr>
        <w:object w:dxaOrig="1550" w:dyaOrig="991">
          <v:shape id="_x0000_i1028" type="#_x0000_t75" style="width:77.25pt;height:49.5pt" o:ole="">
            <v:imagedata r:id="rId18" o:title=""/>
          </v:shape>
          <o:OLEObject Type="Embed" ProgID="PowerPoint.Show.12" ShapeID="_x0000_i1028" DrawAspect="Icon" ObjectID="_1586795088" r:id="rId19"/>
        </w:object>
      </w:r>
      <w:r w:rsidR="00F43B5B">
        <w:rPr>
          <w:color w:val="auto"/>
          <w:lang w:val="en-US"/>
        </w:rPr>
        <w:br/>
        <w:t xml:space="preserve"> </w:t>
      </w: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F358E8" w:rsidRDefault="00F358E8" w:rsidP="00F43B5B">
      <w:pPr>
        <w:pStyle w:val="Actions"/>
      </w:pPr>
      <w:r w:rsidRPr="00A2097D">
        <w:t xml:space="preserve">Cashmove </w:t>
      </w:r>
      <w:r w:rsidR="00A2097D" w:rsidRPr="00A2097D">
        <w:t xml:space="preserve">proposal </w:t>
      </w:r>
      <w:r w:rsidRPr="00A2097D">
        <w:t xml:space="preserve">approved by </w:t>
      </w:r>
      <w:r w:rsidR="00A2097D" w:rsidRPr="00A2097D">
        <w:t xml:space="preserve">the </w:t>
      </w:r>
      <w:r w:rsidRPr="00A2097D">
        <w:t>ZA NMPG. Topic closed</w:t>
      </w:r>
    </w:p>
    <w:p w:rsidR="003351CE" w:rsidRPr="003351CE" w:rsidRDefault="003351CE" w:rsidP="003351CE">
      <w:pPr>
        <w:pStyle w:val="Heading1"/>
        <w:numPr>
          <w:ilvl w:val="0"/>
          <w:numId w:val="0"/>
        </w:numPr>
        <w:rPr>
          <w:lang w:val="en-GB"/>
        </w:rPr>
      </w:pPr>
      <w:bookmarkStart w:id="14" w:name="_Toc498961566"/>
      <w:bookmarkStart w:id="15" w:name="_Toc513052708"/>
      <w:r>
        <w:t>CA</w:t>
      </w:r>
      <w:r w:rsidR="001E4538">
        <w:t xml:space="preserve"> </w:t>
      </w:r>
      <w:r>
        <w:t>315 Extending CA MPs to ISO 20022</w:t>
      </w:r>
      <w:bookmarkEnd w:id="14"/>
      <w:r>
        <w:t xml:space="preserve"> - H</w:t>
      </w:r>
      <w:r w:rsidRPr="003351CE">
        <w:t>ow to tax cash dividend events and reinvest on cash dividend events in the context of an omnibus account.</w:t>
      </w:r>
      <w:bookmarkEnd w:id="15"/>
    </w:p>
    <w:p w:rsidR="003351CE" w:rsidRPr="00F24BEB" w:rsidRDefault="003351CE" w:rsidP="003351CE">
      <w:pPr>
        <w:rPr>
          <w:lang w:eastAsia="en-GB"/>
        </w:rPr>
      </w:pPr>
      <w:r w:rsidRPr="00F24BEB">
        <w:rPr>
          <w:lang w:eastAsia="en-GB"/>
        </w:rPr>
        <w:t>Topic discussed within the CA SMPG.</w:t>
      </w:r>
    </w:p>
    <w:p w:rsidR="003351CE" w:rsidRPr="00F24BEB" w:rsidRDefault="003351CE" w:rsidP="003351CE">
      <w:pPr>
        <w:rPr>
          <w:lang w:eastAsia="en-GB"/>
        </w:rPr>
      </w:pPr>
      <w:r w:rsidRPr="00F24BEB">
        <w:rPr>
          <w:lang w:eastAsia="en-GB"/>
        </w:rPr>
        <w:t>Below the comments provided during the November CA SMPG call</w:t>
      </w:r>
    </w:p>
    <w:p w:rsidR="003351CE" w:rsidRPr="00F24BEB" w:rsidRDefault="003351CE" w:rsidP="003351CE">
      <w:pPr>
        <w:rPr>
          <w:lang w:eastAsia="en-GB"/>
        </w:rPr>
      </w:pPr>
      <w:r w:rsidRPr="00F24BEB">
        <w:rPr>
          <w:lang w:eastAsia="en-GB"/>
        </w:rPr>
        <w:t>No issues in AU. The omnibus account is split in different categories of tax regimes.</w:t>
      </w:r>
    </w:p>
    <w:p w:rsidR="003351CE" w:rsidRPr="00F24BEB" w:rsidRDefault="003351CE" w:rsidP="003351CE">
      <w:pPr>
        <w:rPr>
          <w:lang w:eastAsia="en-GB"/>
        </w:rPr>
      </w:pPr>
      <w:r w:rsidRPr="00F24BEB">
        <w:rPr>
          <w:lang w:eastAsia="en-GB"/>
        </w:rPr>
        <w:t xml:space="preserve">No issues in SE, the default (highest) tax rate is applied and is followed by a tax breakdown process with domicile certificates requested. </w:t>
      </w:r>
    </w:p>
    <w:p w:rsidR="003351CE" w:rsidRPr="00F24BEB" w:rsidRDefault="003351CE" w:rsidP="003351CE">
      <w:pPr>
        <w:rPr>
          <w:lang w:eastAsia="en-GB"/>
        </w:rPr>
      </w:pPr>
      <w:r w:rsidRPr="00F24BEB">
        <w:rPr>
          <w:lang w:eastAsia="en-GB"/>
        </w:rPr>
        <w:t>No Issue in DE with reinvestments either.</w:t>
      </w:r>
    </w:p>
    <w:p w:rsidR="003351CE" w:rsidRDefault="003351CE" w:rsidP="003351CE">
      <w:pPr>
        <w:rPr>
          <w:lang w:eastAsia="en-GB"/>
        </w:rPr>
      </w:pPr>
      <w:r w:rsidRPr="00F24BEB">
        <w:rPr>
          <w:lang w:eastAsia="en-GB"/>
        </w:rPr>
        <w:t>In RU, according current legislation in Russia we do not have account type «omnibus account». Reinvestment within a CA is not supported by legislation in Russia. Beneficial owners does not have such possibility (t reinvest proceeds) within a CA.</w:t>
      </w:r>
    </w:p>
    <w:p w:rsidR="00A2097D" w:rsidRDefault="00A2097D" w:rsidP="003351CE">
      <w:pPr>
        <w:rPr>
          <w:lang w:eastAsia="en-GB"/>
        </w:rPr>
      </w:pPr>
      <w:r w:rsidRPr="00A2097D">
        <w:rPr>
          <w:highlight w:val="green"/>
          <w:lang w:eastAsia="en-GB"/>
        </w:rPr>
        <w:t>Comment during March call:</w:t>
      </w:r>
    </w:p>
    <w:p w:rsidR="00A2097D" w:rsidRPr="00A2097D" w:rsidRDefault="00A2097D" w:rsidP="00A2097D">
      <w:pPr>
        <w:pStyle w:val="Actions"/>
        <w:rPr>
          <w:color w:val="auto"/>
        </w:rPr>
      </w:pPr>
      <w:r w:rsidRPr="00A2097D">
        <w:rPr>
          <w:color w:val="auto"/>
          <w:highlight w:val="green"/>
        </w:rPr>
        <w:t xml:space="preserve">Used very often in </w:t>
      </w:r>
      <w:r w:rsidRPr="00A2097D">
        <w:rPr>
          <w:color w:val="auto"/>
          <w:highlight w:val="green"/>
        </w:rPr>
        <w:t>Scandinavian countries,</w:t>
      </w:r>
      <w:r w:rsidRPr="00A2097D">
        <w:rPr>
          <w:color w:val="auto"/>
          <w:highlight w:val="green"/>
        </w:rPr>
        <w:t xml:space="preserve"> Urban </w:t>
      </w:r>
      <w:r w:rsidRPr="00A2097D">
        <w:rPr>
          <w:color w:val="auto"/>
          <w:highlight w:val="green"/>
        </w:rPr>
        <w:t xml:space="preserve">would be </w:t>
      </w:r>
      <w:r w:rsidRPr="00A2097D">
        <w:rPr>
          <w:color w:val="auto"/>
          <w:highlight w:val="green"/>
        </w:rPr>
        <w:t xml:space="preserve">interested </w:t>
      </w:r>
      <w:r w:rsidRPr="00A2097D">
        <w:rPr>
          <w:color w:val="auto"/>
          <w:highlight w:val="green"/>
        </w:rPr>
        <w:t xml:space="preserve">in </w:t>
      </w:r>
      <w:r w:rsidRPr="00A2097D">
        <w:rPr>
          <w:color w:val="auto"/>
          <w:highlight w:val="green"/>
        </w:rPr>
        <w:t>work</w:t>
      </w:r>
      <w:r w:rsidRPr="00A2097D">
        <w:rPr>
          <w:color w:val="auto"/>
          <w:highlight w:val="green"/>
        </w:rPr>
        <w:t>ing</w:t>
      </w:r>
      <w:r w:rsidRPr="00A2097D">
        <w:rPr>
          <w:color w:val="auto"/>
          <w:highlight w:val="green"/>
        </w:rPr>
        <w:t xml:space="preserve"> on the workflow</w:t>
      </w:r>
    </w:p>
    <w:p w:rsidR="00A2097D" w:rsidRPr="00F24BEB" w:rsidRDefault="00A2097D" w:rsidP="003351CE">
      <w:pPr>
        <w:rPr>
          <w:lang w:eastAsia="en-GB"/>
        </w:rPr>
      </w:pPr>
    </w:p>
    <w:p w:rsidR="00EE5A47" w:rsidRPr="009F668F" w:rsidRDefault="00EE5A47" w:rsidP="00EE5A47">
      <w:pPr>
        <w:pStyle w:val="Actions"/>
        <w:rPr>
          <w:b/>
          <w:u w:val="single"/>
          <w:lang w:val="en-US"/>
        </w:rPr>
      </w:pPr>
      <w:r w:rsidRPr="009F668F">
        <w:rPr>
          <w:b/>
          <w:u w:val="single"/>
          <w:lang w:val="en-US"/>
        </w:rPr>
        <w:t>Action:</w:t>
      </w:r>
    </w:p>
    <w:p w:rsidR="00EE5A47" w:rsidRDefault="00EE5A47" w:rsidP="00EE5A47">
      <w:pPr>
        <w:pStyle w:val="Actions"/>
      </w:pPr>
      <w:r w:rsidRPr="00EE5A47">
        <w:t>The Tax S</w:t>
      </w:r>
      <w:r w:rsidR="00E70CF3">
        <w:t>ub Group</w:t>
      </w:r>
      <w:r w:rsidRPr="00EE5A47">
        <w:t xml:space="preserve"> will deal with the more global “tax breakdown” issue</w:t>
      </w:r>
    </w:p>
    <w:p w:rsidR="00F358E8" w:rsidRPr="00EE5A47" w:rsidRDefault="00F358E8" w:rsidP="00EE5A47">
      <w:pPr>
        <w:pStyle w:val="Actions"/>
      </w:pPr>
    </w:p>
    <w:p w:rsidR="002264BA" w:rsidRPr="00964659" w:rsidRDefault="00964659" w:rsidP="00964659">
      <w:pPr>
        <w:pStyle w:val="Heading1"/>
        <w:numPr>
          <w:ilvl w:val="0"/>
          <w:numId w:val="0"/>
        </w:numPr>
      </w:pPr>
      <w:bookmarkStart w:id="16" w:name="_Toc513052709"/>
      <w:r>
        <w:t>Other topics</w:t>
      </w:r>
      <w:bookmarkEnd w:id="16"/>
    </w:p>
    <w:p w:rsidR="00D25BE6" w:rsidRDefault="00D25BE6" w:rsidP="00EF7F89">
      <w:pPr>
        <w:pStyle w:val="Actions"/>
        <w:rPr>
          <w:lang w:val="en-US"/>
        </w:rPr>
      </w:pPr>
    </w:p>
    <w:p w:rsidR="002624D3" w:rsidRPr="009F668F" w:rsidRDefault="002624D3" w:rsidP="002624D3">
      <w:pPr>
        <w:pStyle w:val="Actions"/>
        <w:numPr>
          <w:ilvl w:val="0"/>
          <w:numId w:val="17"/>
        </w:numPr>
        <w:rPr>
          <w:b/>
          <w:color w:val="auto"/>
          <w:u w:val="single"/>
        </w:rPr>
      </w:pPr>
      <w:r w:rsidRPr="009F668F">
        <w:rPr>
          <w:b/>
          <w:color w:val="auto"/>
          <w:u w:val="single"/>
        </w:rPr>
        <w:t>Question from Delphine related to GMP1</w:t>
      </w:r>
    </w:p>
    <w:p w:rsidR="00561405" w:rsidRDefault="00561405" w:rsidP="00561405">
      <w:pPr>
        <w:pStyle w:val="Actions"/>
        <w:jc w:val="left"/>
        <w:rPr>
          <w:color w:val="auto"/>
        </w:rPr>
      </w:pPr>
    </w:p>
    <w:p w:rsidR="00931B48" w:rsidRDefault="00561405" w:rsidP="00561405">
      <w:pPr>
        <w:pStyle w:val="Actions"/>
        <w:jc w:val="left"/>
        <w:rPr>
          <w:lang w:val="en-US"/>
        </w:rPr>
      </w:pPr>
      <w:r w:rsidRPr="00561405">
        <w:rPr>
          <w:color w:val="auto"/>
        </w:rPr>
        <w:t xml:space="preserve">If a client has an omnibus account for which he provided a breakdown ending in several tax rates applicable. </w:t>
      </w:r>
      <w:r w:rsidRPr="00561405">
        <w:rPr>
          <w:color w:val="auto"/>
        </w:rPr>
        <w:br/>
        <w:t xml:space="preserve">We are booking the credit for the full account in one movement ==&gt; a single MT566 should be reported. </w:t>
      </w:r>
      <w:r w:rsidRPr="00561405">
        <w:rPr>
          <w:color w:val="auto"/>
        </w:rPr>
        <w:br/>
        <w:t>Can we report several cash moves to be able to provide the breakdown?</w:t>
      </w:r>
      <w:r w:rsidRPr="00561405">
        <w:rPr>
          <w:color w:val="auto"/>
          <w:lang w:val="en-US"/>
        </w:rPr>
        <w:t xml:space="preserve"> </w:t>
      </w:r>
      <w:r w:rsidRPr="00561405">
        <w:rPr>
          <w:color w:val="auto"/>
          <w:lang w:val="en-US"/>
        </w:rPr>
        <w:br/>
      </w:r>
    </w:p>
    <w:p w:rsidR="00561405" w:rsidRPr="00A2097D" w:rsidRDefault="00561405" w:rsidP="00561405">
      <w:pPr>
        <w:pStyle w:val="Actions"/>
        <w:jc w:val="left"/>
        <w:rPr>
          <w:color w:val="auto"/>
        </w:rPr>
      </w:pPr>
      <w:r w:rsidRPr="00A2097D">
        <w:rPr>
          <w:color w:val="auto"/>
        </w:rPr>
        <w:lastRenderedPageBreak/>
        <w:t xml:space="preserve">Comments during March </w:t>
      </w:r>
      <w:r w:rsidR="00A2097D">
        <w:rPr>
          <w:color w:val="auto"/>
        </w:rPr>
        <w:t xml:space="preserve">2017 </w:t>
      </w:r>
      <w:r w:rsidRPr="00A2097D">
        <w:rPr>
          <w:color w:val="auto"/>
        </w:rPr>
        <w:t>call:</w:t>
      </w:r>
    </w:p>
    <w:p w:rsidR="00931B48" w:rsidRDefault="00561405" w:rsidP="00EF7F89">
      <w:pPr>
        <w:pStyle w:val="Actions"/>
        <w:rPr>
          <w:color w:val="auto"/>
        </w:rPr>
      </w:pPr>
      <w:r w:rsidRPr="00561405">
        <w:rPr>
          <w:color w:val="auto"/>
        </w:rPr>
        <w:t>Reminder: the current rule is 1 posting = 1 MT566</w:t>
      </w:r>
    </w:p>
    <w:p w:rsidR="00561405" w:rsidRDefault="00561405" w:rsidP="00EF7F89">
      <w:pPr>
        <w:pStyle w:val="Actions"/>
        <w:rPr>
          <w:color w:val="auto"/>
        </w:rPr>
      </w:pPr>
      <w:r>
        <w:rPr>
          <w:color w:val="auto"/>
        </w:rPr>
        <w:t>Narelle explained that in Australia, they can split between Frank and Unfrank.</w:t>
      </w:r>
    </w:p>
    <w:p w:rsidR="00561405" w:rsidRDefault="00561405" w:rsidP="00EF7F89">
      <w:pPr>
        <w:pStyle w:val="Actions"/>
        <w:rPr>
          <w:color w:val="auto"/>
        </w:rPr>
      </w:pPr>
      <w:r>
        <w:rPr>
          <w:color w:val="auto"/>
        </w:rPr>
        <w:t xml:space="preserve">So more generally, what about </w:t>
      </w:r>
      <w:r>
        <w:rPr>
          <w:rStyle w:val="shorttext"/>
          <w:color w:val="222222"/>
          <w:lang w:val="en"/>
        </w:rPr>
        <w:t>repeatability</w:t>
      </w:r>
      <w:r>
        <w:rPr>
          <w:color w:val="auto"/>
        </w:rPr>
        <w:t xml:space="preserve"> of qualifiers? TAXR is not repeatable.</w:t>
      </w:r>
    </w:p>
    <w:p w:rsidR="00561405" w:rsidRDefault="00561405" w:rsidP="00EF7F89">
      <w:pPr>
        <w:pStyle w:val="Actions"/>
        <w:rPr>
          <w:color w:val="auto"/>
        </w:rPr>
      </w:pPr>
      <w:r>
        <w:rPr>
          <w:color w:val="auto"/>
        </w:rPr>
        <w:t xml:space="preserve">We can also refer to the question from the Polish Market on the Pre-Advice of Cash: CA362 </w:t>
      </w:r>
    </w:p>
    <w:p w:rsidR="00561405" w:rsidRDefault="006D78FA" w:rsidP="00EF7F89">
      <w:pPr>
        <w:pStyle w:val="Actions"/>
        <w:rPr>
          <w:color w:val="auto"/>
        </w:rPr>
      </w:pPr>
      <w:r>
        <w:rPr>
          <w:color w:val="auto"/>
        </w:rPr>
        <w:t>Germany will probably have a similar case next year (due to changes in the Tax law).</w:t>
      </w:r>
    </w:p>
    <w:p w:rsidR="0009774E" w:rsidRDefault="0009774E" w:rsidP="00EF7F89">
      <w:pPr>
        <w:pStyle w:val="Actions"/>
        <w:rPr>
          <w:color w:val="auto"/>
        </w:rPr>
      </w:pPr>
    </w:p>
    <w:p w:rsidR="00280575" w:rsidRPr="009F668F" w:rsidRDefault="00280575" w:rsidP="00EF7F89">
      <w:pPr>
        <w:pStyle w:val="Actions"/>
        <w:rPr>
          <w:color w:val="auto"/>
        </w:rPr>
      </w:pPr>
      <w:r w:rsidRPr="009F668F">
        <w:rPr>
          <w:color w:val="auto"/>
        </w:rPr>
        <w:t>Comments during June 15</w:t>
      </w:r>
      <w:r w:rsidRPr="009F668F">
        <w:rPr>
          <w:color w:val="auto"/>
          <w:vertAlign w:val="superscript"/>
        </w:rPr>
        <w:t>th</w:t>
      </w:r>
      <w:r w:rsidRPr="009F668F">
        <w:rPr>
          <w:color w:val="auto"/>
        </w:rPr>
        <w:t xml:space="preserve"> </w:t>
      </w:r>
      <w:r w:rsidR="00A2097D">
        <w:rPr>
          <w:color w:val="auto"/>
        </w:rPr>
        <w:t xml:space="preserve">2017 </w:t>
      </w:r>
      <w:r w:rsidRPr="009F668F">
        <w:rPr>
          <w:color w:val="auto"/>
        </w:rPr>
        <w:t>call:</w:t>
      </w:r>
    </w:p>
    <w:p w:rsidR="0009774E" w:rsidRPr="009F668F" w:rsidRDefault="00280575" w:rsidP="00EF7F89">
      <w:pPr>
        <w:pStyle w:val="Actions"/>
        <w:rPr>
          <w:color w:val="auto"/>
        </w:rPr>
      </w:pPr>
      <w:r w:rsidRPr="009F668F">
        <w:rPr>
          <w:color w:val="auto"/>
        </w:rPr>
        <w:t xml:space="preserve">The issue is that a </w:t>
      </w:r>
      <w:r w:rsidR="0009774E" w:rsidRPr="009F668F">
        <w:rPr>
          <w:color w:val="auto"/>
        </w:rPr>
        <w:t xml:space="preserve">client = </w:t>
      </w:r>
      <w:r w:rsidRPr="009F668F">
        <w:rPr>
          <w:color w:val="auto"/>
        </w:rPr>
        <w:t xml:space="preserve">an </w:t>
      </w:r>
      <w:r w:rsidR="0009774E" w:rsidRPr="009F668F">
        <w:rPr>
          <w:color w:val="auto"/>
        </w:rPr>
        <w:t>omnibus</w:t>
      </w:r>
      <w:r w:rsidRPr="009F668F">
        <w:rPr>
          <w:color w:val="auto"/>
        </w:rPr>
        <w:t xml:space="preserve"> account, Consequently</w:t>
      </w:r>
      <w:r w:rsidR="00A45224" w:rsidRPr="009F668F">
        <w:rPr>
          <w:color w:val="auto"/>
        </w:rPr>
        <w:t>, for the</w:t>
      </w:r>
      <w:r w:rsidR="0009774E" w:rsidRPr="009F668F">
        <w:rPr>
          <w:color w:val="auto"/>
        </w:rPr>
        <w:t xml:space="preserve"> payment </w:t>
      </w:r>
      <w:r w:rsidR="00A45224" w:rsidRPr="009F668F">
        <w:rPr>
          <w:color w:val="auto"/>
        </w:rPr>
        <w:t>: a single</w:t>
      </w:r>
      <w:r w:rsidR="0009774E" w:rsidRPr="009F668F">
        <w:rPr>
          <w:color w:val="auto"/>
        </w:rPr>
        <w:t xml:space="preserve"> MT566 so</w:t>
      </w:r>
      <w:r w:rsidR="00A45224" w:rsidRPr="009F668F">
        <w:rPr>
          <w:color w:val="auto"/>
        </w:rPr>
        <w:t xml:space="preserve"> a</w:t>
      </w:r>
      <w:r w:rsidR="0009774E" w:rsidRPr="009F668F">
        <w:rPr>
          <w:color w:val="auto"/>
        </w:rPr>
        <w:t xml:space="preserve"> breakdown </w:t>
      </w:r>
      <w:r w:rsidR="00A45224" w:rsidRPr="009F668F">
        <w:rPr>
          <w:color w:val="auto"/>
        </w:rPr>
        <w:t xml:space="preserve">is necessary </w:t>
      </w:r>
      <w:r w:rsidR="0009774E" w:rsidRPr="009F668F">
        <w:rPr>
          <w:color w:val="auto"/>
        </w:rPr>
        <w:t xml:space="preserve">to </w:t>
      </w:r>
      <w:r w:rsidR="00A45224" w:rsidRPr="009F668F">
        <w:rPr>
          <w:color w:val="auto"/>
        </w:rPr>
        <w:t xml:space="preserve">be </w:t>
      </w:r>
      <w:r w:rsidR="0009774E" w:rsidRPr="009F668F">
        <w:rPr>
          <w:color w:val="auto"/>
        </w:rPr>
        <w:t>report</w:t>
      </w:r>
      <w:r w:rsidR="00A45224" w:rsidRPr="009F668F">
        <w:rPr>
          <w:color w:val="auto"/>
        </w:rPr>
        <w:t>ed</w:t>
      </w:r>
    </w:p>
    <w:p w:rsidR="0009774E" w:rsidRPr="009F668F" w:rsidRDefault="00A45224" w:rsidP="00EF7F89">
      <w:pPr>
        <w:pStyle w:val="Actions"/>
        <w:rPr>
          <w:color w:val="auto"/>
        </w:rPr>
      </w:pPr>
      <w:r w:rsidRPr="009F668F">
        <w:rPr>
          <w:color w:val="auto"/>
        </w:rPr>
        <w:t>Should we go to manage s</w:t>
      </w:r>
      <w:r w:rsidR="0009774E" w:rsidRPr="009F668F">
        <w:rPr>
          <w:color w:val="auto"/>
        </w:rPr>
        <w:t>everal cashmoves?</w:t>
      </w:r>
    </w:p>
    <w:p w:rsidR="0009774E" w:rsidRPr="009F668F" w:rsidRDefault="00A45224" w:rsidP="00EF7F89">
      <w:pPr>
        <w:pStyle w:val="Actions"/>
        <w:rPr>
          <w:color w:val="auto"/>
        </w:rPr>
      </w:pPr>
      <w:r w:rsidRPr="009F668F">
        <w:rPr>
          <w:color w:val="auto"/>
        </w:rPr>
        <w:t xml:space="preserve">It seems that BBH has already a similar case, </w:t>
      </w:r>
      <w:r w:rsidR="0009774E" w:rsidRPr="009F668F">
        <w:rPr>
          <w:color w:val="auto"/>
        </w:rPr>
        <w:t>Dana will investigate internally</w:t>
      </w:r>
    </w:p>
    <w:p w:rsidR="0009774E" w:rsidRPr="009F668F" w:rsidRDefault="0009774E" w:rsidP="00EF7F89">
      <w:pPr>
        <w:pStyle w:val="Actions"/>
        <w:rPr>
          <w:color w:val="auto"/>
        </w:rPr>
      </w:pPr>
      <w:r w:rsidRPr="009F668F">
        <w:rPr>
          <w:color w:val="auto"/>
        </w:rPr>
        <w:t xml:space="preserve">What Market Practice </w:t>
      </w:r>
      <w:r w:rsidR="00A45224" w:rsidRPr="009F668F">
        <w:rPr>
          <w:color w:val="auto"/>
        </w:rPr>
        <w:t xml:space="preserve">should we put in place </w:t>
      </w:r>
      <w:r w:rsidRPr="009F668F">
        <w:rPr>
          <w:color w:val="auto"/>
        </w:rPr>
        <w:t xml:space="preserve">and how </w:t>
      </w:r>
      <w:r w:rsidR="00A45224" w:rsidRPr="009F668F">
        <w:rPr>
          <w:color w:val="auto"/>
        </w:rPr>
        <w:t xml:space="preserve">should we </w:t>
      </w:r>
      <w:r w:rsidRPr="009F668F">
        <w:rPr>
          <w:color w:val="auto"/>
        </w:rPr>
        <w:t>document the GMP1</w:t>
      </w:r>
      <w:r w:rsidR="00A45224" w:rsidRPr="009F668F">
        <w:rPr>
          <w:color w:val="auto"/>
        </w:rPr>
        <w:t>?</w:t>
      </w:r>
    </w:p>
    <w:p w:rsidR="0009774E" w:rsidRDefault="00A45224" w:rsidP="00EF7F89">
      <w:pPr>
        <w:pStyle w:val="Actions"/>
        <w:rPr>
          <w:color w:val="auto"/>
        </w:rPr>
      </w:pPr>
      <w:r w:rsidRPr="009F668F">
        <w:rPr>
          <w:color w:val="auto"/>
        </w:rPr>
        <w:t xml:space="preserve">For </w:t>
      </w:r>
      <w:r w:rsidR="0009774E" w:rsidRPr="009F668F">
        <w:rPr>
          <w:color w:val="auto"/>
        </w:rPr>
        <w:t xml:space="preserve">Global Custodians linked to BP2S : </w:t>
      </w:r>
      <w:r w:rsidRPr="009F668F">
        <w:rPr>
          <w:color w:val="auto"/>
        </w:rPr>
        <w:t xml:space="preserve">there are </w:t>
      </w:r>
      <w:r w:rsidR="0009774E" w:rsidRPr="009F668F">
        <w:rPr>
          <w:color w:val="auto"/>
        </w:rPr>
        <w:t>several cashmoves</w:t>
      </w:r>
    </w:p>
    <w:p w:rsidR="0009774E" w:rsidRDefault="0009774E" w:rsidP="00EF7F89">
      <w:pPr>
        <w:pStyle w:val="Actions"/>
        <w:rPr>
          <w:color w:val="auto"/>
        </w:rPr>
      </w:pPr>
    </w:p>
    <w:p w:rsidR="006D78FA" w:rsidRPr="00F62B1B" w:rsidRDefault="006D78FA" w:rsidP="006D78FA">
      <w:pPr>
        <w:pStyle w:val="Actions"/>
        <w:rPr>
          <w:lang w:val="en-US"/>
        </w:rPr>
      </w:pPr>
      <w:r w:rsidRPr="00F62B1B">
        <w:rPr>
          <w:b/>
          <w:u w:val="single"/>
          <w:lang w:val="en-US"/>
        </w:rPr>
        <w:t>Action</w:t>
      </w:r>
      <w:r w:rsidRPr="00F62B1B">
        <w:rPr>
          <w:lang w:val="en-US"/>
        </w:rPr>
        <w:t xml:space="preserve">: </w:t>
      </w:r>
    </w:p>
    <w:p w:rsidR="006D78FA" w:rsidRDefault="000319EE" w:rsidP="006D78FA">
      <w:pPr>
        <w:pStyle w:val="Actions"/>
        <w:rPr>
          <w:lang w:val="en-US"/>
        </w:rPr>
      </w:pPr>
      <w:r>
        <w:rPr>
          <w:lang w:val="en-US"/>
        </w:rPr>
        <w:t>Examples to collect</w:t>
      </w:r>
      <w:r w:rsidR="00A45224">
        <w:rPr>
          <w:lang w:val="en-US"/>
        </w:rPr>
        <w:t xml:space="preserve"> by Tax sub-group participants</w:t>
      </w:r>
      <w:r>
        <w:rPr>
          <w:lang w:val="en-US"/>
        </w:rPr>
        <w:t>.</w:t>
      </w:r>
    </w:p>
    <w:p w:rsidR="00E70CF3" w:rsidRDefault="00E70CF3" w:rsidP="00EF7F89">
      <w:pPr>
        <w:pStyle w:val="Actions"/>
        <w:rPr>
          <w:lang w:val="en-US"/>
        </w:rPr>
      </w:pPr>
      <w:r>
        <w:rPr>
          <w:lang w:val="en-US"/>
        </w:rPr>
        <w:t xml:space="preserve">To be discussed within the </w:t>
      </w:r>
      <w:r w:rsidR="009F668F" w:rsidRPr="009F668F">
        <w:rPr>
          <w:lang w:val="en-US"/>
        </w:rPr>
        <w:t xml:space="preserve">CA SMPG </w:t>
      </w:r>
      <w:r>
        <w:rPr>
          <w:lang w:val="en-US"/>
        </w:rPr>
        <w:t>(no</w:t>
      </w:r>
      <w:r w:rsidR="00155CDD">
        <w:rPr>
          <w:lang w:val="en-US"/>
        </w:rPr>
        <w:t>t</w:t>
      </w:r>
      <w:r>
        <w:rPr>
          <w:lang w:val="en-US"/>
        </w:rPr>
        <w:t xml:space="preserve"> covered in Luxemburg due to a lack of time).</w:t>
      </w:r>
    </w:p>
    <w:p w:rsidR="00E24EF7" w:rsidRPr="00E24EF7" w:rsidRDefault="00E24EF7" w:rsidP="00EF7F89">
      <w:pPr>
        <w:pStyle w:val="Actions"/>
        <w:rPr>
          <w:color w:val="auto"/>
          <w:u w:val="single"/>
          <w:lang w:val="en-US"/>
        </w:rPr>
      </w:pPr>
    </w:p>
    <w:p w:rsidR="006D78FA" w:rsidRPr="009F668F" w:rsidRDefault="006D78FA" w:rsidP="00940B62">
      <w:pPr>
        <w:pStyle w:val="Actions"/>
        <w:numPr>
          <w:ilvl w:val="0"/>
          <w:numId w:val="17"/>
        </w:numPr>
        <w:rPr>
          <w:b/>
          <w:color w:val="auto"/>
          <w:u w:val="single"/>
        </w:rPr>
      </w:pPr>
      <w:r w:rsidRPr="009F668F">
        <w:rPr>
          <w:b/>
          <w:color w:val="auto"/>
          <w:u w:val="single"/>
        </w:rPr>
        <w:t>Information about the German Market</w:t>
      </w:r>
    </w:p>
    <w:p w:rsidR="006D78FA" w:rsidRDefault="00E24EF7" w:rsidP="00E70CF3">
      <w:pPr>
        <w:pStyle w:val="Actions"/>
        <w:rPr>
          <w:color w:val="auto"/>
        </w:rPr>
      </w:pPr>
      <w:r w:rsidRPr="00F649AC">
        <w:rPr>
          <w:color w:val="auto"/>
        </w:rPr>
        <w:t>Presentation</w:t>
      </w:r>
      <w:r w:rsidR="00F649AC" w:rsidRPr="00F649AC">
        <w:rPr>
          <w:color w:val="auto"/>
        </w:rPr>
        <w:t xml:space="preserve"> made</w:t>
      </w:r>
      <w:r w:rsidRPr="00F649AC">
        <w:rPr>
          <w:color w:val="auto"/>
        </w:rPr>
        <w:t xml:space="preserve"> by Thomas</w:t>
      </w:r>
      <w:r w:rsidR="00E70CF3" w:rsidRPr="00F649AC">
        <w:rPr>
          <w:color w:val="auto"/>
        </w:rPr>
        <w:t xml:space="preserve"> regarding the </w:t>
      </w:r>
      <w:r w:rsidR="00F649AC" w:rsidRPr="00F649AC">
        <w:rPr>
          <w:color w:val="auto"/>
        </w:rPr>
        <w:t>c</w:t>
      </w:r>
      <w:r w:rsidR="00E70CF3" w:rsidRPr="00F649AC">
        <w:rPr>
          <w:color w:val="auto"/>
        </w:rPr>
        <w:t>hanges of the Tax law (known as new regulation “InvStG”) and a presentation regarding ‘Tax issues’ on T2S</w:t>
      </w:r>
      <w:r w:rsidR="00155CDD" w:rsidRPr="00F649AC">
        <w:rPr>
          <w:color w:val="auto"/>
        </w:rPr>
        <w:t xml:space="preserve"> (focus on Market claims).</w:t>
      </w:r>
    </w:p>
    <w:p w:rsidR="00F649AC" w:rsidRDefault="00F649AC" w:rsidP="00E70CF3">
      <w:pPr>
        <w:pStyle w:val="Actions"/>
        <w:rPr>
          <w:color w:val="auto"/>
        </w:rPr>
      </w:pPr>
      <w:r>
        <w:rPr>
          <w:color w:val="auto"/>
        </w:rPr>
        <w:t>Major highlights:</w:t>
      </w:r>
    </w:p>
    <w:p w:rsidR="00F649AC" w:rsidRDefault="00F649AC" w:rsidP="00F649AC">
      <w:pPr>
        <w:pStyle w:val="Actions"/>
        <w:numPr>
          <w:ilvl w:val="0"/>
          <w:numId w:val="30"/>
        </w:numPr>
        <w:rPr>
          <w:color w:val="auto"/>
        </w:rPr>
      </w:pPr>
      <w:r>
        <w:rPr>
          <w:color w:val="auto"/>
        </w:rPr>
        <w:t xml:space="preserve">No more cash events on accumulation funds </w:t>
      </w:r>
      <w:r w:rsidRPr="00F649AC">
        <w:rPr>
          <w:color w:val="auto"/>
        </w:rPr>
        <w:t>(Thesaurierenden Fonds)</w:t>
      </w:r>
    </w:p>
    <w:p w:rsidR="00F649AC" w:rsidRDefault="00AE2F33" w:rsidP="00F649AC">
      <w:pPr>
        <w:pStyle w:val="Actions"/>
        <w:numPr>
          <w:ilvl w:val="0"/>
          <w:numId w:val="30"/>
        </w:numPr>
        <w:rPr>
          <w:color w:val="auto"/>
        </w:rPr>
      </w:pPr>
      <w:r>
        <w:rPr>
          <w:color w:val="auto"/>
        </w:rPr>
        <w:t>Due to the new rules, there will be some obligations for the foreign investment funds related to the Fund Status Certificate that they will have to manage.</w:t>
      </w:r>
    </w:p>
    <w:p w:rsidR="00AE2F33" w:rsidRDefault="00AE2F33" w:rsidP="00AE2F33">
      <w:pPr>
        <w:pStyle w:val="Actions"/>
        <w:rPr>
          <w:color w:val="auto"/>
        </w:rPr>
      </w:pPr>
      <w:r>
        <w:rPr>
          <w:color w:val="auto"/>
        </w:rPr>
        <w:t>Advantages of the law:</w:t>
      </w:r>
    </w:p>
    <w:p w:rsidR="00AE2F33" w:rsidRDefault="00AE2F33" w:rsidP="00AE2F33">
      <w:pPr>
        <w:pStyle w:val="Actions"/>
        <w:rPr>
          <w:color w:val="auto"/>
        </w:rPr>
      </w:pPr>
      <w:r>
        <w:rPr>
          <w:color w:val="auto"/>
        </w:rPr>
        <w:t>- For shareholders, no more tax for incomes distributed by the fund</w:t>
      </w:r>
    </w:p>
    <w:p w:rsidR="00156917" w:rsidRDefault="00AE2F33" w:rsidP="00AE2F33">
      <w:pPr>
        <w:pStyle w:val="Actions"/>
        <w:rPr>
          <w:color w:val="auto"/>
        </w:rPr>
      </w:pPr>
      <w:r>
        <w:rPr>
          <w:color w:val="auto"/>
        </w:rPr>
        <w:t>- For the fund itself: taxation moving from 26%</w:t>
      </w:r>
      <w:r w:rsidR="00156917">
        <w:rPr>
          <w:color w:val="auto"/>
        </w:rPr>
        <w:t xml:space="preserve"> to 15%</w:t>
      </w:r>
    </w:p>
    <w:p w:rsidR="00156917" w:rsidRDefault="00156917" w:rsidP="00AE2F33">
      <w:pPr>
        <w:pStyle w:val="Actions"/>
        <w:rPr>
          <w:color w:val="auto"/>
        </w:rPr>
      </w:pPr>
    </w:p>
    <w:p w:rsidR="00156917" w:rsidRDefault="00156917" w:rsidP="00AE2F33">
      <w:pPr>
        <w:pStyle w:val="Actions"/>
        <w:rPr>
          <w:color w:val="auto"/>
        </w:rPr>
      </w:pPr>
      <w:r>
        <w:rPr>
          <w:color w:val="auto"/>
        </w:rPr>
        <w:t>More generally, the goal of the new law is to remove the Tax discrimination between German funds vs non-German funds.</w:t>
      </w:r>
    </w:p>
    <w:p w:rsidR="00D66A3E" w:rsidRDefault="00156917" w:rsidP="00AE2F33">
      <w:pPr>
        <w:pStyle w:val="Actions"/>
        <w:rPr>
          <w:color w:val="auto"/>
        </w:rPr>
      </w:pPr>
      <w:r>
        <w:rPr>
          <w:color w:val="auto"/>
        </w:rPr>
        <w:t xml:space="preserve">Open issues: Market claims. Thomas explained that the key point is to identify for whom the transactions have been made. The Custodian can identify the Financial Institutions and not the final client. </w:t>
      </w:r>
      <w:r w:rsidR="00AE2F33">
        <w:rPr>
          <w:color w:val="auto"/>
        </w:rPr>
        <w:t xml:space="preserve"> </w:t>
      </w:r>
      <w:r w:rsidR="00D66A3E">
        <w:rPr>
          <w:color w:val="auto"/>
        </w:rPr>
        <w:t>Current proposal is that Market Claims settle as gross in T2S.</w:t>
      </w:r>
    </w:p>
    <w:p w:rsidR="00AE2F33" w:rsidRPr="00F649AC" w:rsidRDefault="00D66A3E" w:rsidP="00AE2F33">
      <w:pPr>
        <w:pStyle w:val="Actions"/>
        <w:rPr>
          <w:color w:val="auto"/>
        </w:rPr>
      </w:pPr>
      <w:r>
        <w:rPr>
          <w:color w:val="auto"/>
        </w:rPr>
        <w:t xml:space="preserve">FAQ related to the new law should be published by German authorities. </w:t>
      </w:r>
    </w:p>
    <w:p w:rsidR="00F649AC" w:rsidRPr="00155CDD" w:rsidRDefault="00F649AC" w:rsidP="00E70CF3">
      <w:pPr>
        <w:pStyle w:val="Actions"/>
        <w:rPr>
          <w:color w:val="auto"/>
          <w:highlight w:val="green"/>
        </w:rPr>
      </w:pPr>
    </w:p>
    <w:p w:rsidR="00CD02B5" w:rsidRDefault="00D66A3E" w:rsidP="00E70CF3">
      <w:pPr>
        <w:pStyle w:val="Actions"/>
        <w:rPr>
          <w:color w:val="auto"/>
        </w:rPr>
      </w:pPr>
      <w:r>
        <w:rPr>
          <w:color w:val="auto"/>
        </w:rPr>
        <w:object w:dxaOrig="1550" w:dyaOrig="991">
          <v:shape id="_x0000_i1029" type="#_x0000_t75" style="width:77.25pt;height:49.5pt" o:ole="">
            <v:imagedata r:id="rId20" o:title=""/>
          </v:shape>
          <o:OLEObject Type="Embed" ProgID="AcroExch.Document.2017" ShapeID="_x0000_i1029" DrawAspect="Icon" ObjectID="_1586795089" r:id="rId21"/>
        </w:object>
      </w:r>
      <w:r w:rsidR="00CD02B5">
        <w:rPr>
          <w:color w:val="auto"/>
        </w:rPr>
        <w:tab/>
      </w:r>
      <w:r>
        <w:rPr>
          <w:color w:val="auto"/>
        </w:rPr>
        <w:object w:dxaOrig="1550" w:dyaOrig="991">
          <v:shape id="_x0000_i1030" type="#_x0000_t75" style="width:77.25pt;height:49.5pt" o:ole="">
            <v:imagedata r:id="rId22" o:title=""/>
          </v:shape>
          <o:OLEObject Type="Embed" ProgID="AcroExch.Document.2017" ShapeID="_x0000_i1030" DrawAspect="Icon" ObjectID="_1586795090" r:id="rId23"/>
        </w:object>
      </w:r>
    </w:p>
    <w:p w:rsidR="00E70CF3" w:rsidRPr="00F62B1B" w:rsidRDefault="00E70CF3" w:rsidP="00E70CF3">
      <w:pPr>
        <w:pStyle w:val="Actions"/>
        <w:rPr>
          <w:lang w:val="en-US"/>
        </w:rPr>
      </w:pPr>
      <w:r w:rsidRPr="00F62B1B">
        <w:rPr>
          <w:b/>
          <w:u w:val="single"/>
          <w:lang w:val="en-US"/>
        </w:rPr>
        <w:t>Action</w:t>
      </w:r>
      <w:r w:rsidRPr="00F62B1B">
        <w:rPr>
          <w:lang w:val="en-US"/>
        </w:rPr>
        <w:t xml:space="preserve">: </w:t>
      </w:r>
    </w:p>
    <w:p w:rsidR="00E70CF3" w:rsidRDefault="00F649AC" w:rsidP="00E70CF3">
      <w:pPr>
        <w:pStyle w:val="Actions"/>
        <w:rPr>
          <w:lang w:val="en-US"/>
        </w:rPr>
      </w:pPr>
      <w:r>
        <w:rPr>
          <w:lang w:val="en-US"/>
        </w:rPr>
        <w:t xml:space="preserve">Any question </w:t>
      </w:r>
      <w:r w:rsidR="00D66A3E">
        <w:rPr>
          <w:lang w:val="en-US"/>
        </w:rPr>
        <w:t>on the new law can be raised directly to Thomas or via Jyi-Chen / Jean-Pierre</w:t>
      </w:r>
    </w:p>
    <w:p w:rsidR="00155CDD" w:rsidRDefault="00155CDD" w:rsidP="00E70CF3">
      <w:pPr>
        <w:pStyle w:val="Actions"/>
        <w:rPr>
          <w:lang w:val="en-US"/>
        </w:rPr>
      </w:pPr>
    </w:p>
    <w:p w:rsidR="00E60462" w:rsidRDefault="00E60462" w:rsidP="00EF7F89">
      <w:pPr>
        <w:pStyle w:val="Heading1"/>
        <w:numPr>
          <w:ilvl w:val="0"/>
          <w:numId w:val="0"/>
        </w:numPr>
      </w:pPr>
      <w:bookmarkStart w:id="17" w:name="_Toc513052710"/>
      <w:r>
        <w:t xml:space="preserve">Next </w:t>
      </w:r>
      <w:r w:rsidR="00AC3C0E">
        <w:t>Conference Call</w:t>
      </w:r>
      <w:bookmarkEnd w:id="17"/>
    </w:p>
    <w:p w:rsidR="00AF12D0" w:rsidRDefault="00AF12D0" w:rsidP="0026493B">
      <w:pPr>
        <w:pStyle w:val="ListParagraph"/>
        <w:rPr>
          <w:bCs/>
          <w:iCs/>
          <w:sz w:val="20"/>
        </w:rPr>
      </w:pPr>
    </w:p>
    <w:p w:rsidR="00D66A3E" w:rsidRPr="000842AD" w:rsidRDefault="00D66A3E" w:rsidP="00D66A3E">
      <w:r>
        <w:t>- Thursday   3</w:t>
      </w:r>
      <w:r w:rsidRPr="00D66A3E">
        <w:rPr>
          <w:vertAlign w:val="superscript"/>
        </w:rPr>
        <w:t>rd</w:t>
      </w:r>
      <w:r>
        <w:t xml:space="preserve"> May 2018</w:t>
      </w:r>
      <w:r w:rsidR="00A2097D" w:rsidRPr="00A2097D">
        <w:rPr>
          <w:lang w:val="en-AU"/>
        </w:rPr>
        <w:t xml:space="preserve"> </w:t>
      </w:r>
      <w:r w:rsidR="00A2097D" w:rsidRPr="00E277AC">
        <w:rPr>
          <w:lang w:val="en-AU"/>
        </w:rPr>
        <w:t>from 2 to 4 pm CET</w:t>
      </w:r>
    </w:p>
    <w:p w:rsidR="002A6142" w:rsidRPr="00FC0782" w:rsidRDefault="002A6142" w:rsidP="0018110E">
      <w:pPr>
        <w:rPr>
          <w:bCs/>
          <w:iCs/>
        </w:rPr>
      </w:pPr>
    </w:p>
    <w:bookmarkEnd w:id="4"/>
    <w:bookmarkEnd w:id="5"/>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24"/>
      <w:headerReference w:type="default" r:id="rId25"/>
      <w:footerReference w:type="even" r:id="rId26"/>
      <w:footerReference w:type="default" r:id="rId27"/>
      <w:headerReference w:type="first" r:id="rId28"/>
      <w:footerReference w:type="first" r:id="rId29"/>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E7C" w:rsidRDefault="00F61E7C" w:rsidP="00592037">
      <w:r>
        <w:separator/>
      </w:r>
    </w:p>
    <w:p w:rsidR="00F61E7C" w:rsidRDefault="00F61E7C" w:rsidP="00592037"/>
  </w:endnote>
  <w:endnote w:type="continuationSeparator" w:id="0">
    <w:p w:rsidR="00F61E7C" w:rsidRDefault="00F61E7C" w:rsidP="00592037">
      <w:r>
        <w:continuationSeparator/>
      </w:r>
    </w:p>
    <w:p w:rsidR="00F61E7C" w:rsidRDefault="00F61E7C"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0E6" w:rsidRDefault="001800E6" w:rsidP="001800E6">
    <w:pPr>
      <w:pStyle w:val="Footer"/>
      <w:spacing w:after="0"/>
      <w:rPr>
        <w:color w:val="000000"/>
        <w:sz w:val="18"/>
      </w:rPr>
    </w:pPr>
    <w:bookmarkStart w:id="18" w:name="SSCStd1FooterEvenPages"/>
    <w:r w:rsidRPr="001800E6">
      <w:rPr>
        <w:color w:val="000000"/>
        <w:sz w:val="18"/>
      </w:rPr>
      <w:t>Information Classification: General</w:t>
    </w:r>
  </w:p>
  <w:bookmarkEnd w:id="18"/>
  <w:p w:rsidR="00087C38" w:rsidRDefault="00087C38">
    <w:pPr>
      <w:pStyle w:val="Footer"/>
    </w:pPr>
    <w:r>
      <w:tab/>
      <w:t xml:space="preserve">Page </w:t>
    </w:r>
    <w:r>
      <w:fldChar w:fldCharType="begin"/>
    </w:r>
    <w:r>
      <w:instrText xml:space="preserve"> PAGE   \* MERGEFORMAT </w:instrText>
    </w:r>
    <w:r>
      <w:fldChar w:fldCharType="separate"/>
    </w:r>
    <w:r w:rsidR="001800E6">
      <w:rPr>
        <w:noProof/>
      </w:rPr>
      <w:t>4</w:t>
    </w:r>
    <w:r>
      <w:rPr>
        <w:noProof/>
      </w:rPr>
      <w:fldChar w:fldCharType="end"/>
    </w:r>
  </w:p>
  <w:p w:rsidR="00087C38" w:rsidRDefault="00087C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0E6" w:rsidRDefault="001800E6" w:rsidP="001800E6">
    <w:pPr>
      <w:pStyle w:val="Footer"/>
      <w:spacing w:after="0"/>
      <w:rPr>
        <w:color w:val="000000"/>
        <w:sz w:val="18"/>
      </w:rPr>
    </w:pPr>
    <w:bookmarkStart w:id="19" w:name="SSCStd1FooterPrimary"/>
    <w:r w:rsidRPr="001800E6">
      <w:rPr>
        <w:color w:val="000000"/>
        <w:sz w:val="18"/>
      </w:rPr>
      <w:t>Information Classification: General</w:t>
    </w:r>
  </w:p>
  <w:bookmarkEnd w:id="19"/>
  <w:p w:rsidR="00087C38" w:rsidRDefault="00087C38">
    <w:pPr>
      <w:pStyle w:val="Footer"/>
    </w:pPr>
    <w:r>
      <w:tab/>
      <w:t xml:space="preserve">Page </w:t>
    </w:r>
    <w:r>
      <w:fldChar w:fldCharType="begin"/>
    </w:r>
    <w:r>
      <w:instrText xml:space="preserve"> PAGE   \* MERGEFORMAT </w:instrText>
    </w:r>
    <w:r>
      <w:fldChar w:fldCharType="separate"/>
    </w:r>
    <w:r w:rsidR="001800E6">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787" w:rsidRDefault="00E85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E7C" w:rsidRDefault="00F61E7C" w:rsidP="00592037">
      <w:r>
        <w:separator/>
      </w:r>
    </w:p>
    <w:p w:rsidR="00F61E7C" w:rsidRDefault="00F61E7C" w:rsidP="00592037"/>
  </w:footnote>
  <w:footnote w:type="continuationSeparator" w:id="0">
    <w:p w:rsidR="00F61E7C" w:rsidRDefault="00F61E7C" w:rsidP="00592037">
      <w:r>
        <w:continuationSeparator/>
      </w:r>
    </w:p>
    <w:p w:rsidR="00F61E7C" w:rsidRDefault="00F61E7C"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sidR="00E85787">
      <w:rPr>
        <w:b/>
      </w:rPr>
      <w:t>March</w:t>
    </w:r>
    <w:r>
      <w:rPr>
        <w:b/>
      </w:rPr>
      <w:t xml:space="preserve"> 15</w:t>
    </w:r>
    <w:r w:rsidRPr="00337524">
      <w:rPr>
        <w:b/>
        <w:vertAlign w:val="superscript"/>
      </w:rPr>
      <w:t>th</w:t>
    </w:r>
    <w:r>
      <w:rPr>
        <w:b/>
      </w:rPr>
      <w:t>, 201</w:t>
    </w:r>
    <w:r w:rsidR="00E85787">
      <w:rPr>
        <w:b/>
      </w:rPr>
      <w:t>8</w:t>
    </w:r>
  </w:p>
  <w:p w:rsidR="00087C38" w:rsidRPr="00B747C8" w:rsidRDefault="00087C38" w:rsidP="00B747C8">
    <w:pPr>
      <w:ind w:left="6480" w:firstLine="720"/>
      <w:rPr>
        <w:b/>
      </w:rPr>
    </w:pPr>
  </w:p>
  <w:p w:rsidR="00087C38" w:rsidRDefault="00087C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sidR="00E85787">
      <w:rPr>
        <w:b/>
      </w:rPr>
      <w:t>March</w:t>
    </w:r>
    <w:r w:rsidR="00125EFA">
      <w:rPr>
        <w:b/>
      </w:rPr>
      <w:t xml:space="preserve"> </w:t>
    </w:r>
    <w:r w:rsidR="0051531C">
      <w:rPr>
        <w:b/>
      </w:rPr>
      <w:t>1</w:t>
    </w:r>
    <w:r w:rsidR="00E85787">
      <w:rPr>
        <w:b/>
      </w:rPr>
      <w:t>5</w:t>
    </w:r>
    <w:r w:rsidR="0051531C">
      <w:rPr>
        <w:b/>
      </w:rPr>
      <w:t>th</w:t>
    </w:r>
    <w:r>
      <w:rPr>
        <w:b/>
      </w:rPr>
      <w:t>, 201</w:t>
    </w:r>
    <w:r w:rsidR="0051531C">
      <w:rPr>
        <w:b/>
      </w:rPr>
      <w:t>8</w:t>
    </w:r>
  </w:p>
  <w:p w:rsidR="00087C38" w:rsidRPr="00B747C8" w:rsidRDefault="00087C38" w:rsidP="00B747C8">
    <w:pPr>
      <w:ind w:left="6480" w:firstLine="720"/>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787" w:rsidRDefault="00E857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7EA8"/>
    <w:multiLevelType w:val="hybridMultilevel"/>
    <w:tmpl w:val="2424CD0E"/>
    <w:lvl w:ilvl="0" w:tplc="E1B2F810">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16159"/>
    <w:multiLevelType w:val="hybridMultilevel"/>
    <w:tmpl w:val="A87E77F6"/>
    <w:lvl w:ilvl="0" w:tplc="7DF0D73C">
      <w:numFmt w:val="bullet"/>
      <w:lvlText w:val=""/>
      <w:lvlJc w:val="left"/>
      <w:pPr>
        <w:ind w:left="720" w:hanging="360"/>
      </w:pPr>
      <w:rPr>
        <w:rFonts w:ascii="Wingdings" w:eastAsia="Times New Roman" w:hAnsi="Wingdings" w:cs="Arial"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9CB35E5"/>
    <w:multiLevelType w:val="hybridMultilevel"/>
    <w:tmpl w:val="A2288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A400663"/>
    <w:multiLevelType w:val="hybridMultilevel"/>
    <w:tmpl w:val="D5EA2E48"/>
    <w:lvl w:ilvl="0" w:tplc="07767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2">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1F57CA"/>
    <w:multiLevelType w:val="hybridMultilevel"/>
    <w:tmpl w:val="BA9C61AA"/>
    <w:lvl w:ilvl="0" w:tplc="53C893E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205A43"/>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54FF7B02"/>
    <w:multiLevelType w:val="hybridMultilevel"/>
    <w:tmpl w:val="1062D284"/>
    <w:lvl w:ilvl="0" w:tplc="DEAC2306">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6DD5F06"/>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AF50F4"/>
    <w:multiLevelType w:val="hybridMultilevel"/>
    <w:tmpl w:val="20583CCE"/>
    <w:lvl w:ilvl="0" w:tplc="E41A55DA">
      <w:numFmt w:val="bullet"/>
      <w:lvlText w:val=""/>
      <w:lvlJc w:val="left"/>
      <w:pPr>
        <w:ind w:left="720" w:hanging="360"/>
      </w:pPr>
      <w:rPr>
        <w:rFonts w:ascii="Wingdings" w:eastAsia="Times New Roman" w:hAnsi="Wingdings"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1"/>
  </w:num>
  <w:num w:numId="3">
    <w:abstractNumId w:val="6"/>
  </w:num>
  <w:num w:numId="4">
    <w:abstractNumId w:val="2"/>
  </w:num>
  <w:num w:numId="5">
    <w:abstractNumId w:val="19"/>
  </w:num>
  <w:num w:numId="6">
    <w:abstractNumId w:val="18"/>
  </w:num>
  <w:num w:numId="7">
    <w:abstractNumId w:val="15"/>
  </w:num>
  <w:num w:numId="8">
    <w:abstractNumId w:val="9"/>
  </w:num>
  <w:num w:numId="9">
    <w:abstractNumId w:val="25"/>
  </w:num>
  <w:num w:numId="10">
    <w:abstractNumId w:val="22"/>
  </w:num>
  <w:num w:numId="11">
    <w:abstractNumId w:val="5"/>
  </w:num>
  <w:num w:numId="12">
    <w:abstractNumId w:val="20"/>
  </w:num>
  <w:num w:numId="13">
    <w:abstractNumId w:val="21"/>
  </w:num>
  <w:num w:numId="14">
    <w:abstractNumId w:val="8"/>
  </w:num>
  <w:num w:numId="15">
    <w:abstractNumId w:val="4"/>
  </w:num>
  <w:num w:numId="16">
    <w:abstractNumId w:val="26"/>
  </w:num>
  <w:num w:numId="17">
    <w:abstractNumId w:val="23"/>
  </w:num>
  <w:num w:numId="18">
    <w:abstractNumId w:val="14"/>
  </w:num>
  <w:num w:numId="19">
    <w:abstractNumId w:val="13"/>
  </w:num>
  <w:num w:numId="20">
    <w:abstractNumId w:val="2"/>
  </w:num>
  <w:num w:numId="21">
    <w:abstractNumId w:val="10"/>
  </w:num>
  <w:num w:numId="22">
    <w:abstractNumId w:val="12"/>
  </w:num>
  <w:num w:numId="23">
    <w:abstractNumId w:val="2"/>
  </w:num>
  <w:num w:numId="24">
    <w:abstractNumId w:val="2"/>
  </w:num>
  <w:num w:numId="25">
    <w:abstractNumId w:val="0"/>
  </w:num>
  <w:num w:numId="26">
    <w:abstractNumId w:val="16"/>
  </w:num>
  <w:num w:numId="27">
    <w:abstractNumId w:val="1"/>
  </w:num>
  <w:num w:numId="28">
    <w:abstractNumId w:val="24"/>
  </w:num>
  <w:num w:numId="29">
    <w:abstractNumId w:val="2"/>
  </w:num>
  <w:num w:numId="30">
    <w:abstractNumId w:val="7"/>
  </w:num>
  <w:num w:numId="31">
    <w:abstractNumId w:val="3"/>
  </w:num>
  <w:num w:numId="3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B7F95"/>
    <w:rsid w:val="000C0868"/>
    <w:rsid w:val="000C103C"/>
    <w:rsid w:val="000C15E7"/>
    <w:rsid w:val="000C29FB"/>
    <w:rsid w:val="000C314C"/>
    <w:rsid w:val="000C442B"/>
    <w:rsid w:val="000C5A2C"/>
    <w:rsid w:val="000D0384"/>
    <w:rsid w:val="000D04FB"/>
    <w:rsid w:val="000D0C64"/>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4F6"/>
    <w:rsid w:val="000E4ABD"/>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19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009"/>
    <w:rsid w:val="00155A05"/>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6C8"/>
    <w:rsid w:val="00167719"/>
    <w:rsid w:val="00167ADC"/>
    <w:rsid w:val="001712B1"/>
    <w:rsid w:val="00171BF1"/>
    <w:rsid w:val="0017306F"/>
    <w:rsid w:val="00174310"/>
    <w:rsid w:val="001753F9"/>
    <w:rsid w:val="001775DF"/>
    <w:rsid w:val="001800E6"/>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E0B"/>
    <w:rsid w:val="0025223A"/>
    <w:rsid w:val="002533BB"/>
    <w:rsid w:val="002549AE"/>
    <w:rsid w:val="00254E98"/>
    <w:rsid w:val="00257190"/>
    <w:rsid w:val="0025798E"/>
    <w:rsid w:val="00260B07"/>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61CF"/>
    <w:rsid w:val="00326BA7"/>
    <w:rsid w:val="00327C15"/>
    <w:rsid w:val="00330A55"/>
    <w:rsid w:val="00330C7E"/>
    <w:rsid w:val="0033211A"/>
    <w:rsid w:val="003324B4"/>
    <w:rsid w:val="00332F91"/>
    <w:rsid w:val="00333A87"/>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65D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359F"/>
    <w:rsid w:val="004E4036"/>
    <w:rsid w:val="004E4BA3"/>
    <w:rsid w:val="004E616F"/>
    <w:rsid w:val="004E62F4"/>
    <w:rsid w:val="004E646D"/>
    <w:rsid w:val="004E7261"/>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715F"/>
    <w:rsid w:val="00530BA3"/>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1FBF"/>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3869"/>
    <w:rsid w:val="00625958"/>
    <w:rsid w:val="00631595"/>
    <w:rsid w:val="00633D1E"/>
    <w:rsid w:val="006341E8"/>
    <w:rsid w:val="00634CFC"/>
    <w:rsid w:val="00635105"/>
    <w:rsid w:val="0063519F"/>
    <w:rsid w:val="00635ECA"/>
    <w:rsid w:val="006364A8"/>
    <w:rsid w:val="006366E2"/>
    <w:rsid w:val="00636A0D"/>
    <w:rsid w:val="0064140F"/>
    <w:rsid w:val="00642BC1"/>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B08"/>
    <w:rsid w:val="00665D03"/>
    <w:rsid w:val="00667524"/>
    <w:rsid w:val="00667717"/>
    <w:rsid w:val="0066790E"/>
    <w:rsid w:val="00667989"/>
    <w:rsid w:val="0067001A"/>
    <w:rsid w:val="00671693"/>
    <w:rsid w:val="006728F8"/>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47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D78FA"/>
    <w:rsid w:val="006E15A0"/>
    <w:rsid w:val="006E1767"/>
    <w:rsid w:val="006E1BB8"/>
    <w:rsid w:val="006E20C9"/>
    <w:rsid w:val="006E4B9C"/>
    <w:rsid w:val="006E5035"/>
    <w:rsid w:val="006E57B9"/>
    <w:rsid w:val="006E5FAB"/>
    <w:rsid w:val="006E6E56"/>
    <w:rsid w:val="006E7E0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3AB4"/>
    <w:rsid w:val="00734DE6"/>
    <w:rsid w:val="007359F5"/>
    <w:rsid w:val="0073707E"/>
    <w:rsid w:val="0073772C"/>
    <w:rsid w:val="00737BF1"/>
    <w:rsid w:val="0074191F"/>
    <w:rsid w:val="00742ADC"/>
    <w:rsid w:val="00743759"/>
    <w:rsid w:val="00743766"/>
    <w:rsid w:val="00743D57"/>
    <w:rsid w:val="007444CA"/>
    <w:rsid w:val="00745404"/>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96602"/>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E7E59"/>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2E24"/>
    <w:rsid w:val="00903C46"/>
    <w:rsid w:val="009041CF"/>
    <w:rsid w:val="00905C84"/>
    <w:rsid w:val="009064AF"/>
    <w:rsid w:val="009064BC"/>
    <w:rsid w:val="00906EB5"/>
    <w:rsid w:val="009072EB"/>
    <w:rsid w:val="009104DB"/>
    <w:rsid w:val="0091181A"/>
    <w:rsid w:val="009119AB"/>
    <w:rsid w:val="009122A6"/>
    <w:rsid w:val="009127BC"/>
    <w:rsid w:val="00912DEA"/>
    <w:rsid w:val="00914100"/>
    <w:rsid w:val="00914EE6"/>
    <w:rsid w:val="009168ED"/>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659"/>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B34"/>
    <w:rsid w:val="00A11D42"/>
    <w:rsid w:val="00A129A4"/>
    <w:rsid w:val="00A1308D"/>
    <w:rsid w:val="00A13549"/>
    <w:rsid w:val="00A16682"/>
    <w:rsid w:val="00A2097D"/>
    <w:rsid w:val="00A2179F"/>
    <w:rsid w:val="00A22B3A"/>
    <w:rsid w:val="00A232E0"/>
    <w:rsid w:val="00A233BB"/>
    <w:rsid w:val="00A24769"/>
    <w:rsid w:val="00A24AA4"/>
    <w:rsid w:val="00A2517A"/>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38C7"/>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2F33"/>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146"/>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6BC6"/>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3D87"/>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C89"/>
    <w:rsid w:val="00C04F31"/>
    <w:rsid w:val="00C04F50"/>
    <w:rsid w:val="00C050EC"/>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66AF"/>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16BCF"/>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847"/>
    <w:rsid w:val="00D5465F"/>
    <w:rsid w:val="00D54E0D"/>
    <w:rsid w:val="00D55818"/>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6A3E"/>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2DFA"/>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7D2"/>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CF3"/>
    <w:rsid w:val="00E70E7D"/>
    <w:rsid w:val="00E7119E"/>
    <w:rsid w:val="00E71632"/>
    <w:rsid w:val="00E73BDD"/>
    <w:rsid w:val="00E747CA"/>
    <w:rsid w:val="00E80485"/>
    <w:rsid w:val="00E81D81"/>
    <w:rsid w:val="00E82007"/>
    <w:rsid w:val="00E82056"/>
    <w:rsid w:val="00E82181"/>
    <w:rsid w:val="00E83286"/>
    <w:rsid w:val="00E83D92"/>
    <w:rsid w:val="00E8461C"/>
    <w:rsid w:val="00E8505E"/>
    <w:rsid w:val="00E85094"/>
    <w:rsid w:val="00E85420"/>
    <w:rsid w:val="00E85593"/>
    <w:rsid w:val="00E85787"/>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5F7"/>
    <w:rsid w:val="00EE0AC8"/>
    <w:rsid w:val="00EE1123"/>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F5"/>
    <w:rsid w:val="00F358E8"/>
    <w:rsid w:val="00F40A7D"/>
    <w:rsid w:val="00F4133C"/>
    <w:rsid w:val="00F413AB"/>
    <w:rsid w:val="00F42AEB"/>
    <w:rsid w:val="00F42F2A"/>
    <w:rsid w:val="00F43945"/>
    <w:rsid w:val="00F43B5B"/>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344"/>
    <w:rsid w:val="00F958BE"/>
    <w:rsid w:val="00F960AE"/>
    <w:rsid w:val="00F968D1"/>
    <w:rsid w:val="00F96A82"/>
    <w:rsid w:val="00FA0149"/>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oleObject" Target="embeddings/oleObject2.bin"/><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package" Target="embeddings/Microsoft_PowerPoint_Presentation4.ppt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63913-84B3-4C28-B436-B4D1E39B5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1858</Words>
  <Characters>9203</Characters>
  <Application>Microsoft Office Word</Application>
  <DocSecurity>0</DocSecurity>
  <Lines>440</Lines>
  <Paragraphs>278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10819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General</cp:keywords>
  <cp:lastModifiedBy>KLAK, Jean-Pierre</cp:lastModifiedBy>
  <cp:revision>4</cp:revision>
  <cp:lastPrinted>2018-05-02T17:38:00Z</cp:lastPrinted>
  <dcterms:created xsi:type="dcterms:W3CDTF">2018-05-02T17:29:00Z</dcterms:created>
  <dcterms:modified xsi:type="dcterms:W3CDTF">2018-05-02T17:38:00Z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72aeffc5-f9ab-4683-a7d3-080d6b2b85cf</vt:lpwstr>
  </property>
  <property fmtid="{D5CDD505-2E9C-101B-9397-08002B2CF9AE}" pid="4" name="SSCClassification">
    <vt:lpwstr>G</vt:lpwstr>
  </property>
  <property fmtid="{D5CDD505-2E9C-101B-9397-08002B2CF9AE}" pid="5" name="SSCVisualMarks">
    <vt:lpwstr>Y</vt:lpwstr>
  </property>
</Properties>
</file>