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ppt" ContentType="application/vnd.ms-powerpoint"/>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462" w:rsidRPr="007A69C8" w:rsidRDefault="00E60462" w:rsidP="00592037">
      <w:pPr>
        <w:rPr>
          <w:lang w:val="en-GB"/>
        </w:rPr>
      </w:pPr>
      <w:r>
        <w:rPr>
          <w:lang w:val="en-GB"/>
        </w:rPr>
        <w:tab/>
      </w:r>
    </w:p>
    <w:p w:rsidR="00E60462" w:rsidRPr="007A69C8" w:rsidRDefault="00B747C8" w:rsidP="00B747C8">
      <w:pPr>
        <w:ind w:left="1440"/>
        <w:rPr>
          <w:lang w:val="en-GB"/>
        </w:rPr>
      </w:pPr>
      <w:r>
        <w:rPr>
          <w:noProof/>
        </w:rPr>
        <w:drawing>
          <wp:inline distT="0" distB="0" distL="0" distR="0" wp14:anchorId="3BA113D9" wp14:editId="2D835076">
            <wp:extent cx="4030013" cy="188595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4632" cy="1888112"/>
                    </a:xfrm>
                    <a:prstGeom prst="rect">
                      <a:avLst/>
                    </a:prstGeom>
                    <a:noFill/>
                    <a:ln>
                      <a:noFill/>
                    </a:ln>
                  </pic:spPr>
                </pic:pic>
              </a:graphicData>
            </a:graphic>
          </wp:inline>
        </w:drawing>
      </w: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Pr="007A69C8" w:rsidRDefault="00B747C8" w:rsidP="00592037">
      <w:pPr>
        <w:rPr>
          <w:lang w:val="en-GB"/>
        </w:rPr>
      </w:pPr>
    </w:p>
    <w:p w:rsidR="00E60462" w:rsidRPr="007A69C8" w:rsidRDefault="00E60462" w:rsidP="00A738EA">
      <w:pPr>
        <w:pStyle w:val="Header"/>
        <w:rPr>
          <w:lang w:val="en-GB"/>
        </w:rPr>
      </w:pPr>
      <w:r w:rsidRPr="007A69C8">
        <w:rPr>
          <w:lang w:val="en-GB"/>
        </w:rPr>
        <w:t xml:space="preserve">SMPG </w:t>
      </w:r>
      <w:r>
        <w:rPr>
          <w:lang w:val="en-GB"/>
        </w:rPr>
        <w:t>–</w:t>
      </w:r>
      <w:r w:rsidRPr="007A69C8">
        <w:rPr>
          <w:lang w:val="en-GB"/>
        </w:rPr>
        <w:t xml:space="preserve"> </w:t>
      </w:r>
      <w:r>
        <w:rPr>
          <w:lang w:val="en-GB"/>
        </w:rPr>
        <w:t>Tax sub-group</w:t>
      </w:r>
    </w:p>
    <w:p w:rsidR="00E60462" w:rsidRPr="007A69C8" w:rsidRDefault="00E60462" w:rsidP="00A738EA">
      <w:pPr>
        <w:pStyle w:val="Header"/>
        <w:rPr>
          <w:lang w:val="en-GB"/>
        </w:rPr>
      </w:pPr>
      <w:r>
        <w:rPr>
          <w:lang w:val="en-GB"/>
        </w:rPr>
        <w:t>Telephone Conference Minutes</w:t>
      </w:r>
    </w:p>
    <w:p w:rsidR="00E60462" w:rsidRDefault="0002259B" w:rsidP="00A738EA">
      <w:pPr>
        <w:pStyle w:val="Header"/>
        <w:rPr>
          <w:lang w:val="en-GB"/>
        </w:rPr>
      </w:pPr>
      <w:r>
        <w:rPr>
          <w:lang w:val="en-GB"/>
        </w:rPr>
        <w:t>1</w:t>
      </w:r>
      <w:r w:rsidR="00337524">
        <w:rPr>
          <w:lang w:val="en-GB"/>
        </w:rPr>
        <w:t>6</w:t>
      </w:r>
      <w:r w:rsidR="00337524" w:rsidRPr="00337524">
        <w:rPr>
          <w:vertAlign w:val="superscript"/>
          <w:lang w:val="en-GB"/>
        </w:rPr>
        <w:t>th</w:t>
      </w:r>
      <w:r w:rsidR="00337524">
        <w:rPr>
          <w:lang w:val="en-GB"/>
        </w:rPr>
        <w:t xml:space="preserve"> </w:t>
      </w:r>
      <w:r>
        <w:rPr>
          <w:lang w:val="en-GB"/>
        </w:rPr>
        <w:t>March</w:t>
      </w:r>
      <w:r w:rsidR="00337524">
        <w:rPr>
          <w:lang w:val="en-GB"/>
        </w:rPr>
        <w:t xml:space="preserve"> 2017</w:t>
      </w:r>
    </w:p>
    <w:p w:rsidR="00FA0149" w:rsidRDefault="00FA0149" w:rsidP="00A738EA">
      <w:pPr>
        <w:pStyle w:val="Header"/>
        <w:rPr>
          <w:lang w:val="en-GB"/>
        </w:rPr>
      </w:pPr>
      <w:r>
        <w:rPr>
          <w:lang w:val="en-GB"/>
        </w:rPr>
        <w:t>and</w:t>
      </w:r>
    </w:p>
    <w:p w:rsidR="00FA0149" w:rsidRPr="007A69C8" w:rsidRDefault="00FA0149" w:rsidP="00FA0149">
      <w:pPr>
        <w:pStyle w:val="Header"/>
        <w:rPr>
          <w:lang w:val="en-GB"/>
        </w:rPr>
      </w:pPr>
      <w:r>
        <w:rPr>
          <w:lang w:val="en-GB"/>
        </w:rPr>
        <w:t>April SMPG updates</w:t>
      </w:r>
    </w:p>
    <w:p w:rsidR="00E60462" w:rsidRPr="00C10F02" w:rsidRDefault="00E60462" w:rsidP="00592037">
      <w:pPr>
        <w:rPr>
          <w:lang w:val="en-GB"/>
        </w:rPr>
      </w:pPr>
    </w:p>
    <w:p w:rsidR="00E60462" w:rsidRPr="00C10F0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Pr="00C10F02"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E60462" w:rsidRPr="00C10F02" w:rsidRDefault="001C5BDD" w:rsidP="00592037">
      <w:pPr>
        <w:rPr>
          <w:lang w:val="en-GB"/>
        </w:rPr>
      </w:pPr>
      <w:r>
        <w:rPr>
          <w:lang w:val="en-GB"/>
        </w:rPr>
        <w:t>Publication:</w:t>
      </w:r>
      <w:r w:rsidR="00EF7F89">
        <w:rPr>
          <w:lang w:val="en-GB"/>
        </w:rPr>
        <w:t xml:space="preserve"> </w:t>
      </w:r>
      <w:r w:rsidR="00FA0149">
        <w:rPr>
          <w:lang w:val="en-GB"/>
        </w:rPr>
        <w:t>June</w:t>
      </w:r>
      <w:r w:rsidR="00270D0A">
        <w:rPr>
          <w:lang w:val="en-GB"/>
        </w:rPr>
        <w:t xml:space="preserve"> 2017</w:t>
      </w:r>
    </w:p>
    <w:p w:rsidR="00E60462" w:rsidRDefault="00E60462" w:rsidP="00592037">
      <w:pPr>
        <w:pStyle w:val="Title1"/>
      </w:pPr>
      <w:bookmarkStart w:id="0" w:name="_Toc54501830"/>
    </w:p>
    <w:p w:rsidR="00E60462" w:rsidRDefault="00E60462" w:rsidP="00592037">
      <w:pPr>
        <w:pStyle w:val="Title1"/>
      </w:pPr>
    </w:p>
    <w:p w:rsidR="00E60462" w:rsidRDefault="00E60462" w:rsidP="00592037">
      <w:pPr>
        <w:pStyle w:val="Title1"/>
      </w:pPr>
      <w:r>
        <w:lastRenderedPageBreak/>
        <w:t>Table of Contents</w:t>
      </w:r>
    </w:p>
    <w:bookmarkStart w:id="1" w:name="_GoBack"/>
    <w:bookmarkEnd w:id="1"/>
    <w:p w:rsidR="00964659" w:rsidRDefault="00E60462">
      <w:pPr>
        <w:pStyle w:val="TOC1"/>
        <w:rPr>
          <w:rFonts w:asciiTheme="minorHAnsi" w:eastAsiaTheme="minorEastAsia" w:hAnsiTheme="minorHAnsi" w:cstheme="minorBidi"/>
          <w:b w:val="0"/>
          <w:bCs w:val="0"/>
          <w:sz w:val="22"/>
          <w:szCs w:val="22"/>
        </w:rPr>
      </w:pPr>
      <w:r>
        <w:fldChar w:fldCharType="begin"/>
      </w:r>
      <w:r>
        <w:instrText xml:space="preserve"> TOC \o "1-3" \h \z \u </w:instrText>
      </w:r>
      <w:r>
        <w:fldChar w:fldCharType="separate"/>
      </w:r>
      <w:hyperlink w:anchor="_Toc485062239" w:history="1">
        <w:r w:rsidR="00964659" w:rsidRPr="004533B6">
          <w:rPr>
            <w:rStyle w:val="Hyperlink"/>
          </w:rPr>
          <w:t>Approval / comments on January 26th minutes call</w:t>
        </w:r>
        <w:r w:rsidR="00964659">
          <w:rPr>
            <w:webHidden/>
          </w:rPr>
          <w:tab/>
        </w:r>
        <w:r w:rsidR="00964659">
          <w:rPr>
            <w:webHidden/>
          </w:rPr>
          <w:fldChar w:fldCharType="begin"/>
        </w:r>
        <w:r w:rsidR="00964659">
          <w:rPr>
            <w:webHidden/>
          </w:rPr>
          <w:instrText xml:space="preserve"> PAGEREF _Toc485062239 \h </w:instrText>
        </w:r>
        <w:r w:rsidR="00964659">
          <w:rPr>
            <w:webHidden/>
          </w:rPr>
        </w:r>
        <w:r w:rsidR="00964659">
          <w:rPr>
            <w:webHidden/>
          </w:rPr>
          <w:fldChar w:fldCharType="separate"/>
        </w:r>
        <w:r w:rsidR="00964659">
          <w:rPr>
            <w:webHidden/>
          </w:rPr>
          <w:t>3</w:t>
        </w:r>
        <w:r w:rsidR="00964659">
          <w:rPr>
            <w:webHidden/>
          </w:rPr>
          <w:fldChar w:fldCharType="end"/>
        </w:r>
      </w:hyperlink>
    </w:p>
    <w:p w:rsidR="00964659" w:rsidRDefault="00964659">
      <w:pPr>
        <w:pStyle w:val="TOC1"/>
        <w:rPr>
          <w:rFonts w:asciiTheme="minorHAnsi" w:eastAsiaTheme="minorEastAsia" w:hAnsiTheme="minorHAnsi" w:cstheme="minorBidi"/>
          <w:b w:val="0"/>
          <w:bCs w:val="0"/>
          <w:sz w:val="22"/>
          <w:szCs w:val="22"/>
        </w:rPr>
      </w:pPr>
      <w:hyperlink w:anchor="_Toc485062240" w:history="1">
        <w:r w:rsidRPr="004533B6">
          <w:rPr>
            <w:rStyle w:val="Hyperlink"/>
          </w:rPr>
          <w:t>CA 358. Tax Table – Cleaning of un-used Tax qualifiers</w:t>
        </w:r>
        <w:r>
          <w:rPr>
            <w:webHidden/>
          </w:rPr>
          <w:tab/>
        </w:r>
        <w:r>
          <w:rPr>
            <w:webHidden/>
          </w:rPr>
          <w:fldChar w:fldCharType="begin"/>
        </w:r>
        <w:r>
          <w:rPr>
            <w:webHidden/>
          </w:rPr>
          <w:instrText xml:space="preserve"> PAGEREF _Toc485062240 \h </w:instrText>
        </w:r>
        <w:r>
          <w:rPr>
            <w:webHidden/>
          </w:rPr>
        </w:r>
        <w:r>
          <w:rPr>
            <w:webHidden/>
          </w:rPr>
          <w:fldChar w:fldCharType="separate"/>
        </w:r>
        <w:r>
          <w:rPr>
            <w:webHidden/>
          </w:rPr>
          <w:t>3</w:t>
        </w:r>
        <w:r>
          <w:rPr>
            <w:webHidden/>
          </w:rPr>
          <w:fldChar w:fldCharType="end"/>
        </w:r>
      </w:hyperlink>
    </w:p>
    <w:p w:rsidR="00964659" w:rsidRDefault="00964659">
      <w:pPr>
        <w:pStyle w:val="TOC1"/>
        <w:rPr>
          <w:rFonts w:asciiTheme="minorHAnsi" w:eastAsiaTheme="minorEastAsia" w:hAnsiTheme="minorHAnsi" w:cstheme="minorBidi"/>
          <w:b w:val="0"/>
          <w:bCs w:val="0"/>
          <w:sz w:val="22"/>
          <w:szCs w:val="22"/>
        </w:rPr>
      </w:pPr>
      <w:hyperlink w:anchor="_Toc485062241" w:history="1">
        <w:r w:rsidRPr="004533B6">
          <w:rPr>
            <w:rStyle w:val="Hyperlink"/>
          </w:rPr>
          <w:t>CA 221. Tax processing flow</w:t>
        </w:r>
        <w:r>
          <w:rPr>
            <w:webHidden/>
          </w:rPr>
          <w:tab/>
        </w:r>
        <w:r>
          <w:rPr>
            <w:webHidden/>
          </w:rPr>
          <w:fldChar w:fldCharType="begin"/>
        </w:r>
        <w:r>
          <w:rPr>
            <w:webHidden/>
          </w:rPr>
          <w:instrText xml:space="preserve"> PAGEREF _Toc485062241 \h </w:instrText>
        </w:r>
        <w:r>
          <w:rPr>
            <w:webHidden/>
          </w:rPr>
        </w:r>
        <w:r>
          <w:rPr>
            <w:webHidden/>
          </w:rPr>
          <w:fldChar w:fldCharType="separate"/>
        </w:r>
        <w:r>
          <w:rPr>
            <w:webHidden/>
          </w:rPr>
          <w:t>4</w:t>
        </w:r>
        <w:r>
          <w:rPr>
            <w:webHidden/>
          </w:rPr>
          <w:fldChar w:fldCharType="end"/>
        </w:r>
      </w:hyperlink>
    </w:p>
    <w:p w:rsidR="00964659" w:rsidRDefault="00964659">
      <w:pPr>
        <w:pStyle w:val="TOC1"/>
        <w:rPr>
          <w:rFonts w:asciiTheme="minorHAnsi" w:eastAsiaTheme="minorEastAsia" w:hAnsiTheme="minorHAnsi" w:cstheme="minorBidi"/>
          <w:b w:val="0"/>
          <w:bCs w:val="0"/>
          <w:sz w:val="22"/>
          <w:szCs w:val="22"/>
        </w:rPr>
      </w:pPr>
      <w:hyperlink w:anchor="_Toc485062242" w:history="1">
        <w:r w:rsidRPr="004533B6">
          <w:rPr>
            <w:rStyle w:val="Hyperlink"/>
          </w:rPr>
          <w:t>CA 359. Tax Reclaims processing flow</w:t>
        </w:r>
        <w:r>
          <w:rPr>
            <w:webHidden/>
          </w:rPr>
          <w:tab/>
        </w:r>
        <w:r>
          <w:rPr>
            <w:webHidden/>
          </w:rPr>
          <w:fldChar w:fldCharType="begin"/>
        </w:r>
        <w:r>
          <w:rPr>
            <w:webHidden/>
          </w:rPr>
          <w:instrText xml:space="preserve"> PAGEREF _Toc485062242 \h </w:instrText>
        </w:r>
        <w:r>
          <w:rPr>
            <w:webHidden/>
          </w:rPr>
        </w:r>
        <w:r>
          <w:rPr>
            <w:webHidden/>
          </w:rPr>
          <w:fldChar w:fldCharType="separate"/>
        </w:r>
        <w:r>
          <w:rPr>
            <w:webHidden/>
          </w:rPr>
          <w:t>5</w:t>
        </w:r>
        <w:r>
          <w:rPr>
            <w:webHidden/>
          </w:rPr>
          <w:fldChar w:fldCharType="end"/>
        </w:r>
      </w:hyperlink>
    </w:p>
    <w:p w:rsidR="00964659" w:rsidRDefault="00964659">
      <w:pPr>
        <w:pStyle w:val="TOC1"/>
        <w:rPr>
          <w:rFonts w:asciiTheme="minorHAnsi" w:eastAsiaTheme="minorEastAsia" w:hAnsiTheme="minorHAnsi" w:cstheme="minorBidi"/>
          <w:b w:val="0"/>
          <w:bCs w:val="0"/>
          <w:sz w:val="22"/>
          <w:szCs w:val="22"/>
        </w:rPr>
      </w:pPr>
      <w:hyperlink w:anchor="_Toc485062243" w:history="1">
        <w:r w:rsidRPr="004533B6">
          <w:rPr>
            <w:rStyle w:val="Hyperlink"/>
          </w:rPr>
          <w:t>CA 349. CERT Definition</w:t>
        </w:r>
        <w:r>
          <w:rPr>
            <w:webHidden/>
          </w:rPr>
          <w:tab/>
        </w:r>
        <w:r>
          <w:rPr>
            <w:webHidden/>
          </w:rPr>
          <w:fldChar w:fldCharType="begin"/>
        </w:r>
        <w:r>
          <w:rPr>
            <w:webHidden/>
          </w:rPr>
          <w:instrText xml:space="preserve"> PAGEREF _Toc485062243 \h </w:instrText>
        </w:r>
        <w:r>
          <w:rPr>
            <w:webHidden/>
          </w:rPr>
        </w:r>
        <w:r>
          <w:rPr>
            <w:webHidden/>
          </w:rPr>
          <w:fldChar w:fldCharType="separate"/>
        </w:r>
        <w:r>
          <w:rPr>
            <w:webHidden/>
          </w:rPr>
          <w:t>5</w:t>
        </w:r>
        <w:r>
          <w:rPr>
            <w:webHidden/>
          </w:rPr>
          <w:fldChar w:fldCharType="end"/>
        </w:r>
      </w:hyperlink>
    </w:p>
    <w:p w:rsidR="00964659" w:rsidRDefault="00964659">
      <w:pPr>
        <w:pStyle w:val="TOC1"/>
        <w:rPr>
          <w:rFonts w:asciiTheme="minorHAnsi" w:eastAsiaTheme="minorEastAsia" w:hAnsiTheme="minorHAnsi" w:cstheme="minorBidi"/>
          <w:b w:val="0"/>
          <w:bCs w:val="0"/>
          <w:sz w:val="22"/>
          <w:szCs w:val="22"/>
        </w:rPr>
      </w:pPr>
      <w:hyperlink w:anchor="_Toc485062244" w:history="1">
        <w:r w:rsidRPr="004533B6">
          <w:rPr>
            <w:rStyle w:val="Hyperlink"/>
          </w:rPr>
          <w:t>CA 346. Conduit Incomes</w:t>
        </w:r>
        <w:r>
          <w:rPr>
            <w:webHidden/>
          </w:rPr>
          <w:tab/>
        </w:r>
        <w:r>
          <w:rPr>
            <w:webHidden/>
          </w:rPr>
          <w:fldChar w:fldCharType="begin"/>
        </w:r>
        <w:r>
          <w:rPr>
            <w:webHidden/>
          </w:rPr>
          <w:instrText xml:space="preserve"> PAGEREF _Toc485062244 \h </w:instrText>
        </w:r>
        <w:r>
          <w:rPr>
            <w:webHidden/>
          </w:rPr>
        </w:r>
        <w:r>
          <w:rPr>
            <w:webHidden/>
          </w:rPr>
          <w:fldChar w:fldCharType="separate"/>
        </w:r>
        <w:r>
          <w:rPr>
            <w:webHidden/>
          </w:rPr>
          <w:t>6</w:t>
        </w:r>
        <w:r>
          <w:rPr>
            <w:webHidden/>
          </w:rPr>
          <w:fldChar w:fldCharType="end"/>
        </w:r>
      </w:hyperlink>
    </w:p>
    <w:p w:rsidR="00964659" w:rsidRDefault="00964659">
      <w:pPr>
        <w:pStyle w:val="TOC1"/>
        <w:rPr>
          <w:rFonts w:asciiTheme="minorHAnsi" w:eastAsiaTheme="minorEastAsia" w:hAnsiTheme="minorHAnsi" w:cstheme="minorBidi"/>
          <w:b w:val="0"/>
          <w:bCs w:val="0"/>
          <w:sz w:val="22"/>
          <w:szCs w:val="22"/>
        </w:rPr>
      </w:pPr>
      <w:hyperlink w:anchor="_Toc485062245" w:history="1">
        <w:r w:rsidRPr="004533B6">
          <w:rPr>
            <w:rStyle w:val="Hyperlink"/>
          </w:rPr>
          <w:t>CA 343. Deemed events / 871m reporting</w:t>
        </w:r>
        <w:r>
          <w:rPr>
            <w:webHidden/>
          </w:rPr>
          <w:tab/>
        </w:r>
        <w:r>
          <w:rPr>
            <w:webHidden/>
          </w:rPr>
          <w:fldChar w:fldCharType="begin"/>
        </w:r>
        <w:r>
          <w:rPr>
            <w:webHidden/>
          </w:rPr>
          <w:instrText xml:space="preserve"> PAGEREF _Toc485062245 \h </w:instrText>
        </w:r>
        <w:r>
          <w:rPr>
            <w:webHidden/>
          </w:rPr>
        </w:r>
        <w:r>
          <w:rPr>
            <w:webHidden/>
          </w:rPr>
          <w:fldChar w:fldCharType="separate"/>
        </w:r>
        <w:r>
          <w:rPr>
            <w:webHidden/>
          </w:rPr>
          <w:t>6</w:t>
        </w:r>
        <w:r>
          <w:rPr>
            <w:webHidden/>
          </w:rPr>
          <w:fldChar w:fldCharType="end"/>
        </w:r>
      </w:hyperlink>
    </w:p>
    <w:p w:rsidR="00964659" w:rsidRDefault="00964659">
      <w:pPr>
        <w:pStyle w:val="TOC1"/>
        <w:rPr>
          <w:rFonts w:asciiTheme="minorHAnsi" w:eastAsiaTheme="minorEastAsia" w:hAnsiTheme="minorHAnsi" w:cstheme="minorBidi"/>
          <w:b w:val="0"/>
          <w:bCs w:val="0"/>
          <w:sz w:val="22"/>
          <w:szCs w:val="22"/>
        </w:rPr>
      </w:pPr>
      <w:hyperlink w:anchor="_Toc485062246" w:history="1">
        <w:r w:rsidRPr="004533B6">
          <w:rPr>
            <w:rStyle w:val="Hyperlink"/>
          </w:rPr>
          <w:t>CA 360. Taxation on security distributions</w:t>
        </w:r>
        <w:r>
          <w:rPr>
            <w:webHidden/>
          </w:rPr>
          <w:tab/>
        </w:r>
        <w:r>
          <w:rPr>
            <w:webHidden/>
          </w:rPr>
          <w:fldChar w:fldCharType="begin"/>
        </w:r>
        <w:r>
          <w:rPr>
            <w:webHidden/>
          </w:rPr>
          <w:instrText xml:space="preserve"> PAGEREF _Toc485062246 \h </w:instrText>
        </w:r>
        <w:r>
          <w:rPr>
            <w:webHidden/>
          </w:rPr>
        </w:r>
        <w:r>
          <w:rPr>
            <w:webHidden/>
          </w:rPr>
          <w:fldChar w:fldCharType="separate"/>
        </w:r>
        <w:r>
          <w:rPr>
            <w:webHidden/>
          </w:rPr>
          <w:t>8</w:t>
        </w:r>
        <w:r>
          <w:rPr>
            <w:webHidden/>
          </w:rPr>
          <w:fldChar w:fldCharType="end"/>
        </w:r>
      </w:hyperlink>
    </w:p>
    <w:p w:rsidR="00964659" w:rsidRDefault="00964659">
      <w:pPr>
        <w:pStyle w:val="TOC1"/>
        <w:rPr>
          <w:rFonts w:asciiTheme="minorHAnsi" w:eastAsiaTheme="minorEastAsia" w:hAnsiTheme="minorHAnsi" w:cstheme="minorBidi"/>
          <w:b w:val="0"/>
          <w:bCs w:val="0"/>
          <w:sz w:val="22"/>
          <w:szCs w:val="22"/>
        </w:rPr>
      </w:pPr>
      <w:hyperlink w:anchor="_Toc485062247" w:history="1">
        <w:r w:rsidRPr="004533B6">
          <w:rPr>
            <w:rStyle w:val="Hyperlink"/>
          </w:rPr>
          <w:t>CA370. TAXR / WITL Usage for the Italian Market Scenario</w:t>
        </w:r>
        <w:r>
          <w:rPr>
            <w:webHidden/>
          </w:rPr>
          <w:tab/>
        </w:r>
        <w:r>
          <w:rPr>
            <w:webHidden/>
          </w:rPr>
          <w:fldChar w:fldCharType="begin"/>
        </w:r>
        <w:r>
          <w:rPr>
            <w:webHidden/>
          </w:rPr>
          <w:instrText xml:space="preserve"> PAGEREF _Toc485062247 \h </w:instrText>
        </w:r>
        <w:r>
          <w:rPr>
            <w:webHidden/>
          </w:rPr>
        </w:r>
        <w:r>
          <w:rPr>
            <w:webHidden/>
          </w:rPr>
          <w:fldChar w:fldCharType="separate"/>
        </w:r>
        <w:r>
          <w:rPr>
            <w:webHidden/>
          </w:rPr>
          <w:t>10</w:t>
        </w:r>
        <w:r>
          <w:rPr>
            <w:webHidden/>
          </w:rPr>
          <w:fldChar w:fldCharType="end"/>
        </w:r>
      </w:hyperlink>
    </w:p>
    <w:p w:rsidR="00964659" w:rsidRDefault="00964659">
      <w:pPr>
        <w:pStyle w:val="TOC1"/>
        <w:rPr>
          <w:rFonts w:asciiTheme="minorHAnsi" w:eastAsiaTheme="minorEastAsia" w:hAnsiTheme="minorHAnsi" w:cstheme="minorBidi"/>
          <w:b w:val="0"/>
          <w:bCs w:val="0"/>
          <w:sz w:val="22"/>
          <w:szCs w:val="22"/>
        </w:rPr>
      </w:pPr>
      <w:hyperlink w:anchor="_Toc485062248" w:history="1">
        <w:r w:rsidRPr="004533B6">
          <w:rPr>
            <w:rStyle w:val="Hyperlink"/>
          </w:rPr>
          <w:t>Other topics</w:t>
        </w:r>
        <w:r>
          <w:rPr>
            <w:webHidden/>
          </w:rPr>
          <w:tab/>
        </w:r>
        <w:r>
          <w:rPr>
            <w:webHidden/>
          </w:rPr>
          <w:fldChar w:fldCharType="begin"/>
        </w:r>
        <w:r>
          <w:rPr>
            <w:webHidden/>
          </w:rPr>
          <w:instrText xml:space="preserve"> PAGEREF _Toc485062248 \h </w:instrText>
        </w:r>
        <w:r>
          <w:rPr>
            <w:webHidden/>
          </w:rPr>
        </w:r>
        <w:r>
          <w:rPr>
            <w:webHidden/>
          </w:rPr>
          <w:fldChar w:fldCharType="separate"/>
        </w:r>
        <w:r>
          <w:rPr>
            <w:webHidden/>
          </w:rPr>
          <w:t>13</w:t>
        </w:r>
        <w:r>
          <w:rPr>
            <w:webHidden/>
          </w:rPr>
          <w:fldChar w:fldCharType="end"/>
        </w:r>
      </w:hyperlink>
    </w:p>
    <w:p w:rsidR="00964659" w:rsidRDefault="00964659">
      <w:pPr>
        <w:pStyle w:val="TOC1"/>
        <w:rPr>
          <w:rFonts w:asciiTheme="minorHAnsi" w:eastAsiaTheme="minorEastAsia" w:hAnsiTheme="minorHAnsi" w:cstheme="minorBidi"/>
          <w:b w:val="0"/>
          <w:bCs w:val="0"/>
          <w:sz w:val="22"/>
          <w:szCs w:val="22"/>
        </w:rPr>
      </w:pPr>
      <w:hyperlink w:anchor="_Toc485062249" w:history="1">
        <w:r w:rsidRPr="004533B6">
          <w:rPr>
            <w:rStyle w:val="Hyperlink"/>
          </w:rPr>
          <w:t>Next Conference Calls</w:t>
        </w:r>
        <w:r>
          <w:rPr>
            <w:webHidden/>
          </w:rPr>
          <w:tab/>
        </w:r>
        <w:r>
          <w:rPr>
            <w:webHidden/>
          </w:rPr>
          <w:fldChar w:fldCharType="begin"/>
        </w:r>
        <w:r>
          <w:rPr>
            <w:webHidden/>
          </w:rPr>
          <w:instrText xml:space="preserve"> PAGEREF _Toc485062249 \h </w:instrText>
        </w:r>
        <w:r>
          <w:rPr>
            <w:webHidden/>
          </w:rPr>
        </w:r>
        <w:r>
          <w:rPr>
            <w:webHidden/>
          </w:rPr>
          <w:fldChar w:fldCharType="separate"/>
        </w:r>
        <w:r>
          <w:rPr>
            <w:webHidden/>
          </w:rPr>
          <w:t>14</w:t>
        </w:r>
        <w:r>
          <w:rPr>
            <w:webHidden/>
          </w:rPr>
          <w:fldChar w:fldCharType="end"/>
        </w:r>
      </w:hyperlink>
    </w:p>
    <w:p w:rsidR="00E60462" w:rsidRDefault="00E60462">
      <w:r>
        <w:fldChar w:fldCharType="end"/>
      </w:r>
    </w:p>
    <w:p w:rsidR="000D0C64" w:rsidRDefault="00E60462" w:rsidP="00EF7F89">
      <w:pPr>
        <w:rPr>
          <w:lang w:eastAsia="en-GB"/>
        </w:rPr>
      </w:pPr>
      <w:bookmarkStart w:id="2" w:name="OLE_LINK1"/>
      <w:bookmarkStart w:id="3" w:name="OLE_LINK2"/>
      <w:r w:rsidRPr="00F80FDA">
        <w:rPr>
          <w:b/>
          <w:sz w:val="24"/>
          <w:szCs w:val="24"/>
          <w:u w:val="single"/>
          <w:lang w:eastAsia="en-GB"/>
        </w:rPr>
        <w:t>Attendees</w:t>
      </w:r>
      <w:bookmarkEnd w:id="0"/>
    </w:p>
    <w:tbl>
      <w:tblPr>
        <w:tblW w:w="7900" w:type="dxa"/>
        <w:tblInd w:w="98" w:type="dxa"/>
        <w:tblLayout w:type="fixed"/>
        <w:tblLook w:val="04A0" w:firstRow="1" w:lastRow="0" w:firstColumn="1" w:lastColumn="0" w:noHBand="0" w:noVBand="1"/>
      </w:tblPr>
      <w:tblGrid>
        <w:gridCol w:w="983"/>
        <w:gridCol w:w="567"/>
        <w:gridCol w:w="1360"/>
        <w:gridCol w:w="1660"/>
        <w:gridCol w:w="2190"/>
        <w:gridCol w:w="1140"/>
      </w:tblGrid>
      <w:tr w:rsidR="000D0C64" w:rsidRPr="000D0C64" w:rsidTr="000D0C64">
        <w:trPr>
          <w:trHeight w:val="315"/>
        </w:trPr>
        <w:tc>
          <w:tcPr>
            <w:tcW w:w="9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D0C64" w:rsidRPr="000D0C64" w:rsidRDefault="000D0C64" w:rsidP="000D0C64">
            <w:pPr>
              <w:spacing w:after="0"/>
              <w:jc w:val="center"/>
              <w:rPr>
                <w:b/>
                <w:bCs/>
                <w:color w:val="000000"/>
              </w:rPr>
            </w:pPr>
            <w:r w:rsidRPr="000D0C64">
              <w:rPr>
                <w:b/>
                <w:bCs/>
                <w:color w:val="000000"/>
              </w:rPr>
              <w:t>Country</w:t>
            </w: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0D0C64" w:rsidRPr="000D0C64" w:rsidRDefault="000D0C64" w:rsidP="000D0C64">
            <w:pPr>
              <w:spacing w:after="0"/>
              <w:jc w:val="center"/>
              <w:rPr>
                <w:b/>
                <w:bCs/>
                <w:color w:val="000000"/>
              </w:rPr>
            </w:pPr>
            <w:r w:rsidRPr="000D0C64">
              <w:rPr>
                <w:b/>
                <w:bCs/>
                <w:color w:val="000000"/>
              </w:rPr>
              <w:t> </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b/>
                <w:bCs/>
                <w:color w:val="000000"/>
              </w:rPr>
            </w:pPr>
            <w:r w:rsidRPr="000D0C64">
              <w:rPr>
                <w:b/>
                <w:bCs/>
                <w:color w:val="000000"/>
              </w:rPr>
              <w:t>First Name</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b/>
                <w:bCs/>
                <w:color w:val="000000"/>
              </w:rPr>
            </w:pPr>
            <w:r w:rsidRPr="000D0C64">
              <w:rPr>
                <w:b/>
                <w:bCs/>
                <w:color w:val="000000"/>
              </w:rPr>
              <w:t>Last Name</w:t>
            </w:r>
          </w:p>
        </w:tc>
        <w:tc>
          <w:tcPr>
            <w:tcW w:w="2190" w:type="dxa"/>
            <w:tcBorders>
              <w:top w:val="single" w:sz="8" w:space="0" w:color="auto"/>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b/>
                <w:bCs/>
                <w:color w:val="000000"/>
              </w:rPr>
            </w:pPr>
            <w:r w:rsidRPr="000D0C64">
              <w:rPr>
                <w:b/>
                <w:bCs/>
                <w:color w:val="000000"/>
              </w:rPr>
              <w:t>Institution</w:t>
            </w:r>
          </w:p>
        </w:tc>
        <w:tc>
          <w:tcPr>
            <w:tcW w:w="1140" w:type="dxa"/>
            <w:tcBorders>
              <w:top w:val="single" w:sz="8" w:space="0" w:color="auto"/>
              <w:left w:val="nil"/>
              <w:bottom w:val="single" w:sz="8" w:space="0" w:color="auto"/>
              <w:right w:val="single" w:sz="8" w:space="0" w:color="auto"/>
            </w:tcBorders>
            <w:shd w:val="clear" w:color="auto" w:fill="auto"/>
            <w:vAlign w:val="center"/>
            <w:hideMark/>
          </w:tcPr>
          <w:p w:rsidR="000D0C64" w:rsidRPr="000D0C64" w:rsidRDefault="000D0C64" w:rsidP="000D0C64">
            <w:pPr>
              <w:spacing w:after="0"/>
              <w:jc w:val="center"/>
              <w:rPr>
                <w:b/>
                <w:bCs/>
                <w:color w:val="000000"/>
              </w:rPr>
            </w:pPr>
            <w:r w:rsidRPr="000D0C64">
              <w:rPr>
                <w:b/>
                <w:bCs/>
                <w:color w:val="000000"/>
              </w:rPr>
              <w:t>Participation</w:t>
            </w:r>
          </w:p>
        </w:tc>
      </w:tr>
      <w:tr w:rsidR="000D0C64" w:rsidRPr="000D0C64" w:rsidTr="000D0C64">
        <w:trPr>
          <w:trHeight w:val="330"/>
        </w:trPr>
        <w:tc>
          <w:tcPr>
            <w:tcW w:w="983" w:type="dxa"/>
            <w:tcBorders>
              <w:top w:val="nil"/>
              <w:left w:val="single" w:sz="8" w:space="0" w:color="auto"/>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color w:val="000000"/>
              </w:rPr>
            </w:pPr>
            <w:r w:rsidRPr="000D0C64">
              <w:rPr>
                <w:color w:val="000000"/>
              </w:rPr>
              <w:t>AU</w:t>
            </w:r>
          </w:p>
        </w:tc>
        <w:tc>
          <w:tcPr>
            <w:tcW w:w="567"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Calibri" w:hAnsi="Calibri" w:cs="Times New Roman"/>
                <w:sz w:val="22"/>
                <w:szCs w:val="22"/>
              </w:rPr>
            </w:pPr>
            <w:r w:rsidRPr="000D0C64">
              <w:rPr>
                <w:rFonts w:ascii="Calibri" w:hAnsi="Calibri" w:cs="Times New Roman"/>
                <w:sz w:val="22"/>
                <w:szCs w:val="22"/>
              </w:rPr>
              <w:t>Mrs</w:t>
            </w:r>
          </w:p>
        </w:tc>
        <w:tc>
          <w:tcPr>
            <w:tcW w:w="1360" w:type="dxa"/>
            <w:tcBorders>
              <w:top w:val="nil"/>
              <w:left w:val="nil"/>
              <w:bottom w:val="single" w:sz="8" w:space="0" w:color="auto"/>
              <w:right w:val="single" w:sz="8" w:space="0" w:color="auto"/>
            </w:tcBorders>
            <w:shd w:val="clear" w:color="000000" w:fill="01FF74"/>
            <w:noWrap/>
            <w:vAlign w:val="bottom"/>
            <w:hideMark/>
          </w:tcPr>
          <w:p w:rsidR="000D0C64" w:rsidRPr="000D0C64" w:rsidRDefault="000D0C64" w:rsidP="000D0C64">
            <w:pPr>
              <w:spacing w:after="0"/>
              <w:rPr>
                <w:rFonts w:ascii="Calibri" w:hAnsi="Calibri" w:cs="Times New Roman"/>
                <w:sz w:val="22"/>
                <w:szCs w:val="22"/>
              </w:rPr>
            </w:pPr>
            <w:r w:rsidRPr="000D0C64">
              <w:rPr>
                <w:rFonts w:ascii="Calibri" w:hAnsi="Calibri" w:cs="Times New Roman"/>
                <w:sz w:val="22"/>
                <w:szCs w:val="22"/>
              </w:rPr>
              <w:t>Narelle</w:t>
            </w:r>
          </w:p>
        </w:tc>
        <w:tc>
          <w:tcPr>
            <w:tcW w:w="1660" w:type="dxa"/>
            <w:tcBorders>
              <w:top w:val="nil"/>
              <w:left w:val="nil"/>
              <w:bottom w:val="single" w:sz="8" w:space="0" w:color="auto"/>
              <w:right w:val="single" w:sz="8" w:space="0" w:color="auto"/>
            </w:tcBorders>
            <w:shd w:val="clear" w:color="000000" w:fill="01FF74"/>
            <w:noWrap/>
            <w:vAlign w:val="bottom"/>
            <w:hideMark/>
          </w:tcPr>
          <w:p w:rsidR="000D0C64" w:rsidRPr="000D0C64" w:rsidRDefault="000D0C64" w:rsidP="000D0C64">
            <w:pPr>
              <w:spacing w:after="0"/>
              <w:rPr>
                <w:rFonts w:ascii="Calibri" w:hAnsi="Calibri" w:cs="Times New Roman"/>
                <w:sz w:val="22"/>
                <w:szCs w:val="22"/>
              </w:rPr>
            </w:pPr>
            <w:r w:rsidRPr="000D0C64">
              <w:rPr>
                <w:rFonts w:ascii="Calibri" w:hAnsi="Calibri" w:cs="Times New Roman"/>
                <w:sz w:val="22"/>
                <w:szCs w:val="22"/>
              </w:rPr>
              <w:t>Rutter</w:t>
            </w:r>
          </w:p>
        </w:tc>
        <w:tc>
          <w:tcPr>
            <w:tcW w:w="219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color w:val="000000"/>
              </w:rPr>
            </w:pPr>
            <w:r w:rsidRPr="000D0C64">
              <w:rPr>
                <w:color w:val="000000"/>
              </w:rPr>
              <w:t>BP2S</w:t>
            </w:r>
          </w:p>
        </w:tc>
        <w:tc>
          <w:tcPr>
            <w:tcW w:w="114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Webdings" w:hAnsi="Webdings" w:cs="Times New Roman"/>
                <w:color w:val="000000"/>
                <w:sz w:val="22"/>
                <w:szCs w:val="22"/>
              </w:rPr>
            </w:pPr>
            <w:r w:rsidRPr="000D0C64">
              <w:rPr>
                <w:rFonts w:ascii="Webdings" w:hAnsi="Webdings" w:cs="Times New Roman"/>
                <w:color w:val="000000"/>
                <w:sz w:val="22"/>
                <w:szCs w:val="22"/>
              </w:rPr>
              <w:t></w:t>
            </w:r>
          </w:p>
        </w:tc>
      </w:tr>
      <w:tr w:rsidR="000D0C64" w:rsidRPr="000D0C64" w:rsidTr="000D0C64">
        <w:trPr>
          <w:trHeight w:val="315"/>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0D0C64" w:rsidRPr="000D0C64" w:rsidRDefault="000D0C64" w:rsidP="000D0C64">
            <w:pPr>
              <w:spacing w:after="0"/>
              <w:jc w:val="center"/>
              <w:rPr>
                <w:rFonts w:ascii="Calibri" w:hAnsi="Calibri" w:cs="Times New Roman"/>
                <w:sz w:val="22"/>
                <w:szCs w:val="22"/>
              </w:rPr>
            </w:pPr>
            <w:r w:rsidRPr="000D0C64">
              <w:rPr>
                <w:rFonts w:ascii="Calibri" w:hAnsi="Calibri" w:cs="Times New Roman"/>
                <w:sz w:val="22"/>
                <w:szCs w:val="22"/>
              </w:rPr>
              <w:t>BE</w:t>
            </w:r>
          </w:p>
        </w:tc>
        <w:tc>
          <w:tcPr>
            <w:tcW w:w="567"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jc w:val="center"/>
              <w:rPr>
                <w:rFonts w:ascii="Calibri" w:hAnsi="Calibri" w:cs="Times New Roman"/>
                <w:sz w:val="22"/>
                <w:szCs w:val="22"/>
              </w:rPr>
            </w:pPr>
            <w:r w:rsidRPr="000D0C64">
              <w:rPr>
                <w:rFonts w:ascii="Calibri" w:hAnsi="Calibri" w:cs="Times New Roman"/>
                <w:sz w:val="22"/>
                <w:szCs w:val="22"/>
              </w:rPr>
              <w:t>Mrs</w:t>
            </w:r>
          </w:p>
        </w:tc>
        <w:tc>
          <w:tcPr>
            <w:tcW w:w="136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sz w:val="22"/>
                <w:szCs w:val="22"/>
              </w:rPr>
            </w:pPr>
            <w:r w:rsidRPr="000D0C64">
              <w:rPr>
                <w:rFonts w:ascii="Calibri" w:hAnsi="Calibri" w:cs="Times New Roman"/>
                <w:sz w:val="22"/>
                <w:szCs w:val="22"/>
              </w:rPr>
              <w:t>Véronique</w:t>
            </w:r>
          </w:p>
        </w:tc>
        <w:tc>
          <w:tcPr>
            <w:tcW w:w="166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sz w:val="22"/>
                <w:szCs w:val="22"/>
              </w:rPr>
            </w:pPr>
            <w:r w:rsidRPr="000D0C64">
              <w:rPr>
                <w:rFonts w:ascii="Calibri" w:hAnsi="Calibri" w:cs="Times New Roman"/>
                <w:sz w:val="22"/>
                <w:szCs w:val="22"/>
              </w:rPr>
              <w:t>Peeters</w:t>
            </w:r>
          </w:p>
        </w:tc>
        <w:tc>
          <w:tcPr>
            <w:tcW w:w="219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sz w:val="22"/>
                <w:szCs w:val="22"/>
              </w:rPr>
            </w:pPr>
            <w:r w:rsidRPr="000D0C64">
              <w:rPr>
                <w:rFonts w:ascii="Calibri" w:hAnsi="Calibri" w:cs="Times New Roman"/>
                <w:sz w:val="22"/>
                <w:szCs w:val="22"/>
              </w:rPr>
              <w:t>BNY Mellon</w:t>
            </w:r>
          </w:p>
        </w:tc>
        <w:tc>
          <w:tcPr>
            <w:tcW w:w="1140" w:type="dxa"/>
            <w:tcBorders>
              <w:top w:val="nil"/>
              <w:left w:val="nil"/>
              <w:bottom w:val="single" w:sz="8" w:space="0" w:color="auto"/>
              <w:right w:val="single" w:sz="8" w:space="0" w:color="auto"/>
            </w:tcBorders>
            <w:shd w:val="clear" w:color="auto" w:fill="auto"/>
            <w:noWrap/>
            <w:vAlign w:val="bottom"/>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Excused</w:t>
            </w:r>
          </w:p>
        </w:tc>
      </w:tr>
      <w:tr w:rsidR="000D0C64" w:rsidRPr="000D0C64" w:rsidTr="000D0C64">
        <w:trPr>
          <w:trHeight w:val="330"/>
        </w:trPr>
        <w:tc>
          <w:tcPr>
            <w:tcW w:w="983" w:type="dxa"/>
            <w:tcBorders>
              <w:top w:val="nil"/>
              <w:left w:val="single" w:sz="8" w:space="0" w:color="auto"/>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N / A</w:t>
            </w:r>
          </w:p>
        </w:tc>
        <w:tc>
          <w:tcPr>
            <w:tcW w:w="567"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Jacques</w:t>
            </w:r>
          </w:p>
        </w:tc>
        <w:tc>
          <w:tcPr>
            <w:tcW w:w="166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Littré</w:t>
            </w:r>
          </w:p>
        </w:tc>
        <w:tc>
          <w:tcPr>
            <w:tcW w:w="219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SWIFT</w:t>
            </w:r>
          </w:p>
        </w:tc>
        <w:tc>
          <w:tcPr>
            <w:tcW w:w="114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Webdings" w:hAnsi="Webdings" w:cs="Times New Roman"/>
                <w:color w:val="000000"/>
                <w:sz w:val="22"/>
                <w:szCs w:val="22"/>
              </w:rPr>
            </w:pPr>
            <w:r w:rsidRPr="000D0C64">
              <w:rPr>
                <w:rFonts w:ascii="Webdings" w:hAnsi="Webdings" w:cs="Times New Roman"/>
                <w:color w:val="000000"/>
                <w:sz w:val="22"/>
                <w:szCs w:val="22"/>
              </w:rPr>
              <w:t></w:t>
            </w:r>
          </w:p>
        </w:tc>
      </w:tr>
      <w:tr w:rsidR="000D0C64" w:rsidRPr="000D0C64" w:rsidTr="000D0C64">
        <w:trPr>
          <w:trHeight w:val="315"/>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CA</w:t>
            </w:r>
          </w:p>
        </w:tc>
        <w:tc>
          <w:tcPr>
            <w:tcW w:w="567"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Cairbre</w:t>
            </w:r>
          </w:p>
        </w:tc>
        <w:tc>
          <w:tcPr>
            <w:tcW w:w="166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Cowin</w:t>
            </w:r>
          </w:p>
        </w:tc>
        <w:tc>
          <w:tcPr>
            <w:tcW w:w="219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RBC IS</w:t>
            </w:r>
          </w:p>
        </w:tc>
        <w:tc>
          <w:tcPr>
            <w:tcW w:w="1140" w:type="dxa"/>
            <w:tcBorders>
              <w:top w:val="nil"/>
              <w:left w:val="nil"/>
              <w:bottom w:val="single" w:sz="8" w:space="0" w:color="auto"/>
              <w:right w:val="single" w:sz="8" w:space="0" w:color="auto"/>
            </w:tcBorders>
            <w:shd w:val="clear" w:color="auto" w:fill="auto"/>
            <w:noWrap/>
            <w:vAlign w:val="bottom"/>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Excused</w:t>
            </w:r>
          </w:p>
        </w:tc>
      </w:tr>
      <w:tr w:rsidR="000D0C64" w:rsidRPr="000D0C64" w:rsidTr="000D0C64">
        <w:trPr>
          <w:trHeight w:val="315"/>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CH</w:t>
            </w:r>
          </w:p>
        </w:tc>
        <w:tc>
          <w:tcPr>
            <w:tcW w:w="567"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Reto</w:t>
            </w:r>
          </w:p>
        </w:tc>
        <w:tc>
          <w:tcPr>
            <w:tcW w:w="166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Baumgartner</w:t>
            </w:r>
          </w:p>
        </w:tc>
        <w:tc>
          <w:tcPr>
            <w:tcW w:w="219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Credit Suisse</w:t>
            </w:r>
          </w:p>
        </w:tc>
        <w:tc>
          <w:tcPr>
            <w:tcW w:w="1140" w:type="dxa"/>
            <w:tcBorders>
              <w:top w:val="nil"/>
              <w:left w:val="nil"/>
              <w:bottom w:val="single" w:sz="8" w:space="0" w:color="auto"/>
              <w:right w:val="single" w:sz="8" w:space="0" w:color="auto"/>
            </w:tcBorders>
            <w:shd w:val="clear" w:color="auto" w:fill="auto"/>
            <w:noWrap/>
            <w:vAlign w:val="bottom"/>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Excused</w:t>
            </w:r>
          </w:p>
        </w:tc>
      </w:tr>
      <w:tr w:rsidR="000D0C64" w:rsidRPr="000D0C64" w:rsidTr="000D0C64">
        <w:trPr>
          <w:trHeight w:val="315"/>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DE</w:t>
            </w:r>
          </w:p>
        </w:tc>
        <w:tc>
          <w:tcPr>
            <w:tcW w:w="567"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Daniel</w:t>
            </w:r>
          </w:p>
        </w:tc>
        <w:tc>
          <w:tcPr>
            <w:tcW w:w="166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Schaefer</w:t>
            </w:r>
          </w:p>
        </w:tc>
        <w:tc>
          <w:tcPr>
            <w:tcW w:w="219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HSBC</w:t>
            </w:r>
          </w:p>
        </w:tc>
        <w:tc>
          <w:tcPr>
            <w:tcW w:w="1140" w:type="dxa"/>
            <w:tcBorders>
              <w:top w:val="nil"/>
              <w:left w:val="nil"/>
              <w:bottom w:val="single" w:sz="8" w:space="0" w:color="auto"/>
              <w:right w:val="single" w:sz="8" w:space="0" w:color="auto"/>
            </w:tcBorders>
            <w:shd w:val="clear" w:color="auto" w:fill="auto"/>
            <w:noWrap/>
            <w:vAlign w:val="bottom"/>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Excused</w:t>
            </w:r>
          </w:p>
        </w:tc>
      </w:tr>
      <w:tr w:rsidR="000D0C64" w:rsidRPr="000D0C64" w:rsidTr="000D0C64">
        <w:trPr>
          <w:trHeight w:val="330"/>
        </w:trPr>
        <w:tc>
          <w:tcPr>
            <w:tcW w:w="983" w:type="dxa"/>
            <w:tcBorders>
              <w:top w:val="nil"/>
              <w:left w:val="single" w:sz="8" w:space="0" w:color="auto"/>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DE</w:t>
            </w:r>
          </w:p>
        </w:tc>
        <w:tc>
          <w:tcPr>
            <w:tcW w:w="567"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Thomas</w:t>
            </w:r>
          </w:p>
        </w:tc>
        <w:tc>
          <w:tcPr>
            <w:tcW w:w="166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Rockstroh</w:t>
            </w:r>
          </w:p>
        </w:tc>
        <w:tc>
          <w:tcPr>
            <w:tcW w:w="219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Clearstream</w:t>
            </w:r>
          </w:p>
        </w:tc>
        <w:tc>
          <w:tcPr>
            <w:tcW w:w="114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Webdings" w:hAnsi="Webdings" w:cs="Times New Roman"/>
                <w:color w:val="000000"/>
                <w:sz w:val="22"/>
                <w:szCs w:val="22"/>
              </w:rPr>
            </w:pPr>
            <w:r w:rsidRPr="000D0C64">
              <w:rPr>
                <w:rFonts w:ascii="Webdings" w:hAnsi="Webdings" w:cs="Times New Roman"/>
                <w:color w:val="000000"/>
                <w:sz w:val="22"/>
                <w:szCs w:val="22"/>
              </w:rPr>
              <w:t></w:t>
            </w:r>
          </w:p>
        </w:tc>
      </w:tr>
      <w:tr w:rsidR="000D0C64" w:rsidRPr="000D0C64" w:rsidTr="000D0C64">
        <w:trPr>
          <w:trHeight w:val="330"/>
        </w:trPr>
        <w:tc>
          <w:tcPr>
            <w:tcW w:w="983" w:type="dxa"/>
            <w:tcBorders>
              <w:top w:val="nil"/>
              <w:left w:val="single" w:sz="8" w:space="0" w:color="auto"/>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FR</w:t>
            </w:r>
          </w:p>
        </w:tc>
        <w:tc>
          <w:tcPr>
            <w:tcW w:w="567"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Jean-Pierre</w:t>
            </w:r>
          </w:p>
        </w:tc>
        <w:tc>
          <w:tcPr>
            <w:tcW w:w="166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Klak</w:t>
            </w:r>
          </w:p>
        </w:tc>
        <w:tc>
          <w:tcPr>
            <w:tcW w:w="219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State Street</w:t>
            </w:r>
          </w:p>
        </w:tc>
        <w:tc>
          <w:tcPr>
            <w:tcW w:w="114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Webdings" w:hAnsi="Webdings" w:cs="Times New Roman"/>
                <w:color w:val="000000"/>
                <w:sz w:val="22"/>
                <w:szCs w:val="22"/>
              </w:rPr>
            </w:pPr>
            <w:r w:rsidRPr="000D0C64">
              <w:rPr>
                <w:rFonts w:ascii="Webdings" w:hAnsi="Webdings" w:cs="Times New Roman"/>
                <w:color w:val="000000"/>
                <w:sz w:val="22"/>
                <w:szCs w:val="22"/>
              </w:rPr>
              <w:t></w:t>
            </w:r>
          </w:p>
        </w:tc>
      </w:tr>
      <w:tr w:rsidR="000D0C64" w:rsidRPr="000D0C64" w:rsidTr="000D0C64">
        <w:trPr>
          <w:trHeight w:val="315"/>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FR</w:t>
            </w:r>
          </w:p>
        </w:tc>
        <w:tc>
          <w:tcPr>
            <w:tcW w:w="567"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Karim</w:t>
            </w:r>
          </w:p>
        </w:tc>
        <w:tc>
          <w:tcPr>
            <w:tcW w:w="166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Djenadi</w:t>
            </w:r>
          </w:p>
        </w:tc>
        <w:tc>
          <w:tcPr>
            <w:tcW w:w="219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BP2S</w:t>
            </w:r>
          </w:p>
        </w:tc>
        <w:tc>
          <w:tcPr>
            <w:tcW w:w="1140" w:type="dxa"/>
            <w:tcBorders>
              <w:top w:val="nil"/>
              <w:left w:val="nil"/>
              <w:bottom w:val="single" w:sz="8" w:space="0" w:color="auto"/>
              <w:right w:val="single" w:sz="8" w:space="0" w:color="auto"/>
            </w:tcBorders>
            <w:shd w:val="clear" w:color="auto" w:fill="auto"/>
            <w:noWrap/>
            <w:vAlign w:val="bottom"/>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Excused</w:t>
            </w:r>
          </w:p>
        </w:tc>
      </w:tr>
      <w:tr w:rsidR="000D0C64" w:rsidRPr="000D0C64" w:rsidTr="000D0C64">
        <w:trPr>
          <w:trHeight w:val="315"/>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FR</w:t>
            </w:r>
          </w:p>
        </w:tc>
        <w:tc>
          <w:tcPr>
            <w:tcW w:w="567"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Mrs</w:t>
            </w:r>
          </w:p>
        </w:tc>
        <w:tc>
          <w:tcPr>
            <w:tcW w:w="136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Celine</w:t>
            </w:r>
          </w:p>
        </w:tc>
        <w:tc>
          <w:tcPr>
            <w:tcW w:w="166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Bohm</w:t>
            </w:r>
          </w:p>
        </w:tc>
        <w:tc>
          <w:tcPr>
            <w:tcW w:w="219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BP2S</w:t>
            </w:r>
          </w:p>
        </w:tc>
        <w:tc>
          <w:tcPr>
            <w:tcW w:w="1140" w:type="dxa"/>
            <w:tcBorders>
              <w:top w:val="nil"/>
              <w:left w:val="nil"/>
              <w:bottom w:val="single" w:sz="8" w:space="0" w:color="auto"/>
              <w:right w:val="single" w:sz="8" w:space="0" w:color="auto"/>
            </w:tcBorders>
            <w:shd w:val="clear" w:color="auto" w:fill="auto"/>
            <w:noWrap/>
            <w:vAlign w:val="bottom"/>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Excused</w:t>
            </w:r>
          </w:p>
        </w:tc>
      </w:tr>
      <w:tr w:rsidR="000D0C64" w:rsidRPr="000D0C64" w:rsidTr="000D0C64">
        <w:trPr>
          <w:trHeight w:val="315"/>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FR</w:t>
            </w:r>
          </w:p>
        </w:tc>
        <w:tc>
          <w:tcPr>
            <w:tcW w:w="567"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Mrs</w:t>
            </w:r>
          </w:p>
        </w:tc>
        <w:tc>
          <w:tcPr>
            <w:tcW w:w="136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Alexandra</w:t>
            </w:r>
          </w:p>
        </w:tc>
        <w:tc>
          <w:tcPr>
            <w:tcW w:w="166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Sellam</w:t>
            </w:r>
          </w:p>
        </w:tc>
        <w:tc>
          <w:tcPr>
            <w:tcW w:w="219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BP2S</w:t>
            </w:r>
          </w:p>
        </w:tc>
        <w:tc>
          <w:tcPr>
            <w:tcW w:w="1140" w:type="dxa"/>
            <w:tcBorders>
              <w:top w:val="nil"/>
              <w:left w:val="nil"/>
              <w:bottom w:val="single" w:sz="8" w:space="0" w:color="auto"/>
              <w:right w:val="single" w:sz="8" w:space="0" w:color="auto"/>
            </w:tcBorders>
            <w:shd w:val="clear" w:color="auto" w:fill="auto"/>
            <w:noWrap/>
            <w:vAlign w:val="bottom"/>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Excused</w:t>
            </w:r>
          </w:p>
        </w:tc>
      </w:tr>
      <w:tr w:rsidR="000D0C64" w:rsidRPr="000D0C64" w:rsidTr="000D0C64">
        <w:trPr>
          <w:trHeight w:val="315"/>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IT</w:t>
            </w:r>
          </w:p>
        </w:tc>
        <w:tc>
          <w:tcPr>
            <w:tcW w:w="567"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Mrs</w:t>
            </w:r>
          </w:p>
        </w:tc>
        <w:tc>
          <w:tcPr>
            <w:tcW w:w="136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Paola</w:t>
            </w:r>
          </w:p>
        </w:tc>
        <w:tc>
          <w:tcPr>
            <w:tcW w:w="166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Deantoni</w:t>
            </w:r>
          </w:p>
        </w:tc>
        <w:tc>
          <w:tcPr>
            <w:tcW w:w="219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Societe Generale</w:t>
            </w:r>
          </w:p>
        </w:tc>
        <w:tc>
          <w:tcPr>
            <w:tcW w:w="1140" w:type="dxa"/>
            <w:tcBorders>
              <w:top w:val="nil"/>
              <w:left w:val="nil"/>
              <w:bottom w:val="single" w:sz="8" w:space="0" w:color="auto"/>
              <w:right w:val="single" w:sz="8" w:space="0" w:color="auto"/>
            </w:tcBorders>
            <w:shd w:val="clear" w:color="auto" w:fill="auto"/>
            <w:noWrap/>
            <w:vAlign w:val="bottom"/>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Excused</w:t>
            </w:r>
          </w:p>
        </w:tc>
      </w:tr>
      <w:tr w:rsidR="000D0C64" w:rsidRPr="000D0C64" w:rsidTr="000D0C64">
        <w:trPr>
          <w:trHeight w:val="315"/>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LU</w:t>
            </w:r>
          </w:p>
        </w:tc>
        <w:tc>
          <w:tcPr>
            <w:tcW w:w="567"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Nicolas</w:t>
            </w:r>
          </w:p>
        </w:tc>
        <w:tc>
          <w:tcPr>
            <w:tcW w:w="166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Godfrey</w:t>
            </w:r>
          </w:p>
        </w:tc>
        <w:tc>
          <w:tcPr>
            <w:tcW w:w="219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Clearstream</w:t>
            </w:r>
          </w:p>
        </w:tc>
        <w:tc>
          <w:tcPr>
            <w:tcW w:w="1140" w:type="dxa"/>
            <w:tcBorders>
              <w:top w:val="nil"/>
              <w:left w:val="nil"/>
              <w:bottom w:val="single" w:sz="8" w:space="0" w:color="auto"/>
              <w:right w:val="single" w:sz="8" w:space="0" w:color="auto"/>
            </w:tcBorders>
            <w:shd w:val="clear" w:color="auto" w:fill="auto"/>
            <w:noWrap/>
            <w:vAlign w:val="bottom"/>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Excused</w:t>
            </w:r>
          </w:p>
        </w:tc>
      </w:tr>
      <w:tr w:rsidR="000D0C64" w:rsidRPr="000D0C64" w:rsidTr="000D0C64">
        <w:trPr>
          <w:trHeight w:val="315"/>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LU</w:t>
            </w:r>
          </w:p>
        </w:tc>
        <w:tc>
          <w:tcPr>
            <w:tcW w:w="567" w:type="dxa"/>
            <w:tcBorders>
              <w:top w:val="nil"/>
              <w:left w:val="nil"/>
              <w:bottom w:val="single" w:sz="8" w:space="0" w:color="auto"/>
              <w:right w:val="single" w:sz="8" w:space="0" w:color="auto"/>
            </w:tcBorders>
            <w:shd w:val="clear" w:color="000000" w:fill="FFFFFF"/>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000000" w:fill="FFFFFF"/>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Bernard</w:t>
            </w:r>
          </w:p>
        </w:tc>
        <w:tc>
          <w:tcPr>
            <w:tcW w:w="1660" w:type="dxa"/>
            <w:tcBorders>
              <w:top w:val="nil"/>
              <w:left w:val="nil"/>
              <w:bottom w:val="single" w:sz="8" w:space="0" w:color="auto"/>
              <w:right w:val="single" w:sz="8" w:space="0" w:color="auto"/>
            </w:tcBorders>
            <w:shd w:val="clear" w:color="000000" w:fill="FFFFFF"/>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Lenelle</w:t>
            </w:r>
          </w:p>
        </w:tc>
        <w:tc>
          <w:tcPr>
            <w:tcW w:w="2190" w:type="dxa"/>
            <w:tcBorders>
              <w:top w:val="nil"/>
              <w:left w:val="nil"/>
              <w:bottom w:val="single" w:sz="8" w:space="0" w:color="auto"/>
              <w:right w:val="single" w:sz="8" w:space="0" w:color="auto"/>
            </w:tcBorders>
            <w:shd w:val="clear" w:color="000000" w:fill="FFFFFF"/>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Clearstream</w:t>
            </w:r>
          </w:p>
        </w:tc>
        <w:tc>
          <w:tcPr>
            <w:tcW w:w="1140" w:type="dxa"/>
            <w:tcBorders>
              <w:top w:val="nil"/>
              <w:left w:val="nil"/>
              <w:bottom w:val="single" w:sz="8" w:space="0" w:color="auto"/>
              <w:right w:val="single" w:sz="8" w:space="0" w:color="auto"/>
            </w:tcBorders>
            <w:shd w:val="clear" w:color="auto" w:fill="auto"/>
            <w:noWrap/>
            <w:vAlign w:val="bottom"/>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Excused</w:t>
            </w:r>
          </w:p>
        </w:tc>
      </w:tr>
      <w:tr w:rsidR="000D0C64" w:rsidRPr="000D0C64" w:rsidTr="000D0C64">
        <w:trPr>
          <w:trHeight w:val="330"/>
        </w:trPr>
        <w:tc>
          <w:tcPr>
            <w:tcW w:w="983" w:type="dxa"/>
            <w:tcBorders>
              <w:top w:val="nil"/>
              <w:left w:val="single" w:sz="8" w:space="0" w:color="auto"/>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SG</w:t>
            </w:r>
          </w:p>
        </w:tc>
        <w:tc>
          <w:tcPr>
            <w:tcW w:w="567"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Jyi-Chen</w:t>
            </w:r>
          </w:p>
        </w:tc>
        <w:tc>
          <w:tcPr>
            <w:tcW w:w="166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Chueh</w:t>
            </w:r>
          </w:p>
        </w:tc>
        <w:tc>
          <w:tcPr>
            <w:tcW w:w="219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Standard Chartered</w:t>
            </w:r>
          </w:p>
        </w:tc>
        <w:tc>
          <w:tcPr>
            <w:tcW w:w="114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Webdings" w:hAnsi="Webdings" w:cs="Times New Roman"/>
                <w:color w:val="000000"/>
                <w:sz w:val="22"/>
                <w:szCs w:val="22"/>
              </w:rPr>
            </w:pPr>
            <w:r w:rsidRPr="000D0C64">
              <w:rPr>
                <w:rFonts w:ascii="Webdings" w:hAnsi="Webdings" w:cs="Times New Roman"/>
                <w:color w:val="000000"/>
                <w:sz w:val="22"/>
                <w:szCs w:val="22"/>
              </w:rPr>
              <w:t></w:t>
            </w:r>
          </w:p>
        </w:tc>
      </w:tr>
      <w:tr w:rsidR="000D0C64" w:rsidRPr="000D0C64" w:rsidTr="000D0C64">
        <w:trPr>
          <w:trHeight w:val="315"/>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UK &amp; IE</w:t>
            </w:r>
          </w:p>
        </w:tc>
        <w:tc>
          <w:tcPr>
            <w:tcW w:w="567"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Gabriel</w:t>
            </w:r>
          </w:p>
        </w:tc>
        <w:tc>
          <w:tcPr>
            <w:tcW w:w="166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Sampaio</w:t>
            </w:r>
          </w:p>
        </w:tc>
        <w:tc>
          <w:tcPr>
            <w:tcW w:w="219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BNP Paribas</w:t>
            </w:r>
          </w:p>
        </w:tc>
        <w:tc>
          <w:tcPr>
            <w:tcW w:w="1140" w:type="dxa"/>
            <w:tcBorders>
              <w:top w:val="nil"/>
              <w:left w:val="nil"/>
              <w:bottom w:val="single" w:sz="8" w:space="0" w:color="auto"/>
              <w:right w:val="single" w:sz="8" w:space="0" w:color="auto"/>
            </w:tcBorders>
            <w:shd w:val="clear" w:color="auto" w:fill="auto"/>
            <w:noWrap/>
            <w:vAlign w:val="bottom"/>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Excused</w:t>
            </w:r>
          </w:p>
        </w:tc>
      </w:tr>
      <w:tr w:rsidR="000D0C64" w:rsidRPr="000D0C64" w:rsidTr="000D0C64">
        <w:trPr>
          <w:trHeight w:val="315"/>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US</w:t>
            </w:r>
          </w:p>
        </w:tc>
        <w:tc>
          <w:tcPr>
            <w:tcW w:w="567"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Paul</w:t>
            </w:r>
          </w:p>
        </w:tc>
        <w:tc>
          <w:tcPr>
            <w:tcW w:w="166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Fullam</w:t>
            </w:r>
          </w:p>
        </w:tc>
        <w:tc>
          <w:tcPr>
            <w:tcW w:w="219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FIS Global</w:t>
            </w:r>
          </w:p>
        </w:tc>
        <w:tc>
          <w:tcPr>
            <w:tcW w:w="1140" w:type="dxa"/>
            <w:tcBorders>
              <w:top w:val="nil"/>
              <w:left w:val="nil"/>
              <w:bottom w:val="single" w:sz="8" w:space="0" w:color="auto"/>
              <w:right w:val="single" w:sz="8" w:space="0" w:color="auto"/>
            </w:tcBorders>
            <w:shd w:val="clear" w:color="auto" w:fill="auto"/>
            <w:noWrap/>
            <w:vAlign w:val="bottom"/>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Excused</w:t>
            </w:r>
          </w:p>
        </w:tc>
      </w:tr>
      <w:tr w:rsidR="000D0C64" w:rsidRPr="000D0C64" w:rsidTr="000D0C64">
        <w:trPr>
          <w:trHeight w:val="330"/>
        </w:trPr>
        <w:tc>
          <w:tcPr>
            <w:tcW w:w="983" w:type="dxa"/>
            <w:tcBorders>
              <w:top w:val="nil"/>
              <w:left w:val="single" w:sz="8" w:space="0" w:color="auto"/>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US</w:t>
            </w:r>
          </w:p>
        </w:tc>
        <w:tc>
          <w:tcPr>
            <w:tcW w:w="567"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Mrs</w:t>
            </w:r>
          </w:p>
        </w:tc>
        <w:tc>
          <w:tcPr>
            <w:tcW w:w="136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Vandana</w:t>
            </w:r>
          </w:p>
        </w:tc>
        <w:tc>
          <w:tcPr>
            <w:tcW w:w="166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Pasricha</w:t>
            </w:r>
          </w:p>
        </w:tc>
        <w:tc>
          <w:tcPr>
            <w:tcW w:w="219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BBH</w:t>
            </w:r>
          </w:p>
        </w:tc>
        <w:tc>
          <w:tcPr>
            <w:tcW w:w="114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Webdings" w:hAnsi="Webdings" w:cs="Times New Roman"/>
                <w:color w:val="000000"/>
                <w:sz w:val="22"/>
                <w:szCs w:val="22"/>
              </w:rPr>
            </w:pPr>
            <w:r w:rsidRPr="000D0C64">
              <w:rPr>
                <w:rFonts w:ascii="Webdings" w:hAnsi="Webdings" w:cs="Times New Roman"/>
                <w:color w:val="000000"/>
                <w:sz w:val="22"/>
                <w:szCs w:val="22"/>
              </w:rPr>
              <w:t></w:t>
            </w:r>
          </w:p>
        </w:tc>
      </w:tr>
      <w:tr w:rsidR="000D0C64" w:rsidRPr="000D0C64" w:rsidTr="000D0C64">
        <w:trPr>
          <w:trHeight w:val="330"/>
        </w:trPr>
        <w:tc>
          <w:tcPr>
            <w:tcW w:w="983" w:type="dxa"/>
            <w:tcBorders>
              <w:top w:val="nil"/>
              <w:left w:val="single" w:sz="8" w:space="0" w:color="auto"/>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US</w:t>
            </w:r>
          </w:p>
        </w:tc>
        <w:tc>
          <w:tcPr>
            <w:tcW w:w="567"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Caleb</w:t>
            </w:r>
          </w:p>
        </w:tc>
        <w:tc>
          <w:tcPr>
            <w:tcW w:w="166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Lanfear</w:t>
            </w:r>
          </w:p>
        </w:tc>
        <w:tc>
          <w:tcPr>
            <w:tcW w:w="219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BBH</w:t>
            </w:r>
          </w:p>
        </w:tc>
        <w:tc>
          <w:tcPr>
            <w:tcW w:w="114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Webdings" w:hAnsi="Webdings" w:cs="Times New Roman"/>
                <w:color w:val="000000"/>
                <w:sz w:val="22"/>
                <w:szCs w:val="22"/>
              </w:rPr>
            </w:pPr>
            <w:r w:rsidRPr="000D0C64">
              <w:rPr>
                <w:rFonts w:ascii="Webdings" w:hAnsi="Webdings" w:cs="Times New Roman"/>
                <w:color w:val="000000"/>
                <w:sz w:val="22"/>
                <w:szCs w:val="22"/>
              </w:rPr>
              <w:t></w:t>
            </w:r>
          </w:p>
        </w:tc>
      </w:tr>
      <w:tr w:rsidR="000D0C64" w:rsidRPr="000D0C64" w:rsidTr="000D0C64">
        <w:trPr>
          <w:trHeight w:val="330"/>
        </w:trPr>
        <w:tc>
          <w:tcPr>
            <w:tcW w:w="983" w:type="dxa"/>
            <w:tcBorders>
              <w:top w:val="nil"/>
              <w:left w:val="single" w:sz="8" w:space="0" w:color="auto"/>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US</w:t>
            </w:r>
          </w:p>
        </w:tc>
        <w:tc>
          <w:tcPr>
            <w:tcW w:w="567"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Ian</w:t>
            </w:r>
          </w:p>
        </w:tc>
        <w:tc>
          <w:tcPr>
            <w:tcW w:w="166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De Sacia</w:t>
            </w:r>
          </w:p>
        </w:tc>
        <w:tc>
          <w:tcPr>
            <w:tcW w:w="219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DTCC</w:t>
            </w:r>
          </w:p>
        </w:tc>
        <w:tc>
          <w:tcPr>
            <w:tcW w:w="114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Webdings" w:hAnsi="Webdings" w:cs="Times New Roman"/>
                <w:color w:val="000000"/>
                <w:sz w:val="22"/>
                <w:szCs w:val="22"/>
              </w:rPr>
            </w:pPr>
            <w:r w:rsidRPr="000D0C64">
              <w:rPr>
                <w:rFonts w:ascii="Webdings" w:hAnsi="Webdings" w:cs="Times New Roman"/>
                <w:color w:val="000000"/>
                <w:sz w:val="22"/>
                <w:szCs w:val="22"/>
              </w:rPr>
              <w:t></w:t>
            </w:r>
          </w:p>
        </w:tc>
      </w:tr>
      <w:tr w:rsidR="000D0C64" w:rsidRPr="000D0C64" w:rsidTr="000D0C64">
        <w:trPr>
          <w:trHeight w:val="330"/>
        </w:trPr>
        <w:tc>
          <w:tcPr>
            <w:tcW w:w="983" w:type="dxa"/>
            <w:tcBorders>
              <w:top w:val="nil"/>
              <w:left w:val="single" w:sz="8" w:space="0" w:color="auto"/>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US</w:t>
            </w:r>
          </w:p>
        </w:tc>
        <w:tc>
          <w:tcPr>
            <w:tcW w:w="567"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Steven</w:t>
            </w:r>
          </w:p>
        </w:tc>
        <w:tc>
          <w:tcPr>
            <w:tcW w:w="166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Sloan</w:t>
            </w:r>
          </w:p>
        </w:tc>
        <w:tc>
          <w:tcPr>
            <w:tcW w:w="219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DTCC</w:t>
            </w:r>
          </w:p>
        </w:tc>
        <w:tc>
          <w:tcPr>
            <w:tcW w:w="114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Webdings" w:hAnsi="Webdings" w:cs="Times New Roman"/>
                <w:color w:val="000000"/>
                <w:sz w:val="22"/>
                <w:szCs w:val="22"/>
              </w:rPr>
            </w:pPr>
            <w:r w:rsidRPr="000D0C64">
              <w:rPr>
                <w:rFonts w:ascii="Webdings" w:hAnsi="Webdings" w:cs="Times New Roman"/>
                <w:color w:val="000000"/>
                <w:sz w:val="22"/>
                <w:szCs w:val="22"/>
              </w:rPr>
              <w:t></w:t>
            </w:r>
          </w:p>
        </w:tc>
      </w:tr>
      <w:tr w:rsidR="000D0C64" w:rsidRPr="000D0C64" w:rsidTr="000D0C64">
        <w:trPr>
          <w:trHeight w:val="330"/>
        </w:trPr>
        <w:tc>
          <w:tcPr>
            <w:tcW w:w="983" w:type="dxa"/>
            <w:tcBorders>
              <w:top w:val="nil"/>
              <w:left w:val="single" w:sz="8" w:space="0" w:color="auto"/>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XS</w:t>
            </w:r>
          </w:p>
        </w:tc>
        <w:tc>
          <w:tcPr>
            <w:tcW w:w="567"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Mrs</w:t>
            </w:r>
          </w:p>
        </w:tc>
        <w:tc>
          <w:tcPr>
            <w:tcW w:w="136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Delphine</w:t>
            </w:r>
          </w:p>
        </w:tc>
        <w:tc>
          <w:tcPr>
            <w:tcW w:w="166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Haillez</w:t>
            </w:r>
          </w:p>
        </w:tc>
        <w:tc>
          <w:tcPr>
            <w:tcW w:w="219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Euroclear</w:t>
            </w:r>
          </w:p>
        </w:tc>
        <w:tc>
          <w:tcPr>
            <w:tcW w:w="114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Webdings" w:hAnsi="Webdings" w:cs="Times New Roman"/>
                <w:color w:val="000000"/>
                <w:sz w:val="22"/>
                <w:szCs w:val="22"/>
              </w:rPr>
            </w:pPr>
            <w:r w:rsidRPr="000D0C64">
              <w:rPr>
                <w:rFonts w:ascii="Webdings" w:hAnsi="Webdings" w:cs="Times New Roman"/>
                <w:color w:val="000000"/>
                <w:sz w:val="22"/>
                <w:szCs w:val="22"/>
              </w:rPr>
              <w:t></w:t>
            </w:r>
          </w:p>
        </w:tc>
      </w:tr>
      <w:tr w:rsidR="000D0C64" w:rsidRPr="000D0C64" w:rsidTr="000D0C64">
        <w:trPr>
          <w:trHeight w:val="315"/>
        </w:trPr>
        <w:tc>
          <w:tcPr>
            <w:tcW w:w="983" w:type="dxa"/>
            <w:tcBorders>
              <w:top w:val="nil"/>
              <w:left w:val="single" w:sz="8" w:space="0" w:color="auto"/>
              <w:bottom w:val="single" w:sz="8" w:space="0" w:color="auto"/>
              <w:right w:val="single" w:sz="8" w:space="0" w:color="auto"/>
            </w:tcBorders>
            <w:shd w:val="clear" w:color="auto" w:fill="auto"/>
            <w:noWrap/>
            <w:vAlign w:val="bottom"/>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XS</w:t>
            </w:r>
          </w:p>
        </w:tc>
        <w:tc>
          <w:tcPr>
            <w:tcW w:w="567" w:type="dxa"/>
            <w:tcBorders>
              <w:top w:val="nil"/>
              <w:left w:val="nil"/>
              <w:bottom w:val="single" w:sz="8" w:space="0" w:color="auto"/>
              <w:right w:val="single" w:sz="8" w:space="0" w:color="auto"/>
            </w:tcBorders>
            <w:shd w:val="clear" w:color="auto" w:fill="auto"/>
            <w:noWrap/>
            <w:vAlign w:val="bottom"/>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Eric</w:t>
            </w:r>
          </w:p>
        </w:tc>
        <w:tc>
          <w:tcPr>
            <w:tcW w:w="1660" w:type="dxa"/>
            <w:tcBorders>
              <w:top w:val="nil"/>
              <w:left w:val="nil"/>
              <w:bottom w:val="single" w:sz="8" w:space="0" w:color="auto"/>
              <w:right w:val="single" w:sz="8" w:space="0" w:color="auto"/>
            </w:tcBorders>
            <w:shd w:val="clear" w:color="auto" w:fill="auto"/>
            <w:noWrap/>
            <w:vAlign w:val="bottom"/>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Marega</w:t>
            </w:r>
          </w:p>
        </w:tc>
        <w:tc>
          <w:tcPr>
            <w:tcW w:w="2190" w:type="dxa"/>
            <w:tcBorders>
              <w:top w:val="nil"/>
              <w:left w:val="nil"/>
              <w:bottom w:val="single" w:sz="8" w:space="0" w:color="auto"/>
              <w:right w:val="single" w:sz="8" w:space="0" w:color="auto"/>
            </w:tcBorders>
            <w:shd w:val="clear" w:color="auto" w:fill="auto"/>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Euroclear</w:t>
            </w:r>
          </w:p>
        </w:tc>
        <w:tc>
          <w:tcPr>
            <w:tcW w:w="1140" w:type="dxa"/>
            <w:tcBorders>
              <w:top w:val="nil"/>
              <w:left w:val="nil"/>
              <w:bottom w:val="single" w:sz="8" w:space="0" w:color="auto"/>
              <w:right w:val="single" w:sz="8" w:space="0" w:color="auto"/>
            </w:tcBorders>
            <w:shd w:val="clear" w:color="auto" w:fill="auto"/>
            <w:noWrap/>
            <w:vAlign w:val="bottom"/>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Excused</w:t>
            </w:r>
          </w:p>
        </w:tc>
      </w:tr>
      <w:tr w:rsidR="000D0C64" w:rsidRPr="000D0C64" w:rsidTr="000D0C64">
        <w:trPr>
          <w:trHeight w:val="330"/>
        </w:trPr>
        <w:tc>
          <w:tcPr>
            <w:tcW w:w="983" w:type="dxa"/>
            <w:tcBorders>
              <w:top w:val="nil"/>
              <w:left w:val="single" w:sz="8" w:space="0" w:color="auto"/>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ZA</w:t>
            </w:r>
          </w:p>
        </w:tc>
        <w:tc>
          <w:tcPr>
            <w:tcW w:w="567"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Sanjeev</w:t>
            </w:r>
          </w:p>
        </w:tc>
        <w:tc>
          <w:tcPr>
            <w:tcW w:w="166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Jayram</w:t>
            </w:r>
          </w:p>
        </w:tc>
        <w:tc>
          <w:tcPr>
            <w:tcW w:w="219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First National Bank</w:t>
            </w:r>
          </w:p>
        </w:tc>
        <w:tc>
          <w:tcPr>
            <w:tcW w:w="114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Webdings" w:hAnsi="Webdings" w:cs="Times New Roman"/>
                <w:color w:val="000000"/>
                <w:sz w:val="22"/>
                <w:szCs w:val="22"/>
              </w:rPr>
            </w:pPr>
            <w:r w:rsidRPr="000D0C64">
              <w:rPr>
                <w:rFonts w:ascii="Webdings" w:hAnsi="Webdings" w:cs="Times New Roman"/>
                <w:color w:val="000000"/>
                <w:sz w:val="22"/>
                <w:szCs w:val="22"/>
              </w:rPr>
              <w:t></w:t>
            </w:r>
          </w:p>
        </w:tc>
      </w:tr>
      <w:tr w:rsidR="000D0C64" w:rsidRPr="000D0C64" w:rsidTr="000D0C64">
        <w:trPr>
          <w:trHeight w:val="330"/>
        </w:trPr>
        <w:tc>
          <w:tcPr>
            <w:tcW w:w="983" w:type="dxa"/>
            <w:tcBorders>
              <w:top w:val="nil"/>
              <w:left w:val="single" w:sz="8" w:space="0" w:color="auto"/>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ZA</w:t>
            </w:r>
          </w:p>
        </w:tc>
        <w:tc>
          <w:tcPr>
            <w:tcW w:w="567"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Dale</w:t>
            </w:r>
          </w:p>
        </w:tc>
        <w:tc>
          <w:tcPr>
            <w:tcW w:w="166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Van Rayne</w:t>
            </w:r>
          </w:p>
        </w:tc>
        <w:tc>
          <w:tcPr>
            <w:tcW w:w="219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First National Bank</w:t>
            </w:r>
          </w:p>
        </w:tc>
        <w:tc>
          <w:tcPr>
            <w:tcW w:w="114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Webdings" w:hAnsi="Webdings" w:cs="Times New Roman"/>
                <w:color w:val="000000"/>
                <w:sz w:val="22"/>
                <w:szCs w:val="22"/>
              </w:rPr>
            </w:pPr>
            <w:r w:rsidRPr="000D0C64">
              <w:rPr>
                <w:rFonts w:ascii="Webdings" w:hAnsi="Webdings" w:cs="Times New Roman"/>
                <w:color w:val="000000"/>
                <w:sz w:val="22"/>
                <w:szCs w:val="22"/>
              </w:rPr>
              <w:t></w:t>
            </w:r>
          </w:p>
        </w:tc>
      </w:tr>
      <w:tr w:rsidR="000D0C64" w:rsidRPr="000D0C64" w:rsidTr="000D0C64">
        <w:trPr>
          <w:trHeight w:val="330"/>
        </w:trPr>
        <w:tc>
          <w:tcPr>
            <w:tcW w:w="983" w:type="dxa"/>
            <w:tcBorders>
              <w:top w:val="nil"/>
              <w:left w:val="single" w:sz="8" w:space="0" w:color="auto"/>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ZA</w:t>
            </w:r>
          </w:p>
        </w:tc>
        <w:tc>
          <w:tcPr>
            <w:tcW w:w="567"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Calibri" w:hAnsi="Calibri" w:cs="Times New Roman"/>
                <w:color w:val="000000"/>
                <w:sz w:val="22"/>
                <w:szCs w:val="22"/>
              </w:rPr>
            </w:pPr>
            <w:r w:rsidRPr="000D0C64">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Yusuf</w:t>
            </w:r>
          </w:p>
        </w:tc>
        <w:tc>
          <w:tcPr>
            <w:tcW w:w="166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Basha</w:t>
            </w:r>
          </w:p>
        </w:tc>
        <w:tc>
          <w:tcPr>
            <w:tcW w:w="219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rPr>
                <w:rFonts w:ascii="Calibri" w:hAnsi="Calibri" w:cs="Times New Roman"/>
                <w:color w:val="000000"/>
                <w:sz w:val="22"/>
                <w:szCs w:val="22"/>
              </w:rPr>
            </w:pPr>
            <w:r w:rsidRPr="000D0C64">
              <w:rPr>
                <w:rFonts w:ascii="Calibri" w:hAnsi="Calibri" w:cs="Times New Roman"/>
                <w:color w:val="000000"/>
                <w:sz w:val="22"/>
                <w:szCs w:val="22"/>
              </w:rPr>
              <w:t>First National Bank</w:t>
            </w:r>
          </w:p>
        </w:tc>
        <w:tc>
          <w:tcPr>
            <w:tcW w:w="1140" w:type="dxa"/>
            <w:tcBorders>
              <w:top w:val="nil"/>
              <w:left w:val="nil"/>
              <w:bottom w:val="single" w:sz="8" w:space="0" w:color="auto"/>
              <w:right w:val="single" w:sz="8" w:space="0" w:color="auto"/>
            </w:tcBorders>
            <w:shd w:val="clear" w:color="000000" w:fill="01FF74"/>
            <w:vAlign w:val="center"/>
            <w:hideMark/>
          </w:tcPr>
          <w:p w:rsidR="000D0C64" w:rsidRPr="000D0C64" w:rsidRDefault="000D0C64" w:rsidP="000D0C64">
            <w:pPr>
              <w:spacing w:after="0"/>
              <w:jc w:val="center"/>
              <w:rPr>
                <w:rFonts w:ascii="Webdings" w:hAnsi="Webdings" w:cs="Times New Roman"/>
                <w:color w:val="000000"/>
                <w:sz w:val="22"/>
                <w:szCs w:val="22"/>
              </w:rPr>
            </w:pPr>
            <w:r w:rsidRPr="000D0C64">
              <w:rPr>
                <w:rFonts w:ascii="Webdings" w:hAnsi="Webdings" w:cs="Times New Roman"/>
                <w:color w:val="000000"/>
                <w:sz w:val="22"/>
                <w:szCs w:val="22"/>
              </w:rPr>
              <w:t></w:t>
            </w:r>
          </w:p>
        </w:tc>
      </w:tr>
    </w:tbl>
    <w:p w:rsidR="000D0C64" w:rsidRDefault="000D0C64" w:rsidP="00EF7F89">
      <w:pPr>
        <w:rPr>
          <w:lang w:eastAsia="en-GB"/>
        </w:rPr>
      </w:pPr>
    </w:p>
    <w:p w:rsidR="00AD0A2F" w:rsidRDefault="004A6867" w:rsidP="00EF7F89">
      <w:pPr>
        <w:rPr>
          <w:lang w:eastAsia="en-GB"/>
        </w:rPr>
      </w:pPr>
      <w:r>
        <w:rPr>
          <w:lang w:eastAsia="en-GB"/>
        </w:rPr>
        <w:lastRenderedPageBreak/>
        <w:t xml:space="preserve">The group is pleased to welcome a new </w:t>
      </w:r>
      <w:r w:rsidR="00AB1053">
        <w:rPr>
          <w:lang w:eastAsia="en-GB"/>
        </w:rPr>
        <w:t>AU representative</w:t>
      </w:r>
      <w:r>
        <w:rPr>
          <w:lang w:eastAsia="en-GB"/>
        </w:rPr>
        <w:t>: Narelle Rutter.</w:t>
      </w:r>
      <w:r w:rsidR="00EF7F89">
        <w:rPr>
          <w:lang w:eastAsia="en-GB"/>
        </w:rPr>
        <w:t xml:space="preserve"> </w:t>
      </w:r>
      <w:r w:rsidR="0001198E">
        <w:rPr>
          <w:lang w:eastAsia="en-GB"/>
        </w:rPr>
        <w:t>She is Head of Operations at BP2S Australia. Before BP2S, Narelle was already involved in Operations and SWIFT topics.</w:t>
      </w:r>
    </w:p>
    <w:p w:rsidR="0001198E" w:rsidRDefault="0001198E" w:rsidP="00EF7F89">
      <w:pPr>
        <w:rPr>
          <w:lang w:eastAsia="en-GB"/>
        </w:rPr>
      </w:pPr>
      <w:r>
        <w:rPr>
          <w:lang w:eastAsia="en-GB"/>
        </w:rPr>
        <w:t>The Tax sub-group is also pleased to welcome Ian De Sacia and Steven Sloan from DTCC who will present their need regarding Deemed events and the related Change Request that will be presented to the next SR2018 Maintenance Working Group.</w:t>
      </w:r>
    </w:p>
    <w:p w:rsidR="001545BC" w:rsidRDefault="001545BC" w:rsidP="00EF7F89">
      <w:pPr>
        <w:pStyle w:val="Heading1"/>
        <w:numPr>
          <w:ilvl w:val="0"/>
          <w:numId w:val="0"/>
        </w:numPr>
      </w:pPr>
      <w:bookmarkStart w:id="4" w:name="OLE_LINK5"/>
      <w:bookmarkStart w:id="5" w:name="OLE_LINK8"/>
      <w:bookmarkStart w:id="6" w:name="_Toc485062239"/>
      <w:bookmarkEnd w:id="2"/>
      <w:bookmarkEnd w:id="3"/>
      <w:r>
        <w:t xml:space="preserve">Approval / </w:t>
      </w:r>
      <w:r w:rsidRPr="004F2C52">
        <w:t>comments o</w:t>
      </w:r>
      <w:r w:rsidR="00123CBF">
        <w:t xml:space="preserve">n </w:t>
      </w:r>
      <w:r w:rsidR="0001198E">
        <w:t>January 26th</w:t>
      </w:r>
      <w:r w:rsidR="009C54FA">
        <w:t xml:space="preserve"> </w:t>
      </w:r>
      <w:r w:rsidR="00D127E9">
        <w:t>minutes</w:t>
      </w:r>
      <w:r w:rsidR="009A687E">
        <w:t xml:space="preserve"> call</w:t>
      </w:r>
      <w:bookmarkEnd w:id="6"/>
    </w:p>
    <w:p w:rsidR="00C46D9B" w:rsidRDefault="00C46D9B" w:rsidP="001545BC">
      <w:pPr>
        <w:rPr>
          <w:lang w:eastAsia="en-GB"/>
        </w:rPr>
      </w:pPr>
      <w:r>
        <w:rPr>
          <w:lang w:eastAsia="en-GB"/>
        </w:rPr>
        <w:t>Last minutes approved</w:t>
      </w:r>
    </w:p>
    <w:p w:rsidR="00110DA4" w:rsidRDefault="00EF7F89" w:rsidP="00EF7F89">
      <w:pPr>
        <w:pStyle w:val="Heading1"/>
        <w:numPr>
          <w:ilvl w:val="0"/>
          <w:numId w:val="0"/>
        </w:numPr>
      </w:pPr>
      <w:bookmarkStart w:id="7" w:name="_Toc485062240"/>
      <w:r>
        <w:t>CA 35</w:t>
      </w:r>
      <w:r w:rsidR="00BE0A8A">
        <w:t>8</w:t>
      </w:r>
      <w:r>
        <w:t xml:space="preserve">. </w:t>
      </w:r>
      <w:r w:rsidR="00110DA4">
        <w:t>Tax Table</w:t>
      </w:r>
      <w:r w:rsidR="00A2754D">
        <w:t xml:space="preserve"> – Cleaning of un-used Tax qualifiers</w:t>
      </w:r>
      <w:bookmarkEnd w:id="7"/>
      <w:r w:rsidR="001545BC">
        <w:t xml:space="preserve"> </w:t>
      </w:r>
    </w:p>
    <w:p w:rsidR="008067B2" w:rsidRPr="00270D0A" w:rsidRDefault="00F11DC0" w:rsidP="00110DA4">
      <w:pPr>
        <w:rPr>
          <w:lang w:eastAsia="en-GB"/>
        </w:rPr>
      </w:pPr>
      <w:r w:rsidRPr="00270D0A">
        <w:rPr>
          <w:lang w:eastAsia="en-GB"/>
        </w:rPr>
        <w:t>S</w:t>
      </w:r>
      <w:r w:rsidR="000B16A1" w:rsidRPr="00270D0A">
        <w:rPr>
          <w:lang w:eastAsia="en-GB"/>
        </w:rPr>
        <w:t>tatistics provided by Jacques based on 3 months traffic in 2014</w:t>
      </w:r>
      <w:r w:rsidR="00914EE6" w:rsidRPr="00270D0A">
        <w:rPr>
          <w:lang w:eastAsia="en-GB"/>
        </w:rPr>
        <w:t xml:space="preserve"> (please see attached)</w:t>
      </w:r>
    </w:p>
    <w:p w:rsidR="00E909FE" w:rsidRDefault="00E909FE" w:rsidP="00110DA4">
      <w:pPr>
        <w:rPr>
          <w:lang w:eastAsia="en-GB"/>
        </w:rPr>
      </w:pPr>
      <w:r w:rsidRPr="00270D0A">
        <w:rPr>
          <w:lang w:eastAsia="en-GB"/>
        </w:rPr>
        <w:t>In accordance with the SR2016, WITL code has been removed from the table.</w:t>
      </w:r>
    </w:p>
    <w:bookmarkStart w:id="8" w:name="_MON_1543315314"/>
    <w:bookmarkEnd w:id="8"/>
    <w:p w:rsidR="000B16A1" w:rsidRDefault="00515B61" w:rsidP="00110DA4">
      <w:pPr>
        <w:rPr>
          <w:lang w:eastAsia="en-GB"/>
        </w:rPr>
      </w:pPr>
      <w:r>
        <w:rPr>
          <w:lang w:eastAsia="en-GB"/>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Excel.Sheet.12" ShapeID="_x0000_i1025" DrawAspect="Icon" ObjectID="_1558804131" r:id="rId11"/>
        </w:object>
      </w:r>
    </w:p>
    <w:p w:rsidR="00914EE6" w:rsidRDefault="00E909FE" w:rsidP="00110DA4">
      <w:pPr>
        <w:rPr>
          <w:lang w:eastAsia="en-GB"/>
        </w:rPr>
      </w:pPr>
      <w:r>
        <w:rPr>
          <w:lang w:eastAsia="en-GB"/>
        </w:rPr>
        <w:t>F</w:t>
      </w:r>
      <w:r w:rsidR="009C54FA">
        <w:rPr>
          <w:lang w:eastAsia="en-GB"/>
        </w:rPr>
        <w:t>eedbacks already received</w:t>
      </w:r>
      <w:r w:rsidR="00914EE6">
        <w:rPr>
          <w:lang w:eastAsia="en-GB"/>
        </w:rPr>
        <w:t>:</w:t>
      </w:r>
    </w:p>
    <w:p w:rsidR="00C04F50" w:rsidRPr="009C54FA" w:rsidRDefault="00C04F50" w:rsidP="00110DA4">
      <w:pPr>
        <w:rPr>
          <w:b/>
          <w:u w:val="single"/>
          <w:lang w:eastAsia="en-GB"/>
        </w:rPr>
      </w:pPr>
      <w:r w:rsidRPr="009C54FA">
        <w:rPr>
          <w:b/>
          <w:u w:val="single"/>
          <w:lang w:eastAsia="en-GB"/>
        </w:rPr>
        <w:t>NRES.</w:t>
      </w:r>
    </w:p>
    <w:p w:rsidR="004A683B" w:rsidRDefault="004A683B" w:rsidP="00110DA4">
      <w:pPr>
        <w:rPr>
          <w:lang w:eastAsia="en-GB"/>
        </w:rPr>
      </w:pPr>
      <w:r>
        <w:rPr>
          <w:lang w:eastAsia="en-GB"/>
        </w:rPr>
        <w:t>ZA: no specific Non-resident taxation</w:t>
      </w:r>
    </w:p>
    <w:p w:rsidR="00C04F50" w:rsidRDefault="00C04F50" w:rsidP="00110DA4">
      <w:pPr>
        <w:rPr>
          <w:lang w:eastAsia="en-GB"/>
        </w:rPr>
      </w:pPr>
      <w:r>
        <w:rPr>
          <w:lang w:eastAsia="en-GB"/>
        </w:rPr>
        <w:t xml:space="preserve">Euroclear: NRES </w:t>
      </w:r>
      <w:r w:rsidR="00D505C6" w:rsidRPr="009C54FA">
        <w:rPr>
          <w:lang w:eastAsia="en-GB"/>
        </w:rPr>
        <w:t>not used</w:t>
      </w:r>
    </w:p>
    <w:p w:rsidR="00C04F50" w:rsidRDefault="00C04F50" w:rsidP="00110DA4">
      <w:pPr>
        <w:rPr>
          <w:lang w:eastAsia="en-GB"/>
        </w:rPr>
      </w:pPr>
      <w:r>
        <w:rPr>
          <w:lang w:eastAsia="en-GB"/>
        </w:rPr>
        <w:t xml:space="preserve">SG: </w:t>
      </w:r>
      <w:r w:rsidR="00AB1053" w:rsidRPr="009C54FA">
        <w:rPr>
          <w:lang w:eastAsia="en-GB"/>
        </w:rPr>
        <w:t>not used</w:t>
      </w:r>
    </w:p>
    <w:p w:rsidR="003143AF" w:rsidRDefault="003143AF" w:rsidP="00110DA4">
      <w:pPr>
        <w:rPr>
          <w:lang w:eastAsia="en-GB"/>
        </w:rPr>
      </w:pPr>
      <w:r>
        <w:rPr>
          <w:lang w:eastAsia="en-GB"/>
        </w:rPr>
        <w:t xml:space="preserve">DE: </w:t>
      </w:r>
      <w:r w:rsidR="00920343">
        <w:rPr>
          <w:lang w:eastAsia="en-GB"/>
        </w:rPr>
        <w:t xml:space="preserve">not used at CSD level. Feedback still pending from all </w:t>
      </w:r>
      <w:r w:rsidR="00920343" w:rsidRPr="00920343">
        <w:rPr>
          <w:lang w:eastAsia="en-GB"/>
        </w:rPr>
        <w:t>DESSUG CA sub-group</w:t>
      </w:r>
    </w:p>
    <w:p w:rsidR="003143AF" w:rsidRDefault="003143AF" w:rsidP="00110DA4">
      <w:pPr>
        <w:rPr>
          <w:lang w:eastAsia="en-GB"/>
        </w:rPr>
      </w:pPr>
      <w:r w:rsidRPr="00270D0A">
        <w:rPr>
          <w:lang w:eastAsia="en-GB"/>
        </w:rPr>
        <w:t xml:space="preserve">FR: </w:t>
      </w:r>
      <w:r w:rsidR="00EF7F89" w:rsidRPr="00270D0A">
        <w:rPr>
          <w:lang w:eastAsia="en-GB"/>
        </w:rPr>
        <w:t xml:space="preserve">Confirmed that the French NMPG participants don’t use NRES code. </w:t>
      </w:r>
      <w:r w:rsidR="003B0AD5" w:rsidRPr="00270D0A">
        <w:rPr>
          <w:lang w:eastAsia="en-GB"/>
        </w:rPr>
        <w:br/>
      </w:r>
      <w:r w:rsidR="00EF7F89" w:rsidRPr="00270D0A">
        <w:rPr>
          <w:lang w:eastAsia="en-GB"/>
        </w:rPr>
        <w:t>One participant is using it but only for internal purpose</w:t>
      </w:r>
    </w:p>
    <w:p w:rsidR="00AB1053" w:rsidRDefault="00AB1053" w:rsidP="00110DA4">
      <w:pPr>
        <w:rPr>
          <w:lang w:eastAsia="en-GB"/>
        </w:rPr>
      </w:pPr>
      <w:r>
        <w:rPr>
          <w:lang w:eastAsia="en-GB"/>
        </w:rPr>
        <w:t>UK: not used</w:t>
      </w:r>
    </w:p>
    <w:p w:rsidR="006E15A0" w:rsidRDefault="006E15A0" w:rsidP="00110DA4">
      <w:pPr>
        <w:rPr>
          <w:lang w:eastAsia="en-GB"/>
        </w:rPr>
      </w:pPr>
      <w:r>
        <w:rPr>
          <w:lang w:eastAsia="en-GB"/>
        </w:rPr>
        <w:t xml:space="preserve">LU and XS (Clearstream): </w:t>
      </w:r>
      <w:r w:rsidRPr="009C54FA">
        <w:rPr>
          <w:lang w:eastAsia="en-GB"/>
        </w:rPr>
        <w:t>not used</w:t>
      </w:r>
    </w:p>
    <w:p w:rsidR="004A683B" w:rsidRDefault="004A683B" w:rsidP="00110DA4">
      <w:pPr>
        <w:rPr>
          <w:lang w:eastAsia="en-GB"/>
        </w:rPr>
      </w:pPr>
    </w:p>
    <w:p w:rsidR="00C04F50" w:rsidRPr="009C54FA" w:rsidRDefault="00C04F50" w:rsidP="009C54FA">
      <w:pPr>
        <w:rPr>
          <w:b/>
          <w:u w:val="single"/>
          <w:lang w:eastAsia="en-GB"/>
        </w:rPr>
      </w:pPr>
      <w:r w:rsidRPr="009C54FA">
        <w:rPr>
          <w:b/>
          <w:u w:val="single"/>
          <w:lang w:eastAsia="en-GB"/>
        </w:rPr>
        <w:t xml:space="preserve">TAXC </w:t>
      </w:r>
      <w:r w:rsidR="009C54FA" w:rsidRPr="009C54FA">
        <w:rPr>
          <w:b/>
          <w:u w:val="single"/>
          <w:lang w:eastAsia="en-GB"/>
        </w:rPr>
        <w:t xml:space="preserve">/ IMPU </w:t>
      </w:r>
      <w:r w:rsidRPr="009C54FA">
        <w:rPr>
          <w:b/>
          <w:u w:val="single"/>
          <w:lang w:eastAsia="en-GB"/>
        </w:rPr>
        <w:t xml:space="preserve">– </w:t>
      </w:r>
      <w:r w:rsidR="009C54FA" w:rsidRPr="009C54FA">
        <w:rPr>
          <w:b/>
          <w:u w:val="single"/>
          <w:lang w:eastAsia="en-GB"/>
        </w:rPr>
        <w:t xml:space="preserve">PREC – TIER </w:t>
      </w:r>
      <w:r w:rsidRPr="009C54FA">
        <w:rPr>
          <w:b/>
          <w:u w:val="single"/>
          <w:lang w:eastAsia="en-GB"/>
        </w:rPr>
        <w:t>rate type codes</w:t>
      </w:r>
      <w:r w:rsidR="009C54FA" w:rsidRPr="009C54FA">
        <w:rPr>
          <w:b/>
          <w:u w:val="single"/>
          <w:lang w:eastAsia="en-GB"/>
        </w:rPr>
        <w:t xml:space="preserve"> (Imputed Tax, Precomplete, One-Tier Tax)</w:t>
      </w:r>
      <w:r w:rsidR="009C54FA">
        <w:rPr>
          <w:b/>
          <w:u w:val="single"/>
          <w:lang w:eastAsia="en-GB"/>
        </w:rPr>
        <w:t>.</w:t>
      </w:r>
    </w:p>
    <w:p w:rsidR="00C04F50" w:rsidRDefault="00C04F50" w:rsidP="00110DA4">
      <w:pPr>
        <w:rPr>
          <w:lang w:eastAsia="en-GB"/>
        </w:rPr>
      </w:pPr>
      <w:r>
        <w:rPr>
          <w:lang w:eastAsia="en-GB"/>
        </w:rPr>
        <w:t xml:space="preserve">Euroclear: </w:t>
      </w:r>
      <w:r w:rsidR="00757411">
        <w:rPr>
          <w:lang w:eastAsia="en-GB"/>
        </w:rPr>
        <w:t>not used</w:t>
      </w:r>
    </w:p>
    <w:p w:rsidR="00C04F50" w:rsidRDefault="00C04F50" w:rsidP="00110DA4">
      <w:pPr>
        <w:rPr>
          <w:lang w:eastAsia="en-GB"/>
        </w:rPr>
      </w:pPr>
      <w:r>
        <w:rPr>
          <w:lang w:eastAsia="en-GB"/>
        </w:rPr>
        <w:t xml:space="preserve">ZA: not used for the moment but to be </w:t>
      </w:r>
      <w:r w:rsidR="00914EE6">
        <w:rPr>
          <w:lang w:eastAsia="en-GB"/>
        </w:rPr>
        <w:t>analyzed</w:t>
      </w:r>
    </w:p>
    <w:p w:rsidR="00C04F50" w:rsidRDefault="00C04F50" w:rsidP="00110DA4">
      <w:pPr>
        <w:rPr>
          <w:lang w:eastAsia="en-GB"/>
        </w:rPr>
      </w:pPr>
      <w:r>
        <w:rPr>
          <w:lang w:eastAsia="en-GB"/>
        </w:rPr>
        <w:t>SG: no</w:t>
      </w:r>
      <w:r w:rsidR="0054253A">
        <w:rPr>
          <w:lang w:eastAsia="en-GB"/>
        </w:rPr>
        <w:t>t used</w:t>
      </w:r>
    </w:p>
    <w:p w:rsidR="00920343" w:rsidRDefault="003143AF" w:rsidP="00110DA4">
      <w:pPr>
        <w:rPr>
          <w:lang w:eastAsia="en-GB"/>
        </w:rPr>
      </w:pPr>
      <w:r>
        <w:rPr>
          <w:lang w:eastAsia="en-GB"/>
        </w:rPr>
        <w:t xml:space="preserve">DE: </w:t>
      </w:r>
      <w:r w:rsidR="00920343">
        <w:rPr>
          <w:lang w:eastAsia="en-GB"/>
        </w:rPr>
        <w:t xml:space="preserve">not used at CSD level. Feedback still pending from all </w:t>
      </w:r>
      <w:r w:rsidR="00920343" w:rsidRPr="00920343">
        <w:rPr>
          <w:lang w:eastAsia="en-GB"/>
        </w:rPr>
        <w:t>DESSUG CA sub-group</w:t>
      </w:r>
      <w:r w:rsidR="00920343">
        <w:rPr>
          <w:lang w:eastAsia="en-GB"/>
        </w:rPr>
        <w:t xml:space="preserve"> </w:t>
      </w:r>
    </w:p>
    <w:p w:rsidR="003143AF" w:rsidRDefault="00AB1053" w:rsidP="00110DA4">
      <w:pPr>
        <w:rPr>
          <w:lang w:eastAsia="en-GB"/>
        </w:rPr>
      </w:pPr>
      <w:r>
        <w:rPr>
          <w:lang w:eastAsia="en-GB"/>
        </w:rPr>
        <w:t>FR</w:t>
      </w:r>
      <w:r w:rsidR="003143AF">
        <w:rPr>
          <w:lang w:eastAsia="en-GB"/>
        </w:rPr>
        <w:t>:</w:t>
      </w:r>
      <w:r w:rsidR="00F11DC0">
        <w:rPr>
          <w:lang w:eastAsia="en-GB"/>
        </w:rPr>
        <w:t xml:space="preserve"> Apparently not used; To be confirmed by a deeper check by all institutions</w:t>
      </w:r>
    </w:p>
    <w:p w:rsidR="00AB1053" w:rsidRDefault="00AB1053" w:rsidP="00110DA4">
      <w:pPr>
        <w:rPr>
          <w:lang w:eastAsia="en-GB"/>
        </w:rPr>
      </w:pPr>
      <w:r>
        <w:rPr>
          <w:lang w:eastAsia="en-GB"/>
        </w:rPr>
        <w:t>UK: not used</w:t>
      </w:r>
    </w:p>
    <w:p w:rsidR="006E15A0" w:rsidRDefault="006E15A0" w:rsidP="006E15A0">
      <w:pPr>
        <w:rPr>
          <w:lang w:eastAsia="en-GB"/>
        </w:rPr>
      </w:pPr>
      <w:r>
        <w:rPr>
          <w:lang w:eastAsia="en-GB"/>
        </w:rPr>
        <w:t xml:space="preserve">LU and XS (Clearstream): </w:t>
      </w:r>
      <w:r w:rsidRPr="009C54FA">
        <w:rPr>
          <w:lang w:eastAsia="en-GB"/>
        </w:rPr>
        <w:t>not used</w:t>
      </w:r>
    </w:p>
    <w:p w:rsidR="00C04F50" w:rsidRDefault="006E15A0" w:rsidP="00110DA4">
      <w:pPr>
        <w:rPr>
          <w:lang w:eastAsia="en-GB"/>
        </w:rPr>
      </w:pPr>
      <w:r>
        <w:rPr>
          <w:lang w:eastAsia="en-GB"/>
        </w:rPr>
        <w:t>Please see recap attached</w:t>
      </w:r>
    </w:p>
    <w:p w:rsidR="006E15A0" w:rsidRDefault="006E15A0" w:rsidP="00110DA4">
      <w:pPr>
        <w:rPr>
          <w:lang w:eastAsia="en-GB"/>
        </w:rPr>
      </w:pPr>
      <w:r>
        <w:rPr>
          <w:lang w:eastAsia="en-GB"/>
        </w:rPr>
        <w:object w:dxaOrig="1550" w:dyaOrig="991">
          <v:shape id="_x0000_i1026" type="#_x0000_t75" style="width:77.25pt;height:49.5pt" o:ole="">
            <v:imagedata r:id="rId12" o:title=""/>
          </v:shape>
          <o:OLEObject Type="Embed" ProgID="Excel.Sheet.12" ShapeID="_x0000_i1026" DrawAspect="Icon" ObjectID="_1558804132" r:id="rId13"/>
        </w:object>
      </w:r>
    </w:p>
    <w:p w:rsidR="00C04F50" w:rsidRDefault="00BE0A8A" w:rsidP="00110DA4">
      <w:pPr>
        <w:rPr>
          <w:lang w:eastAsia="en-GB"/>
        </w:rPr>
      </w:pPr>
      <w:r>
        <w:rPr>
          <w:lang w:eastAsia="en-GB"/>
        </w:rPr>
        <w:t>Jacques also informs the group that a request for updated statistics from SWIFT has been raised officially by the Corporate Actions SMPG. No answer received yet but it seems that it will be difficult to get them.</w:t>
      </w:r>
    </w:p>
    <w:p w:rsidR="00757411" w:rsidRPr="000B16A1" w:rsidRDefault="00757411" w:rsidP="00110DA4">
      <w:pPr>
        <w:rPr>
          <w:lang w:eastAsia="en-GB"/>
        </w:rPr>
      </w:pPr>
      <w:r>
        <w:rPr>
          <w:lang w:eastAsia="en-GB"/>
        </w:rPr>
        <w:lastRenderedPageBreak/>
        <w:t xml:space="preserve">It seems that TAXC / </w:t>
      </w:r>
      <w:r w:rsidRPr="00757411">
        <w:rPr>
          <w:lang w:eastAsia="en-GB"/>
        </w:rPr>
        <w:t>IMPU – PREC – TIER</w:t>
      </w:r>
      <w:r>
        <w:rPr>
          <w:lang w:eastAsia="en-GB"/>
        </w:rPr>
        <w:t xml:space="preserve"> came on or around SR2011</w:t>
      </w:r>
    </w:p>
    <w:p w:rsidR="00DC30BC" w:rsidRDefault="00DC30BC" w:rsidP="00DC30BC">
      <w:pPr>
        <w:pStyle w:val="Actions"/>
      </w:pPr>
      <w:r w:rsidRPr="0034482B">
        <w:rPr>
          <w:b/>
          <w:u w:val="single"/>
        </w:rPr>
        <w:t>Action</w:t>
      </w:r>
      <w:r w:rsidRPr="00C512F8">
        <w:rPr>
          <w:b/>
          <w:u w:val="single"/>
        </w:rPr>
        <w:t>:</w:t>
      </w:r>
      <w:r w:rsidRPr="00C3489B">
        <w:t xml:space="preserve"> </w:t>
      </w:r>
    </w:p>
    <w:p w:rsidR="00A85229" w:rsidRDefault="00A85229" w:rsidP="00DC30BC">
      <w:pPr>
        <w:pStyle w:val="Actions"/>
      </w:pPr>
      <w:r>
        <w:t xml:space="preserve">The subject </w:t>
      </w:r>
      <w:r w:rsidR="00EF7F89">
        <w:t>has been</w:t>
      </w:r>
      <w:r>
        <w:t xml:space="preserve"> shared with the CA SMPG members in order to cover a larger scope of countries.</w:t>
      </w:r>
      <w:r w:rsidR="006E15A0">
        <w:t xml:space="preserve"> All NMPGs to come back.</w:t>
      </w:r>
    </w:p>
    <w:p w:rsidR="00C46D9B" w:rsidRDefault="00C46D9B" w:rsidP="00DC30BC">
      <w:pPr>
        <w:pStyle w:val="Actions"/>
      </w:pPr>
    </w:p>
    <w:p w:rsidR="00FA0149" w:rsidRPr="00FA0149" w:rsidRDefault="00FA0149" w:rsidP="00FA0149">
      <w:pPr>
        <w:pStyle w:val="Actions"/>
        <w:numPr>
          <w:ilvl w:val="0"/>
          <w:numId w:val="19"/>
        </w:numPr>
        <w:rPr>
          <w:highlight w:val="green"/>
        </w:rPr>
      </w:pPr>
      <w:r w:rsidRPr="00FA0149">
        <w:rPr>
          <w:highlight w:val="green"/>
        </w:rPr>
        <w:t>Update during April SMPG: some additional countries confirmed non-usage of the Qualifiers / Codes. A Change Request will be sent to SWIFT for removal of these codes. In the meantime, countries that are not responded yet will come back to Jacques, Jyi-Chen or Jean-Pierre.</w:t>
      </w:r>
    </w:p>
    <w:p w:rsidR="002355F2" w:rsidRDefault="00EF7F89" w:rsidP="00EF7F89">
      <w:pPr>
        <w:pStyle w:val="Heading1"/>
        <w:numPr>
          <w:ilvl w:val="0"/>
          <w:numId w:val="0"/>
        </w:numPr>
      </w:pPr>
      <w:bookmarkStart w:id="9" w:name="_Toc485062241"/>
      <w:r>
        <w:t xml:space="preserve">CA 221. </w:t>
      </w:r>
      <w:r w:rsidR="00E60462">
        <w:t>Tax processing flow</w:t>
      </w:r>
      <w:bookmarkEnd w:id="9"/>
    </w:p>
    <w:p w:rsidR="002355F2" w:rsidRPr="00BB40A3" w:rsidRDefault="00F11DC0" w:rsidP="00BB40A3">
      <w:pPr>
        <w:pStyle w:val="ListParagraph"/>
        <w:numPr>
          <w:ilvl w:val="1"/>
          <w:numId w:val="4"/>
        </w:numPr>
      </w:pPr>
      <w:r w:rsidRPr="00BB40A3">
        <w:t>Certification process</w:t>
      </w:r>
    </w:p>
    <w:p w:rsidR="00F11DC0" w:rsidRDefault="00F11DC0" w:rsidP="00F11DC0">
      <w:pPr>
        <w:pStyle w:val="ListParagraph"/>
        <w:ind w:left="648"/>
      </w:pPr>
    </w:p>
    <w:p w:rsidR="00E60462" w:rsidRDefault="003519A2" w:rsidP="00F8542D">
      <w:pPr>
        <w:pStyle w:val="ListParagraph"/>
        <w:ind w:left="0"/>
      </w:pPr>
      <w:r>
        <w:object w:dxaOrig="1531" w:dyaOrig="990">
          <v:shape id="_x0000_i1027" type="#_x0000_t75" style="width:76.5pt;height:49.5pt" o:ole="">
            <v:imagedata r:id="rId14" o:title=""/>
          </v:shape>
          <o:OLEObject Type="Embed" ProgID="PowerPoint.Show.8" ShapeID="_x0000_i1027" DrawAspect="Icon" ObjectID="_1558804133" r:id="rId15"/>
        </w:object>
      </w:r>
      <w:r w:rsidR="008F6B95">
        <w:tab/>
      </w:r>
      <w:bookmarkStart w:id="10" w:name="_MON_1483800699"/>
      <w:bookmarkEnd w:id="10"/>
      <w:r w:rsidR="00146531">
        <w:object w:dxaOrig="1550" w:dyaOrig="991">
          <v:shape id="_x0000_i1028" type="#_x0000_t75" style="width:77.25pt;height:49.5pt" o:ole="">
            <v:imagedata r:id="rId16" o:title=""/>
          </v:shape>
          <o:OLEObject Type="Embed" ProgID="Word.Document.12" ShapeID="_x0000_i1028" DrawAspect="Icon" ObjectID="_1558804134" r:id="rId17">
            <o:FieldCodes>\s</o:FieldCodes>
          </o:OLEObject>
        </w:object>
      </w:r>
      <w:r w:rsidR="00073207">
        <w:tab/>
      </w:r>
      <w:bookmarkStart w:id="11" w:name="_MON_1488793352"/>
      <w:bookmarkEnd w:id="11"/>
      <w:r w:rsidR="00073207">
        <w:object w:dxaOrig="1550" w:dyaOrig="991">
          <v:shape id="_x0000_i1029" type="#_x0000_t75" style="width:77.25pt;height:49.5pt" o:ole="">
            <v:imagedata r:id="rId18" o:title=""/>
          </v:shape>
          <o:OLEObject Type="Embed" ProgID="Word.Document.12" ShapeID="_x0000_i1029" DrawAspect="Icon" ObjectID="_1558804135" r:id="rId19">
            <o:FieldCodes>\s</o:FieldCodes>
          </o:OLEObject>
        </w:object>
      </w:r>
    </w:p>
    <w:p w:rsidR="00C0120D" w:rsidRDefault="00C0120D" w:rsidP="00F8542D">
      <w:pPr>
        <w:pStyle w:val="ListParagraph"/>
        <w:ind w:left="0"/>
      </w:pPr>
    </w:p>
    <w:p w:rsidR="00F60B9F" w:rsidRDefault="00F60B9F" w:rsidP="00F8542D">
      <w:pPr>
        <w:pStyle w:val="ListParagraph"/>
        <w:ind w:left="0"/>
        <w:rPr>
          <w:sz w:val="20"/>
        </w:rPr>
      </w:pPr>
      <w:r w:rsidRPr="007A0B99">
        <w:rPr>
          <w:sz w:val="20"/>
        </w:rPr>
        <w:t>Feedback received from several Markets. Please see attached.</w:t>
      </w:r>
      <w:r w:rsidR="007A0B99">
        <w:rPr>
          <w:sz w:val="20"/>
        </w:rPr>
        <w:br/>
        <w:t>Some are still missing.</w:t>
      </w:r>
    </w:p>
    <w:p w:rsidR="00492210" w:rsidRDefault="00492210" w:rsidP="00F8542D">
      <w:pPr>
        <w:pStyle w:val="ListParagraph"/>
        <w:ind w:left="0"/>
        <w:rPr>
          <w:sz w:val="20"/>
        </w:rPr>
      </w:pPr>
      <w:r>
        <w:rPr>
          <w:sz w:val="20"/>
        </w:rPr>
        <w:t>As p</w:t>
      </w:r>
      <w:r w:rsidR="003F5B9A">
        <w:rPr>
          <w:sz w:val="20"/>
        </w:rPr>
        <w:t>e</w:t>
      </w:r>
      <w:r>
        <w:rPr>
          <w:sz w:val="20"/>
        </w:rPr>
        <w:t>r the current answers, the final proposal may result into a mix solution</w:t>
      </w:r>
    </w:p>
    <w:p w:rsidR="00370831" w:rsidRDefault="00370831" w:rsidP="00F8542D">
      <w:pPr>
        <w:pStyle w:val="ListParagraph"/>
        <w:ind w:left="0"/>
        <w:rPr>
          <w:sz w:val="20"/>
        </w:rPr>
      </w:pPr>
    </w:p>
    <w:bookmarkStart w:id="12" w:name="_MON_1517902609"/>
    <w:bookmarkEnd w:id="12"/>
    <w:p w:rsidR="00443150" w:rsidRDefault="00D263F2" w:rsidP="00F8542D">
      <w:pPr>
        <w:pStyle w:val="ListParagraph"/>
        <w:ind w:left="0"/>
        <w:rPr>
          <w:sz w:val="20"/>
        </w:rPr>
      </w:pPr>
      <w:r>
        <w:rPr>
          <w:sz w:val="20"/>
        </w:rPr>
        <w:object w:dxaOrig="1550" w:dyaOrig="991">
          <v:shape id="_x0000_i1030" type="#_x0000_t75" style="width:77.25pt;height:49.5pt" o:ole="">
            <v:imagedata r:id="rId20" o:title=""/>
          </v:shape>
          <o:OLEObject Type="Embed" ProgID="Excel.Sheet.12" ShapeID="_x0000_i1030" DrawAspect="Icon" ObjectID="_1558804136" r:id="rId21"/>
        </w:object>
      </w:r>
    </w:p>
    <w:p w:rsidR="0054253A" w:rsidRDefault="0054253A" w:rsidP="0054253A">
      <w:pPr>
        <w:pStyle w:val="ListParagraph"/>
        <w:ind w:left="0"/>
        <w:rPr>
          <w:highlight w:val="magenta"/>
        </w:rPr>
      </w:pPr>
    </w:p>
    <w:p w:rsidR="00402B28" w:rsidRPr="00402B28" w:rsidRDefault="00334812" w:rsidP="0054253A">
      <w:pPr>
        <w:pStyle w:val="ListParagraph"/>
        <w:ind w:left="0"/>
        <w:rPr>
          <w:sz w:val="20"/>
        </w:rPr>
      </w:pPr>
      <w:r>
        <w:rPr>
          <w:sz w:val="20"/>
        </w:rPr>
        <w:t>Reminder of the last discussions:</w:t>
      </w:r>
    </w:p>
    <w:p w:rsidR="0054253A" w:rsidRPr="00402B28" w:rsidRDefault="0054253A" w:rsidP="0054253A">
      <w:pPr>
        <w:pStyle w:val="ListParagraph"/>
        <w:ind w:left="0"/>
        <w:rPr>
          <w:sz w:val="20"/>
        </w:rPr>
      </w:pPr>
      <w:r w:rsidRPr="00402B28">
        <w:rPr>
          <w:sz w:val="20"/>
        </w:rPr>
        <w:t>In order to find out</w:t>
      </w:r>
      <w:r w:rsidR="00402B28" w:rsidRPr="00402B28">
        <w:rPr>
          <w:sz w:val="20"/>
        </w:rPr>
        <w:t xml:space="preserve"> the best solution that we would be able to harmonize, should we have an </w:t>
      </w:r>
      <w:r w:rsidRPr="00402B28">
        <w:rPr>
          <w:sz w:val="20"/>
        </w:rPr>
        <w:t>IT approach</w:t>
      </w:r>
      <w:r w:rsidR="00402B28" w:rsidRPr="00402B28">
        <w:rPr>
          <w:sz w:val="20"/>
        </w:rPr>
        <w:t xml:space="preserve"> and analysis</w:t>
      </w:r>
      <w:r w:rsidRPr="00402B28">
        <w:rPr>
          <w:sz w:val="20"/>
        </w:rPr>
        <w:t xml:space="preserve"> ? </w:t>
      </w:r>
      <w:r w:rsidR="00402B28" w:rsidRPr="00402B28">
        <w:rPr>
          <w:sz w:val="20"/>
        </w:rPr>
        <w:t>Should we have a preference for the cheaper scenario</w:t>
      </w:r>
      <w:r w:rsidRPr="00402B28">
        <w:rPr>
          <w:sz w:val="20"/>
        </w:rPr>
        <w:t xml:space="preserve"> ?</w:t>
      </w:r>
    </w:p>
    <w:p w:rsidR="0054253A" w:rsidRDefault="00402B28" w:rsidP="0054253A">
      <w:pPr>
        <w:pStyle w:val="ListParagraph"/>
        <w:ind w:left="0"/>
        <w:rPr>
          <w:sz w:val="20"/>
        </w:rPr>
      </w:pPr>
      <w:r>
        <w:rPr>
          <w:sz w:val="20"/>
        </w:rPr>
        <w:t>The needs are d</w:t>
      </w:r>
      <w:r w:rsidR="0054253A" w:rsidRPr="00402B28">
        <w:rPr>
          <w:sz w:val="20"/>
        </w:rPr>
        <w:t>ifferent depending on the country</w:t>
      </w:r>
      <w:r>
        <w:rPr>
          <w:sz w:val="20"/>
        </w:rPr>
        <w:t xml:space="preserve">. Furthermore, we have to keep in mind that the process is </w:t>
      </w:r>
      <w:r w:rsidR="0054253A" w:rsidRPr="00402B28">
        <w:rPr>
          <w:sz w:val="20"/>
        </w:rPr>
        <w:t xml:space="preserve">always </w:t>
      </w:r>
      <w:r>
        <w:rPr>
          <w:sz w:val="20"/>
        </w:rPr>
        <w:t xml:space="preserve">based on </w:t>
      </w:r>
      <w:r w:rsidR="0054253A" w:rsidRPr="00402B28">
        <w:rPr>
          <w:sz w:val="20"/>
        </w:rPr>
        <w:t>paper made documentation</w:t>
      </w:r>
      <w:r>
        <w:rPr>
          <w:sz w:val="20"/>
        </w:rPr>
        <w:t xml:space="preserve"> that our Tax teams have</w:t>
      </w:r>
      <w:r w:rsidR="0054253A" w:rsidRPr="00402B28">
        <w:rPr>
          <w:sz w:val="20"/>
        </w:rPr>
        <w:t xml:space="preserve"> to manage.</w:t>
      </w:r>
    </w:p>
    <w:p w:rsidR="00334812" w:rsidRDefault="00334812" w:rsidP="0054253A">
      <w:pPr>
        <w:pStyle w:val="ListParagraph"/>
        <w:ind w:left="0"/>
        <w:rPr>
          <w:sz w:val="20"/>
        </w:rPr>
      </w:pPr>
    </w:p>
    <w:p w:rsidR="00334812" w:rsidRDefault="00334812" w:rsidP="0054253A">
      <w:pPr>
        <w:pStyle w:val="ListParagraph"/>
        <w:ind w:left="0"/>
        <w:rPr>
          <w:sz w:val="20"/>
        </w:rPr>
      </w:pPr>
      <w:r>
        <w:rPr>
          <w:sz w:val="20"/>
        </w:rPr>
        <w:t>Comments during May call:</w:t>
      </w:r>
    </w:p>
    <w:p w:rsidR="00334812" w:rsidRDefault="00334812" w:rsidP="0054253A">
      <w:pPr>
        <w:pStyle w:val="ListParagraph"/>
        <w:ind w:left="0"/>
        <w:rPr>
          <w:sz w:val="20"/>
        </w:rPr>
      </w:pPr>
    </w:p>
    <w:p w:rsidR="00334812" w:rsidRDefault="00334812" w:rsidP="0054253A">
      <w:pPr>
        <w:pStyle w:val="ListParagraph"/>
        <w:ind w:left="0"/>
        <w:rPr>
          <w:sz w:val="20"/>
        </w:rPr>
      </w:pPr>
      <w:r>
        <w:rPr>
          <w:sz w:val="20"/>
        </w:rPr>
        <w:t>UK&amp;IE : The Tax process described is not applicable to the UK&amp;IE markets. Nevertheless, Mari got some feedback</w:t>
      </w:r>
      <w:r w:rsidR="00C35B1E">
        <w:rPr>
          <w:sz w:val="20"/>
        </w:rPr>
        <w:t xml:space="preserve"> from</w:t>
      </w:r>
      <w:r>
        <w:rPr>
          <w:sz w:val="20"/>
        </w:rPr>
        <w:t xml:space="preserve"> the UK&amp;IE NMPG participants i.e. Global Custodians. As a consequence, the feedback relates to other countries than UK&amp;IE.</w:t>
      </w:r>
    </w:p>
    <w:p w:rsidR="00334812" w:rsidRDefault="00334812" w:rsidP="0054253A">
      <w:pPr>
        <w:pStyle w:val="ListParagraph"/>
        <w:ind w:left="0"/>
        <w:rPr>
          <w:sz w:val="20"/>
        </w:rPr>
      </w:pPr>
      <w:r>
        <w:rPr>
          <w:sz w:val="20"/>
        </w:rPr>
        <w:t>The conclusion is that all global custodians except one (but a major one), prefer the scenario 1 (‘one event’ scenario) where certification is within the dividend announcement</w:t>
      </w:r>
      <w:r w:rsidR="00065AAE">
        <w:rPr>
          <w:sz w:val="20"/>
        </w:rPr>
        <w:t>.</w:t>
      </w:r>
    </w:p>
    <w:p w:rsidR="00065AAE" w:rsidRDefault="00065AAE" w:rsidP="0054253A">
      <w:pPr>
        <w:pStyle w:val="ListParagraph"/>
        <w:ind w:left="0"/>
        <w:rPr>
          <w:sz w:val="20"/>
        </w:rPr>
      </w:pPr>
    </w:p>
    <w:p w:rsidR="00065AAE" w:rsidRDefault="00065AAE" w:rsidP="0054253A">
      <w:pPr>
        <w:pStyle w:val="ListParagraph"/>
        <w:ind w:left="0"/>
        <w:rPr>
          <w:sz w:val="20"/>
        </w:rPr>
      </w:pPr>
      <w:r>
        <w:rPr>
          <w:sz w:val="20"/>
        </w:rPr>
        <w:t xml:space="preserve">Despite of the excel spreadsheet sent to the group in order to choose between scenario 1 and </w:t>
      </w:r>
      <w:r w:rsidR="00F2235C">
        <w:rPr>
          <w:sz w:val="20"/>
        </w:rPr>
        <w:br/>
      </w:r>
      <w:r>
        <w:rPr>
          <w:sz w:val="20"/>
        </w:rPr>
        <w:t>scenario 2, it appears that it will be difficult to identify any preference.</w:t>
      </w:r>
    </w:p>
    <w:p w:rsidR="0058656F" w:rsidRDefault="0058656F" w:rsidP="0054253A">
      <w:pPr>
        <w:pStyle w:val="ListParagraph"/>
        <w:ind w:left="0"/>
        <w:rPr>
          <w:sz w:val="20"/>
        </w:rPr>
      </w:pPr>
    </w:p>
    <w:p w:rsidR="0058656F" w:rsidRDefault="0058656F" w:rsidP="0054253A">
      <w:pPr>
        <w:pStyle w:val="ListParagraph"/>
        <w:ind w:left="0"/>
        <w:rPr>
          <w:sz w:val="20"/>
        </w:rPr>
      </w:pPr>
      <w:r>
        <w:rPr>
          <w:sz w:val="20"/>
        </w:rPr>
        <w:t>Comments from the US during October call:</w:t>
      </w:r>
    </w:p>
    <w:p w:rsidR="0058656F" w:rsidRDefault="0058656F" w:rsidP="0054253A">
      <w:pPr>
        <w:pStyle w:val="ListParagraph"/>
        <w:ind w:left="0"/>
        <w:rPr>
          <w:sz w:val="20"/>
        </w:rPr>
      </w:pPr>
      <w:r>
        <w:rPr>
          <w:sz w:val="20"/>
        </w:rPr>
        <w:t>This topic is still under discussion within the US Market (ISITC) nevertheless, DTCC in its transformation project has chosen the ‘1 event’ scenario.</w:t>
      </w:r>
    </w:p>
    <w:p w:rsidR="00D263F2" w:rsidRDefault="00D263F2" w:rsidP="00F11DC0">
      <w:pPr>
        <w:pStyle w:val="ListParagraph"/>
        <w:ind w:left="648"/>
      </w:pPr>
    </w:p>
    <w:p w:rsidR="00A8148A" w:rsidRDefault="00A8148A" w:rsidP="00A8148A">
      <w:pPr>
        <w:pStyle w:val="Actions"/>
        <w:rPr>
          <w:b/>
        </w:rPr>
      </w:pPr>
      <w:r w:rsidRPr="00597C9E">
        <w:rPr>
          <w:b/>
          <w:u w:val="single"/>
        </w:rPr>
        <w:t>Action</w:t>
      </w:r>
      <w:r>
        <w:rPr>
          <w:b/>
          <w:u w:val="single"/>
        </w:rPr>
        <w:t>:</w:t>
      </w:r>
      <w:r w:rsidRPr="00F8542D">
        <w:rPr>
          <w:b/>
        </w:rPr>
        <w:t xml:space="preserve"> </w:t>
      </w:r>
    </w:p>
    <w:p w:rsidR="00A8148A" w:rsidRDefault="00A8148A" w:rsidP="00A8148A">
      <w:pPr>
        <w:pStyle w:val="ListParagraph"/>
        <w:ind w:left="0"/>
        <w:rPr>
          <w:color w:val="FF0000"/>
          <w:sz w:val="20"/>
        </w:rPr>
      </w:pPr>
    </w:p>
    <w:p w:rsidR="00A8148A" w:rsidRDefault="00C46D9B" w:rsidP="00A8148A">
      <w:pPr>
        <w:rPr>
          <w:color w:val="FF0000"/>
        </w:rPr>
      </w:pPr>
      <w:r>
        <w:rPr>
          <w:color w:val="FF0000"/>
        </w:rPr>
        <w:t>During the global SMPG in Zurich, t</w:t>
      </w:r>
      <w:r w:rsidR="00A8148A" w:rsidRPr="00A8148A">
        <w:rPr>
          <w:color w:val="FF0000"/>
        </w:rPr>
        <w:t xml:space="preserve">he Tax sub-group </w:t>
      </w:r>
      <w:r>
        <w:rPr>
          <w:color w:val="FF0000"/>
        </w:rPr>
        <w:t>explained to the</w:t>
      </w:r>
      <w:r w:rsidR="00A8148A" w:rsidRPr="00A8148A">
        <w:rPr>
          <w:color w:val="FF0000"/>
        </w:rPr>
        <w:t xml:space="preserve"> CA SMPG that no consensus ha</w:t>
      </w:r>
      <w:r>
        <w:rPr>
          <w:color w:val="FF0000"/>
        </w:rPr>
        <w:t>d</w:t>
      </w:r>
      <w:r w:rsidR="00A8148A" w:rsidRPr="00A8148A">
        <w:rPr>
          <w:color w:val="FF0000"/>
        </w:rPr>
        <w:t xml:space="preserve"> been found and that no final choice can be done between scenario 1 and scenario 2. </w:t>
      </w:r>
      <w:r w:rsidR="00A8148A" w:rsidRPr="00A8148A">
        <w:rPr>
          <w:color w:val="FF0000"/>
        </w:rPr>
        <w:br/>
        <w:t>As a consequence, no Market Practice can be implemented on this process.</w:t>
      </w:r>
    </w:p>
    <w:p w:rsidR="00642BC1" w:rsidRDefault="00642BC1" w:rsidP="00A8148A">
      <w:pPr>
        <w:rPr>
          <w:color w:val="FF0000"/>
        </w:rPr>
      </w:pPr>
    </w:p>
    <w:p w:rsidR="00642BC1" w:rsidRPr="00A8148A" w:rsidRDefault="00642BC1" w:rsidP="00A8148A">
      <w:pPr>
        <w:rPr>
          <w:color w:val="FF0000"/>
        </w:rPr>
      </w:pPr>
    </w:p>
    <w:p w:rsidR="00F11DC0" w:rsidRPr="00F11DC0" w:rsidRDefault="00CB5886" w:rsidP="00CB5886">
      <w:pPr>
        <w:pStyle w:val="Heading1"/>
        <w:numPr>
          <w:ilvl w:val="0"/>
          <w:numId w:val="0"/>
        </w:numPr>
      </w:pPr>
      <w:bookmarkStart w:id="13" w:name="_Toc485062242"/>
      <w:r>
        <w:lastRenderedPageBreak/>
        <w:t>CA 359.</w:t>
      </w:r>
      <w:r w:rsidR="00F11DC0">
        <w:t xml:space="preserve"> Tax R</w:t>
      </w:r>
      <w:r w:rsidR="00F11DC0" w:rsidRPr="00F11DC0">
        <w:t>eclaims processing flow</w:t>
      </w:r>
      <w:bookmarkEnd w:id="13"/>
    </w:p>
    <w:p w:rsidR="00F11DC0" w:rsidRDefault="00F11DC0" w:rsidP="00F11DC0">
      <w:pPr>
        <w:pStyle w:val="ListParagraph"/>
        <w:ind w:left="648"/>
        <w:rPr>
          <w:sz w:val="20"/>
        </w:rPr>
      </w:pPr>
    </w:p>
    <w:p w:rsidR="00D263F2" w:rsidRDefault="00D263F2" w:rsidP="0054253A">
      <w:pPr>
        <w:pStyle w:val="ListParagraph"/>
        <w:ind w:left="0"/>
        <w:rPr>
          <w:sz w:val="20"/>
        </w:rPr>
      </w:pPr>
      <w:r>
        <w:rPr>
          <w:sz w:val="20"/>
        </w:rPr>
        <w:t>Regarding some other topics that may be analysed by the</w:t>
      </w:r>
      <w:r w:rsidR="00065AAE">
        <w:rPr>
          <w:sz w:val="20"/>
        </w:rPr>
        <w:t xml:space="preserve"> </w:t>
      </w:r>
      <w:r>
        <w:rPr>
          <w:sz w:val="20"/>
        </w:rPr>
        <w:t>Tax sub-group</w:t>
      </w:r>
      <w:r w:rsidR="00F2235C">
        <w:rPr>
          <w:sz w:val="20"/>
        </w:rPr>
        <w:t xml:space="preserve"> on the Tax flows</w:t>
      </w:r>
      <w:r>
        <w:rPr>
          <w:sz w:val="20"/>
        </w:rPr>
        <w:t>,</w:t>
      </w:r>
      <w:r w:rsidR="00065AAE">
        <w:rPr>
          <w:sz w:val="20"/>
        </w:rPr>
        <w:t xml:space="preserve"> Mari raised the point </w:t>
      </w:r>
      <w:r>
        <w:rPr>
          <w:sz w:val="20"/>
        </w:rPr>
        <w:t xml:space="preserve">regarding </w:t>
      </w:r>
      <w:r w:rsidR="00C35B1E">
        <w:rPr>
          <w:sz w:val="20"/>
        </w:rPr>
        <w:t>Tax Reclaims</w:t>
      </w:r>
      <w:r>
        <w:rPr>
          <w:sz w:val="20"/>
        </w:rPr>
        <w:t xml:space="preserve"> process</w:t>
      </w:r>
      <w:r w:rsidR="00065AAE">
        <w:rPr>
          <w:sz w:val="20"/>
        </w:rPr>
        <w:t>ing</w:t>
      </w:r>
      <w:r w:rsidR="00C35B1E">
        <w:rPr>
          <w:sz w:val="20"/>
        </w:rPr>
        <w:t xml:space="preserve"> flow</w:t>
      </w:r>
      <w:r>
        <w:rPr>
          <w:sz w:val="20"/>
        </w:rPr>
        <w:t>.</w:t>
      </w:r>
    </w:p>
    <w:p w:rsidR="00D263F2" w:rsidRDefault="00065AAE" w:rsidP="00362140">
      <w:pPr>
        <w:pStyle w:val="ListParagraph"/>
        <w:numPr>
          <w:ilvl w:val="0"/>
          <w:numId w:val="9"/>
        </w:numPr>
        <w:rPr>
          <w:sz w:val="20"/>
        </w:rPr>
      </w:pPr>
      <w:r>
        <w:rPr>
          <w:sz w:val="20"/>
        </w:rPr>
        <w:t>Should it be a TREC event or is it something linked to the original DVCA event?</w:t>
      </w:r>
    </w:p>
    <w:p w:rsidR="00065AAE" w:rsidRDefault="00065AAE" w:rsidP="00362140">
      <w:pPr>
        <w:pStyle w:val="ListParagraph"/>
        <w:numPr>
          <w:ilvl w:val="0"/>
          <w:numId w:val="9"/>
        </w:numPr>
        <w:rPr>
          <w:sz w:val="20"/>
        </w:rPr>
      </w:pPr>
      <w:r>
        <w:rPr>
          <w:sz w:val="20"/>
        </w:rPr>
        <w:t>In case of a separate event, should it be the same CORP reference as the original DVCA?</w:t>
      </w:r>
    </w:p>
    <w:p w:rsidR="003B0AD5" w:rsidRDefault="003B0AD5" w:rsidP="007D353E"/>
    <w:p w:rsidR="0022341D" w:rsidRPr="00B93987" w:rsidRDefault="00A2754D" w:rsidP="007D353E">
      <w:r>
        <w:t>Additional comments from the previous calls</w:t>
      </w:r>
      <w:r w:rsidR="0022341D" w:rsidRPr="00B93987">
        <w:t>:</w:t>
      </w:r>
    </w:p>
    <w:p w:rsidR="00B93987" w:rsidRDefault="00B82835" w:rsidP="007D353E">
      <w:r w:rsidRPr="00B93987">
        <w:t xml:space="preserve">First of all, </w:t>
      </w:r>
      <w:r w:rsidR="00B93987" w:rsidRPr="00B93987">
        <w:t xml:space="preserve">the scope must be clear: what type of reclaim are we talking about ? </w:t>
      </w:r>
      <w:r w:rsidR="00661324">
        <w:t>I</w:t>
      </w:r>
      <w:r w:rsidR="00B93987">
        <w:t>s it the ‘quick’ reclaim (also called quick refund) or the ‘standard’</w:t>
      </w:r>
      <w:r w:rsidR="009B5877">
        <w:t xml:space="preserve"> reclaim</w:t>
      </w:r>
      <w:r w:rsidR="00661324">
        <w:t>?</w:t>
      </w:r>
    </w:p>
    <w:p w:rsidR="009B5877" w:rsidRDefault="009B5877" w:rsidP="007D353E">
      <w:r>
        <w:t>It is agreed that the quick one relates to the Certification process</w:t>
      </w:r>
    </w:p>
    <w:p w:rsidR="00B93987" w:rsidRDefault="009B5877" w:rsidP="007D353E">
      <w:r>
        <w:t xml:space="preserve">Consequently, the case here relates to the standard </w:t>
      </w:r>
      <w:r w:rsidR="00661324">
        <w:t>reclaim</w:t>
      </w:r>
      <w:r>
        <w:t>.</w:t>
      </w:r>
    </w:p>
    <w:p w:rsidR="009B5877" w:rsidRPr="009B5877" w:rsidRDefault="009B5877" w:rsidP="009B5877">
      <w:r w:rsidRPr="009B5877">
        <w:t>The quick reclaim needs to be documented in order to distinguish it.</w:t>
      </w:r>
    </w:p>
    <w:p w:rsidR="009B5877" w:rsidRPr="00B93987" w:rsidRDefault="009B5877" w:rsidP="009B5877">
      <w:r w:rsidRPr="009B5877">
        <w:t>For the s</w:t>
      </w:r>
      <w:r w:rsidR="00B82835" w:rsidRPr="009B5877">
        <w:t xml:space="preserve">tandard </w:t>
      </w:r>
      <w:r w:rsidRPr="009B5877">
        <w:t>Tax</w:t>
      </w:r>
      <w:r w:rsidRPr="00B93987">
        <w:t xml:space="preserve"> reclaim, </w:t>
      </w:r>
      <w:r>
        <w:t xml:space="preserve">should it be </w:t>
      </w:r>
      <w:r w:rsidRPr="00B93987">
        <w:t>always TREC ?</w:t>
      </w:r>
      <w:r>
        <w:t xml:space="preserve"> Do we documented something in the Certification scenarios analysis?</w:t>
      </w:r>
    </w:p>
    <w:p w:rsidR="00B82835" w:rsidRPr="0013786A" w:rsidRDefault="009B5877" w:rsidP="007D353E">
      <w:r w:rsidRPr="0013786A">
        <w:t>What should be the b</w:t>
      </w:r>
      <w:r w:rsidR="00B82835" w:rsidRPr="0013786A">
        <w:t xml:space="preserve">est practice for the link </w:t>
      </w:r>
      <w:r w:rsidRPr="0013786A">
        <w:t>between the Reclaim payment and the original dividend payment</w:t>
      </w:r>
      <w:r w:rsidR="00B82835" w:rsidRPr="0013786A">
        <w:t>?</w:t>
      </w:r>
    </w:p>
    <w:p w:rsidR="00B82835" w:rsidRPr="0013786A" w:rsidRDefault="0013786A" w:rsidP="007D353E">
      <w:r w:rsidRPr="0013786A">
        <w:t xml:space="preserve">Due to the long period that may occur between the reclaim payment and the original dividend, it is agreed that using the same </w:t>
      </w:r>
      <w:r w:rsidR="002F37F9" w:rsidRPr="0013786A">
        <w:t xml:space="preserve">CORP </w:t>
      </w:r>
      <w:r w:rsidRPr="0013786A">
        <w:t xml:space="preserve">for both events </w:t>
      </w:r>
      <w:r w:rsidR="002F37F9" w:rsidRPr="0013786A">
        <w:t xml:space="preserve">or </w:t>
      </w:r>
      <w:r w:rsidRPr="0013786A">
        <w:t>applying a l</w:t>
      </w:r>
      <w:r w:rsidR="002F37F9" w:rsidRPr="0013786A">
        <w:t xml:space="preserve">inkage </w:t>
      </w:r>
      <w:r w:rsidRPr="0013786A">
        <w:t xml:space="preserve">may be </w:t>
      </w:r>
      <w:r w:rsidR="002F37F9" w:rsidRPr="0013786A">
        <w:t>difficult</w:t>
      </w:r>
      <w:r w:rsidRPr="0013786A">
        <w:t>.</w:t>
      </w:r>
      <w:r w:rsidRPr="0013786A">
        <w:br/>
        <w:t xml:space="preserve">Nevertheless, the group also agree that </w:t>
      </w:r>
      <w:r w:rsidR="0081577C">
        <w:t xml:space="preserve">it is important </w:t>
      </w:r>
      <w:r w:rsidR="002F37F9" w:rsidRPr="0013786A">
        <w:t>to put</w:t>
      </w:r>
      <w:r w:rsidRPr="0013786A">
        <w:t xml:space="preserve"> in place and communicate on</w:t>
      </w:r>
      <w:r w:rsidR="002F37F9" w:rsidRPr="0013786A">
        <w:t xml:space="preserve"> the best practices even if sometimes it may be not possible</w:t>
      </w:r>
      <w:r w:rsidRPr="0013786A">
        <w:t xml:space="preserve"> to follow them</w:t>
      </w:r>
      <w:r w:rsidR="002F37F9" w:rsidRPr="0013786A">
        <w:t>.</w:t>
      </w:r>
    </w:p>
    <w:p w:rsidR="002F37F9" w:rsidRPr="0081577C" w:rsidRDefault="0013786A" w:rsidP="007D353E">
      <w:r w:rsidRPr="0013786A">
        <w:t xml:space="preserve">Consequently, there will be a recommendation but with a specific note in order to lower the pressure </w:t>
      </w:r>
      <w:r w:rsidR="0081577C">
        <w:t>to the community.</w:t>
      </w:r>
    </w:p>
    <w:p w:rsidR="002F37F9" w:rsidRDefault="0022341D" w:rsidP="007D353E">
      <w:r w:rsidRPr="0013786A">
        <w:t>ZA : no</w:t>
      </w:r>
      <w:r w:rsidR="002F37F9" w:rsidRPr="0013786A">
        <w:t xml:space="preserve"> TREC in the</w:t>
      </w:r>
      <w:r w:rsidR="0013786A" w:rsidRPr="0013786A">
        <w:t>ir</w:t>
      </w:r>
      <w:r w:rsidR="002F37F9" w:rsidRPr="0013786A">
        <w:t xml:space="preserve"> Market.</w:t>
      </w:r>
    </w:p>
    <w:p w:rsidR="003F28ED" w:rsidRDefault="003F28ED" w:rsidP="007D353E">
      <w:r>
        <w:t>During Dec 15</w:t>
      </w:r>
      <w:r w:rsidRPr="003F28ED">
        <w:rPr>
          <w:vertAlign w:val="superscript"/>
        </w:rPr>
        <w:t>th</w:t>
      </w:r>
      <w:r>
        <w:t xml:space="preserve"> call, Euroclear confirms that they use TREC with a CORP reference similar to the CORP ref of the </w:t>
      </w:r>
      <w:r w:rsidR="00A2754D">
        <w:t>related</w:t>
      </w:r>
      <w:r>
        <w:t xml:space="preserve"> DVCA making the link between the 2 events.</w:t>
      </w:r>
    </w:p>
    <w:p w:rsidR="00B82835" w:rsidRDefault="00B82835" w:rsidP="007D353E"/>
    <w:p w:rsidR="00A8148A" w:rsidRDefault="00A8148A" w:rsidP="0081577C">
      <w:pPr>
        <w:pStyle w:val="Actions"/>
      </w:pPr>
      <w:r w:rsidRPr="00597C9E">
        <w:rPr>
          <w:b/>
          <w:u w:val="single"/>
        </w:rPr>
        <w:t>Action</w:t>
      </w:r>
      <w:r>
        <w:rPr>
          <w:b/>
          <w:u w:val="single"/>
        </w:rPr>
        <w:t>:</w:t>
      </w:r>
      <w:r w:rsidRPr="00F8542D">
        <w:rPr>
          <w:b/>
        </w:rPr>
        <w:t xml:space="preserve"> </w:t>
      </w:r>
      <w:r w:rsidR="0081577C">
        <w:rPr>
          <w:b/>
        </w:rPr>
        <w:t xml:space="preserve"> </w:t>
      </w:r>
      <w:r w:rsidRPr="00A8148A">
        <w:t>All NMPG</w:t>
      </w:r>
      <w:r>
        <w:t>s</w:t>
      </w:r>
      <w:r w:rsidRPr="00A8148A">
        <w:t xml:space="preserve"> to come back with their comments on th</w:t>
      </w:r>
      <w:r>
        <w:t>is</w:t>
      </w:r>
      <w:r w:rsidRPr="00A8148A">
        <w:t xml:space="preserve"> topic</w:t>
      </w:r>
    </w:p>
    <w:p w:rsidR="003F28ED" w:rsidRDefault="003F28ED" w:rsidP="0081577C">
      <w:pPr>
        <w:pStyle w:val="Actions"/>
      </w:pPr>
      <w:r>
        <w:t xml:space="preserve">Gabriel will send a flow description in order to help the group to investigate on this topic. </w:t>
      </w:r>
      <w:r w:rsidR="00C2618E">
        <w:t>Jean-Pierre will prepare a recap spreadsheet accordingly.</w:t>
      </w:r>
    </w:p>
    <w:p w:rsidR="00642BC1" w:rsidRDefault="00642BC1" w:rsidP="0081577C">
      <w:pPr>
        <w:pStyle w:val="Actions"/>
      </w:pPr>
    </w:p>
    <w:p w:rsidR="00642BC1" w:rsidRPr="0081577C" w:rsidRDefault="00642BC1" w:rsidP="0081577C">
      <w:pPr>
        <w:pStyle w:val="Actions"/>
        <w:rPr>
          <w:b/>
        </w:rPr>
      </w:pPr>
    </w:p>
    <w:p w:rsidR="007D353E" w:rsidRPr="007D353E" w:rsidRDefault="00EF7F89" w:rsidP="00EF7F89">
      <w:pPr>
        <w:pStyle w:val="Heading1"/>
        <w:numPr>
          <w:ilvl w:val="0"/>
          <w:numId w:val="0"/>
        </w:numPr>
      </w:pPr>
      <w:bookmarkStart w:id="14" w:name="_Toc485062243"/>
      <w:r>
        <w:t xml:space="preserve">CA 349. </w:t>
      </w:r>
      <w:r w:rsidR="0013786A">
        <w:t>CERT Definition</w:t>
      </w:r>
      <w:bookmarkEnd w:id="14"/>
    </w:p>
    <w:p w:rsidR="00370831" w:rsidRDefault="00370831" w:rsidP="00F8542D">
      <w:pPr>
        <w:pStyle w:val="ListParagraph"/>
        <w:ind w:left="0"/>
        <w:rPr>
          <w:sz w:val="20"/>
        </w:rPr>
      </w:pPr>
    </w:p>
    <w:tbl>
      <w:tblPr>
        <w:tblW w:w="5000" w:type="pct"/>
        <w:tblBorders>
          <w:top w:val="single" w:sz="6" w:space="0" w:color="4A4A4A"/>
          <w:left w:val="single" w:sz="6" w:space="0" w:color="4A4A4A"/>
          <w:bottom w:val="single" w:sz="6" w:space="0" w:color="4A4A4A"/>
          <w:right w:val="single" w:sz="6" w:space="0" w:color="4A4A4A"/>
        </w:tblBorders>
        <w:tblCellMar>
          <w:left w:w="0" w:type="dxa"/>
          <w:right w:w="0" w:type="dxa"/>
        </w:tblCellMar>
        <w:tblLook w:val="04A0" w:firstRow="1" w:lastRow="0" w:firstColumn="1" w:lastColumn="0" w:noHBand="0" w:noVBand="1"/>
      </w:tblPr>
      <w:tblGrid>
        <w:gridCol w:w="685"/>
        <w:gridCol w:w="2671"/>
        <w:gridCol w:w="5767"/>
      </w:tblGrid>
      <w:tr w:rsidR="007D353E" w:rsidRPr="00A85229" w:rsidTr="007D353E">
        <w:tc>
          <w:tcPr>
            <w:tcW w:w="0" w:type="auto"/>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7D353E" w:rsidRPr="00A85229" w:rsidRDefault="007D353E" w:rsidP="007D353E">
            <w:pPr>
              <w:spacing w:before="90" w:after="45"/>
              <w:ind w:left="45"/>
              <w:rPr>
                <w:color w:val="000000"/>
                <w:sz w:val="18"/>
                <w:szCs w:val="18"/>
                <w:lang w:val="fr-FR" w:eastAsia="fr-FR"/>
              </w:rPr>
            </w:pPr>
            <w:r w:rsidRPr="00A85229">
              <w:rPr>
                <w:color w:val="000000"/>
                <w:sz w:val="18"/>
                <w:szCs w:val="18"/>
                <w:lang w:val="fr-FR" w:eastAsia="fr-FR"/>
              </w:rPr>
              <w:t>CERT</w:t>
            </w:r>
          </w:p>
        </w:tc>
        <w:tc>
          <w:tcPr>
            <w:tcW w:w="0" w:type="auto"/>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7D353E" w:rsidRPr="00A85229" w:rsidRDefault="007D353E" w:rsidP="007D353E">
            <w:pPr>
              <w:spacing w:before="90" w:after="45"/>
              <w:ind w:left="45"/>
              <w:rPr>
                <w:color w:val="000000"/>
                <w:sz w:val="18"/>
                <w:szCs w:val="18"/>
                <w:lang w:val="fr-FR" w:eastAsia="fr-FR"/>
              </w:rPr>
            </w:pPr>
            <w:r w:rsidRPr="00A85229">
              <w:rPr>
                <w:color w:val="000000"/>
                <w:sz w:val="18"/>
                <w:szCs w:val="18"/>
                <w:lang w:val="fr-FR" w:eastAsia="fr-FR"/>
              </w:rPr>
              <w:t>Certification Deadline Date/Time</w:t>
            </w:r>
          </w:p>
        </w:tc>
        <w:tc>
          <w:tcPr>
            <w:tcW w:w="0" w:type="auto"/>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7D353E" w:rsidRPr="00A85229" w:rsidRDefault="007D353E" w:rsidP="007D353E">
            <w:pPr>
              <w:spacing w:before="90" w:after="45"/>
              <w:ind w:left="45"/>
              <w:rPr>
                <w:color w:val="000000"/>
                <w:sz w:val="18"/>
                <w:szCs w:val="18"/>
                <w:lang w:eastAsia="fr-FR"/>
              </w:rPr>
            </w:pPr>
            <w:r w:rsidRPr="00A85229">
              <w:rPr>
                <w:color w:val="000000"/>
                <w:sz w:val="18"/>
                <w:szCs w:val="18"/>
                <w:lang w:eastAsia="fr-FR"/>
              </w:rPr>
              <w:t>Deadline by which the beneficial ownership of securities must be declared.</w:t>
            </w:r>
          </w:p>
        </w:tc>
      </w:tr>
    </w:tbl>
    <w:p w:rsidR="007D353E" w:rsidRPr="00A85229" w:rsidRDefault="007D353E" w:rsidP="00F8542D">
      <w:pPr>
        <w:pStyle w:val="ListParagraph"/>
        <w:ind w:left="0"/>
        <w:rPr>
          <w:sz w:val="20"/>
          <w:lang w:val="en-US"/>
        </w:rPr>
      </w:pPr>
    </w:p>
    <w:p w:rsidR="00A85229" w:rsidRPr="00A85229" w:rsidRDefault="00A85229" w:rsidP="00F8542D">
      <w:pPr>
        <w:pStyle w:val="ListParagraph"/>
        <w:ind w:left="0"/>
        <w:rPr>
          <w:sz w:val="20"/>
        </w:rPr>
      </w:pPr>
      <w:r w:rsidRPr="00A85229">
        <w:rPr>
          <w:sz w:val="20"/>
        </w:rPr>
        <w:t>The definition change could</w:t>
      </w:r>
      <w:r w:rsidR="0013786A">
        <w:rPr>
          <w:sz w:val="20"/>
        </w:rPr>
        <w:t>n’t</w:t>
      </w:r>
      <w:r w:rsidRPr="00A85229">
        <w:rPr>
          <w:sz w:val="20"/>
        </w:rPr>
        <w:t xml:space="preserve"> be proposed during the last SWIFT Maintenance Working Group </w:t>
      </w:r>
      <w:r w:rsidR="0013786A">
        <w:rPr>
          <w:sz w:val="20"/>
        </w:rPr>
        <w:t xml:space="preserve">session </w:t>
      </w:r>
      <w:r w:rsidRPr="00A85229">
        <w:rPr>
          <w:sz w:val="20"/>
        </w:rPr>
        <w:t xml:space="preserve">because it hasn’t </w:t>
      </w:r>
      <w:r w:rsidR="0013786A">
        <w:rPr>
          <w:sz w:val="20"/>
        </w:rPr>
        <w:t xml:space="preserve">been </w:t>
      </w:r>
      <w:r w:rsidRPr="00A85229">
        <w:rPr>
          <w:sz w:val="20"/>
        </w:rPr>
        <w:t>documented as such.</w:t>
      </w:r>
    </w:p>
    <w:p w:rsidR="00A85229" w:rsidRPr="00A85229" w:rsidRDefault="00A85229" w:rsidP="00F8542D">
      <w:pPr>
        <w:pStyle w:val="ListParagraph"/>
        <w:ind w:left="0"/>
        <w:rPr>
          <w:sz w:val="20"/>
        </w:rPr>
      </w:pPr>
      <w:r w:rsidRPr="00A85229">
        <w:rPr>
          <w:sz w:val="20"/>
        </w:rPr>
        <w:t>The business case is, anyway, accepted but the recommendation is</w:t>
      </w:r>
      <w:r w:rsidR="0013786A">
        <w:rPr>
          <w:sz w:val="20"/>
        </w:rPr>
        <w:t xml:space="preserve"> to propose a dedicated Change R</w:t>
      </w:r>
      <w:r w:rsidRPr="00A85229">
        <w:rPr>
          <w:sz w:val="20"/>
        </w:rPr>
        <w:t>equest to the CA SMPG.</w:t>
      </w:r>
    </w:p>
    <w:p w:rsidR="00A85229" w:rsidRPr="00A85229" w:rsidRDefault="00A85229" w:rsidP="00F8542D">
      <w:pPr>
        <w:pStyle w:val="ListParagraph"/>
        <w:ind w:left="0"/>
        <w:rPr>
          <w:sz w:val="20"/>
        </w:rPr>
      </w:pPr>
      <w:r w:rsidRPr="00A85229">
        <w:rPr>
          <w:sz w:val="20"/>
        </w:rPr>
        <w:t>Bernard proposed a new definition for CERT:</w:t>
      </w:r>
    </w:p>
    <w:p w:rsidR="00A85229" w:rsidRDefault="0013786A" w:rsidP="00F8542D">
      <w:pPr>
        <w:pStyle w:val="ListParagraph"/>
        <w:ind w:left="0"/>
        <w:rPr>
          <w:sz w:val="20"/>
        </w:rPr>
      </w:pPr>
      <w:r>
        <w:rPr>
          <w:sz w:val="20"/>
        </w:rPr>
        <w:t>“</w:t>
      </w:r>
      <w:r w:rsidR="00A85229" w:rsidRPr="00A85229">
        <w:rPr>
          <w:sz w:val="20"/>
        </w:rPr>
        <w:t>Deadline by which the certification must b</w:t>
      </w:r>
      <w:r w:rsidR="00A85229">
        <w:rPr>
          <w:sz w:val="20"/>
        </w:rPr>
        <w:t>e sent to the account servicer</w:t>
      </w:r>
      <w:r>
        <w:rPr>
          <w:sz w:val="20"/>
        </w:rPr>
        <w:t>”</w:t>
      </w:r>
      <w:r w:rsidR="00A85229">
        <w:rPr>
          <w:sz w:val="20"/>
        </w:rPr>
        <w:t>.</w:t>
      </w:r>
    </w:p>
    <w:p w:rsidR="00A85229" w:rsidRDefault="00A85229" w:rsidP="00F8542D">
      <w:pPr>
        <w:pStyle w:val="ListParagraph"/>
        <w:ind w:left="0"/>
        <w:rPr>
          <w:sz w:val="20"/>
        </w:rPr>
      </w:pPr>
    </w:p>
    <w:p w:rsidR="00A85229" w:rsidRDefault="00A85229" w:rsidP="00F8542D">
      <w:pPr>
        <w:pStyle w:val="ListParagraph"/>
        <w:ind w:left="0"/>
        <w:rPr>
          <w:sz w:val="20"/>
        </w:rPr>
      </w:pPr>
      <w:r>
        <w:rPr>
          <w:sz w:val="20"/>
        </w:rPr>
        <w:t>During the discussion, other cases than beneficial ownership has been already identified as being a part of the Certification deadline:</w:t>
      </w:r>
    </w:p>
    <w:p w:rsidR="00A85229" w:rsidRDefault="00A85229" w:rsidP="00362140">
      <w:pPr>
        <w:pStyle w:val="ListParagraph"/>
        <w:numPr>
          <w:ilvl w:val="0"/>
          <w:numId w:val="9"/>
        </w:numPr>
        <w:rPr>
          <w:sz w:val="20"/>
        </w:rPr>
      </w:pPr>
      <w:r>
        <w:rPr>
          <w:sz w:val="20"/>
        </w:rPr>
        <w:t>Non-US certification</w:t>
      </w:r>
    </w:p>
    <w:p w:rsidR="00A85229" w:rsidRPr="00A85229" w:rsidRDefault="00A85229" w:rsidP="00362140">
      <w:pPr>
        <w:pStyle w:val="ListParagraph"/>
        <w:numPr>
          <w:ilvl w:val="0"/>
          <w:numId w:val="9"/>
        </w:numPr>
        <w:rPr>
          <w:sz w:val="20"/>
        </w:rPr>
      </w:pPr>
      <w:r>
        <w:rPr>
          <w:sz w:val="20"/>
        </w:rPr>
        <w:t>Tax rate breakdown (for Markets where omnibus accounts are allowed)</w:t>
      </w:r>
    </w:p>
    <w:p w:rsidR="001A0B1D" w:rsidRPr="00A85229" w:rsidRDefault="00E60462" w:rsidP="001A0B1D">
      <w:pPr>
        <w:pStyle w:val="Actions"/>
        <w:rPr>
          <w:b/>
        </w:rPr>
      </w:pPr>
      <w:r w:rsidRPr="00A85229">
        <w:rPr>
          <w:b/>
          <w:u w:val="single"/>
        </w:rPr>
        <w:lastRenderedPageBreak/>
        <w:t>Action:</w:t>
      </w:r>
      <w:r w:rsidRPr="00A85229">
        <w:rPr>
          <w:b/>
        </w:rPr>
        <w:t xml:space="preserve"> </w:t>
      </w:r>
    </w:p>
    <w:p w:rsidR="00757411" w:rsidRDefault="00A85229" w:rsidP="00A8148A">
      <w:pPr>
        <w:rPr>
          <w:color w:val="FF0000"/>
          <w:lang w:val="en-GB"/>
        </w:rPr>
      </w:pPr>
      <w:r w:rsidRPr="00A85229">
        <w:rPr>
          <w:color w:val="FF0000"/>
          <w:lang w:val="en-GB"/>
        </w:rPr>
        <w:t>All participants</w:t>
      </w:r>
      <w:r w:rsidR="0081577C">
        <w:rPr>
          <w:color w:val="FF0000"/>
          <w:lang w:val="en-GB"/>
        </w:rPr>
        <w:t xml:space="preserve"> are</w:t>
      </w:r>
      <w:r w:rsidRPr="00A85229">
        <w:rPr>
          <w:color w:val="FF0000"/>
          <w:lang w:val="en-GB"/>
        </w:rPr>
        <w:t xml:space="preserve"> required to document cases where certification is not ded</w:t>
      </w:r>
      <w:r w:rsidR="0013786A">
        <w:rPr>
          <w:color w:val="FF0000"/>
          <w:lang w:val="en-GB"/>
        </w:rPr>
        <w:t>icated to beneficial ownership.</w:t>
      </w:r>
      <w:r w:rsidR="0013786A">
        <w:rPr>
          <w:color w:val="FF0000"/>
          <w:lang w:val="en-GB"/>
        </w:rPr>
        <w:br/>
      </w:r>
      <w:r w:rsidRPr="00A85229">
        <w:rPr>
          <w:color w:val="FF0000"/>
          <w:lang w:val="en-GB"/>
        </w:rPr>
        <w:t>These cases will be used to document the business case for the future Change Request.</w:t>
      </w:r>
      <w:r w:rsidR="00757411">
        <w:rPr>
          <w:color w:val="FF0000"/>
          <w:lang w:val="en-GB"/>
        </w:rPr>
        <w:br/>
      </w:r>
      <w:r w:rsidR="00BE3699">
        <w:rPr>
          <w:color w:val="FF0000"/>
          <w:lang w:val="en-GB"/>
        </w:rPr>
        <w:t>Jacques</w:t>
      </w:r>
      <w:r w:rsidR="00757411">
        <w:rPr>
          <w:color w:val="FF0000"/>
          <w:lang w:val="en-GB"/>
        </w:rPr>
        <w:t xml:space="preserve"> will draft a Change Request to be presented at Dublin SMPG meeting.</w:t>
      </w:r>
    </w:p>
    <w:p w:rsidR="00FA0149" w:rsidRDefault="00FA0149" w:rsidP="00FA0149">
      <w:pPr>
        <w:pStyle w:val="Actions"/>
        <w:numPr>
          <w:ilvl w:val="0"/>
          <w:numId w:val="19"/>
        </w:numPr>
        <w:rPr>
          <w:highlight w:val="green"/>
        </w:rPr>
      </w:pPr>
      <w:r w:rsidRPr="00FA0149">
        <w:rPr>
          <w:highlight w:val="green"/>
        </w:rPr>
        <w:t xml:space="preserve">Update during April SMPG: </w:t>
      </w:r>
      <w:r>
        <w:rPr>
          <w:highlight w:val="green"/>
        </w:rPr>
        <w:t>the Corporate Actions agreed on the submission of the Change Request.</w:t>
      </w:r>
    </w:p>
    <w:p w:rsidR="00FA0149" w:rsidRDefault="00FA0149" w:rsidP="00A8148A">
      <w:pPr>
        <w:rPr>
          <w:color w:val="FF0000"/>
          <w:lang w:val="en-GB"/>
        </w:rPr>
      </w:pPr>
    </w:p>
    <w:p w:rsidR="007C0EDF" w:rsidRDefault="00EF7F89" w:rsidP="00EF7F89">
      <w:pPr>
        <w:pStyle w:val="Heading1"/>
        <w:numPr>
          <w:ilvl w:val="0"/>
          <w:numId w:val="0"/>
        </w:numPr>
      </w:pPr>
      <w:bookmarkStart w:id="15" w:name="_Toc485062244"/>
      <w:r>
        <w:t xml:space="preserve">CA 346. </w:t>
      </w:r>
      <w:r w:rsidR="007C0EDF">
        <w:t>Conduit Incomes</w:t>
      </w:r>
      <w:bookmarkEnd w:id="15"/>
    </w:p>
    <w:p w:rsidR="00AD1136" w:rsidRDefault="00AD1136" w:rsidP="00AD1136">
      <w:pPr>
        <w:rPr>
          <w:lang w:eastAsia="en-GB"/>
        </w:rPr>
      </w:pPr>
      <w:r>
        <w:rPr>
          <w:lang w:eastAsia="en-GB"/>
        </w:rPr>
        <w:t xml:space="preserve">A Change Request proposed by the Australian Market for the SR 2017 has been rejected by the MWG for further analysis. </w:t>
      </w:r>
      <w:r>
        <w:rPr>
          <w:lang w:eastAsia="en-GB"/>
        </w:rPr>
        <w:br/>
        <w:t>The topic will be discussed in the Tax sub-group in order to see which solution can be found to the business case presented.</w:t>
      </w:r>
    </w:p>
    <w:p w:rsidR="00AD1136" w:rsidRDefault="00AD1136" w:rsidP="00AD1136">
      <w:pPr>
        <w:rPr>
          <w:lang w:eastAsia="en-GB"/>
        </w:rPr>
      </w:pPr>
      <w:r>
        <w:rPr>
          <w:lang w:eastAsia="en-GB"/>
        </w:rPr>
        <w:t xml:space="preserve">The original Change Request was to create Rate type codes and amounts for Conduit foreign incomes. </w:t>
      </w:r>
    </w:p>
    <w:p w:rsidR="00AD1136" w:rsidRDefault="00AD1136" w:rsidP="00AD1136">
      <w:pPr>
        <w:rPr>
          <w:lang w:eastAsia="en-GB"/>
        </w:rPr>
      </w:pPr>
      <w:r>
        <w:rPr>
          <w:lang w:eastAsia="en-GB"/>
        </w:rPr>
        <w:t>An Australian company may declare that some or all of the dividend that is paid is Conduit foreign income. Conduit foreign income has a different taxation status for domestic and non-resident investors.</w:t>
      </w:r>
    </w:p>
    <w:p w:rsidR="007C0EDF" w:rsidRPr="00F62B1B" w:rsidRDefault="007C0EDF" w:rsidP="007C0EDF">
      <w:pPr>
        <w:pStyle w:val="Actions"/>
        <w:rPr>
          <w:lang w:val="en-US"/>
        </w:rPr>
      </w:pPr>
      <w:r w:rsidRPr="00F62B1B">
        <w:rPr>
          <w:b/>
          <w:u w:val="single"/>
          <w:lang w:val="en-US"/>
        </w:rPr>
        <w:t>Action</w:t>
      </w:r>
      <w:r w:rsidRPr="00F62B1B">
        <w:rPr>
          <w:lang w:val="en-US"/>
        </w:rPr>
        <w:t xml:space="preserve">: </w:t>
      </w:r>
    </w:p>
    <w:p w:rsidR="007C0EDF" w:rsidRPr="007C0EDF" w:rsidRDefault="00AB1053" w:rsidP="007C0EDF">
      <w:pPr>
        <w:pStyle w:val="Actions"/>
        <w:rPr>
          <w:lang w:val="en-US"/>
        </w:rPr>
      </w:pPr>
      <w:r>
        <w:rPr>
          <w:lang w:val="en-US"/>
        </w:rPr>
        <w:t xml:space="preserve">Subject on hold. </w:t>
      </w:r>
      <w:r w:rsidR="00757411">
        <w:rPr>
          <w:lang w:val="en-US"/>
        </w:rPr>
        <w:t>It will be discussed and re-visit with Narelle, the new AU representative.</w:t>
      </w:r>
    </w:p>
    <w:p w:rsidR="007C0EDF" w:rsidRDefault="00EF7F89" w:rsidP="00EF7F89">
      <w:pPr>
        <w:pStyle w:val="Heading1"/>
        <w:numPr>
          <w:ilvl w:val="0"/>
          <w:numId w:val="0"/>
        </w:numPr>
      </w:pPr>
      <w:bookmarkStart w:id="16" w:name="_Toc485062245"/>
      <w:r>
        <w:t xml:space="preserve">CA 343. </w:t>
      </w:r>
      <w:r w:rsidR="007C0EDF">
        <w:t>Deemed events / 871m reporting</w:t>
      </w:r>
      <w:bookmarkEnd w:id="16"/>
    </w:p>
    <w:p w:rsidR="00AD1136" w:rsidRDefault="00AD1136" w:rsidP="00AD1136">
      <w:pPr>
        <w:rPr>
          <w:lang w:eastAsia="en-GB"/>
        </w:rPr>
      </w:pPr>
      <w:r>
        <w:rPr>
          <w:lang w:eastAsia="en-GB"/>
        </w:rPr>
        <w:t xml:space="preserve">A Change Request proposed by the Australian Market for the SR 2017 has been rejected by the MWG for further analysis. </w:t>
      </w:r>
      <w:r>
        <w:rPr>
          <w:lang w:eastAsia="en-GB"/>
        </w:rPr>
        <w:br/>
        <w:t>The topic will be discussed in the Tax sub-group in order to see which solution can be found to the business case presented.</w:t>
      </w:r>
    </w:p>
    <w:p w:rsidR="00AD1136" w:rsidRDefault="00AD1136" w:rsidP="00AD1136">
      <w:pPr>
        <w:rPr>
          <w:lang w:eastAsia="en-GB"/>
        </w:rPr>
      </w:pPr>
      <w:r>
        <w:rPr>
          <w:lang w:eastAsia="en-GB"/>
        </w:rPr>
        <w:t>The original Change Request was to create rates and amounts qualifiers in order to communicate to shareholders the taxable part of a ‘deemed payment’: non-resident withholding tax based on a Cash amount that hasn’t been distributed</w:t>
      </w:r>
    </w:p>
    <w:p w:rsidR="00275F48" w:rsidRDefault="00275F48" w:rsidP="00AD1136">
      <w:pPr>
        <w:rPr>
          <w:lang w:eastAsia="en-GB"/>
        </w:rPr>
      </w:pPr>
      <w:r>
        <w:rPr>
          <w:lang w:eastAsia="en-GB"/>
        </w:rPr>
        <w:t xml:space="preserve">Comment from the German Market: </w:t>
      </w:r>
      <w:r>
        <w:rPr>
          <w:lang w:eastAsia="en-GB"/>
        </w:rPr>
        <w:br/>
      </w:r>
      <w:r>
        <w:t xml:space="preserve">With the new German tax law for funds that will be introduced in Germany next year, we will also have "deemed" events for funds, comparable to the Australian events. </w:t>
      </w:r>
      <w:r>
        <w:br/>
        <w:t xml:space="preserve">This topic will therefore be very interesting for the German market, too and we would like to contribute to the discussions to ensure that the proposed solution can also be used in Germany, once implemented. </w:t>
      </w:r>
      <w:r>
        <w:br/>
      </w:r>
    </w:p>
    <w:p w:rsidR="003324B4" w:rsidRDefault="00307677" w:rsidP="00ED03F1">
      <w:pPr>
        <w:rPr>
          <w:lang w:eastAsia="en-GB"/>
        </w:rPr>
      </w:pPr>
      <w:r w:rsidRPr="00EF7F89">
        <w:rPr>
          <w:lang w:eastAsia="en-GB"/>
        </w:rPr>
        <w:t xml:space="preserve">A link has been made between the original Change Request presented by the </w:t>
      </w:r>
      <w:r w:rsidR="00AD1136" w:rsidRPr="00EF7F89">
        <w:rPr>
          <w:lang w:eastAsia="en-GB"/>
        </w:rPr>
        <w:t xml:space="preserve">Australian Market and the </w:t>
      </w:r>
      <w:r w:rsidR="00ED03F1" w:rsidRPr="00EF7F89">
        <w:rPr>
          <w:lang w:eastAsia="en-GB"/>
        </w:rPr>
        <w:t>871m</w:t>
      </w:r>
      <w:r w:rsidR="00AD1136" w:rsidRPr="00EF7F89">
        <w:rPr>
          <w:lang w:eastAsia="en-GB"/>
        </w:rPr>
        <w:t xml:space="preserve"> </w:t>
      </w:r>
      <w:r w:rsidR="003324B4" w:rsidRPr="00EF7F89">
        <w:rPr>
          <w:lang w:eastAsia="en-GB"/>
        </w:rPr>
        <w:t>reporting. The 871m relates to the specific scope of Derivatives</w:t>
      </w:r>
      <w:r w:rsidR="00661324" w:rsidRPr="00EF7F89">
        <w:rPr>
          <w:lang w:eastAsia="en-GB"/>
        </w:rPr>
        <w:t xml:space="preserve">. The similarity between the two subjects is due to the fact that a Taxation is applied on a basis amount that has not been received by the taxable party. </w:t>
      </w:r>
    </w:p>
    <w:p w:rsidR="00EF7F89" w:rsidRDefault="00EF7F89" w:rsidP="00ED03F1">
      <w:pPr>
        <w:rPr>
          <w:lang w:eastAsia="en-GB"/>
        </w:rPr>
      </w:pPr>
      <w:r w:rsidRPr="00270D0A">
        <w:rPr>
          <w:lang w:eastAsia="en-GB"/>
        </w:rPr>
        <w:t xml:space="preserve">Eric </w:t>
      </w:r>
      <w:r w:rsidR="000F35D9" w:rsidRPr="00270D0A">
        <w:rPr>
          <w:lang w:eastAsia="en-GB"/>
        </w:rPr>
        <w:t>(</w:t>
      </w:r>
      <w:r w:rsidRPr="00270D0A">
        <w:rPr>
          <w:lang w:eastAsia="en-GB"/>
        </w:rPr>
        <w:t>Marega</w:t>
      </w:r>
      <w:r w:rsidR="000F35D9" w:rsidRPr="00270D0A">
        <w:rPr>
          <w:lang w:eastAsia="en-GB"/>
        </w:rPr>
        <w:t>)</w:t>
      </w:r>
      <w:r w:rsidRPr="00270D0A">
        <w:rPr>
          <w:lang w:eastAsia="en-GB"/>
        </w:rPr>
        <w:t xml:space="preserve"> presented the attached document which represents the ICSD analysis on the 871m regulation.</w:t>
      </w:r>
    </w:p>
    <w:p w:rsidR="00EF7F89" w:rsidRDefault="00124BD6" w:rsidP="00ED03F1">
      <w:pPr>
        <w:rPr>
          <w:lang w:eastAsia="en-GB"/>
        </w:rPr>
      </w:pPr>
      <w:r>
        <w:rPr>
          <w:lang w:eastAsia="en-GB"/>
        </w:rPr>
        <w:object w:dxaOrig="2069" w:dyaOrig="1320">
          <v:shape id="_x0000_i1031" type="#_x0000_t75" style="width:103.5pt;height:66pt" o:ole="">
            <v:imagedata r:id="rId22" o:title=""/>
          </v:shape>
          <o:OLEObject Type="Embed" ProgID="AcroExch.Document.11" ShapeID="_x0000_i1031" DrawAspect="Icon" ObjectID="_1558804137" r:id="rId23"/>
        </w:object>
      </w:r>
      <w:r>
        <w:rPr>
          <w:lang w:eastAsia="en-GB"/>
        </w:rPr>
        <w:object w:dxaOrig="2069" w:dyaOrig="1320">
          <v:shape id="_x0000_i1032" type="#_x0000_t75" style="width:103.5pt;height:66pt" o:ole="">
            <v:imagedata r:id="rId24" o:title=""/>
          </v:shape>
          <o:OLEObject Type="Embed" ProgID="AcroExch.Document.11" ShapeID="_x0000_i1032" DrawAspect="Icon" ObjectID="_1558804138" r:id="rId25"/>
        </w:object>
      </w:r>
    </w:p>
    <w:p w:rsidR="00A00E17" w:rsidRPr="00270D0A" w:rsidRDefault="00A00E17" w:rsidP="00ED03F1">
      <w:pPr>
        <w:rPr>
          <w:lang w:eastAsia="en-GB"/>
        </w:rPr>
      </w:pPr>
      <w:r w:rsidRPr="00270D0A">
        <w:rPr>
          <w:lang w:eastAsia="en-GB"/>
        </w:rPr>
        <w:t>Eric also illustrated the on-going discussions on the 871m topic during October call:</w:t>
      </w:r>
    </w:p>
    <w:p w:rsidR="00B327DD" w:rsidRPr="00270D0A" w:rsidRDefault="00B327DD" w:rsidP="00ED03F1">
      <w:pPr>
        <w:rPr>
          <w:lang w:eastAsia="en-GB"/>
        </w:rPr>
      </w:pPr>
      <w:r w:rsidRPr="00270D0A">
        <w:rPr>
          <w:lang w:eastAsia="en-GB"/>
        </w:rPr>
        <w:t>Some guidance from IRS is still expected for November. The final scope of instruments for 2017 is also to be published.</w:t>
      </w:r>
    </w:p>
    <w:p w:rsidR="00A00E17" w:rsidRPr="00270D0A" w:rsidRDefault="00A00E17" w:rsidP="00ED03F1">
      <w:pPr>
        <w:rPr>
          <w:lang w:eastAsia="en-GB"/>
        </w:rPr>
      </w:pPr>
      <w:r w:rsidRPr="00270D0A">
        <w:rPr>
          <w:lang w:eastAsia="en-GB"/>
        </w:rPr>
        <w:lastRenderedPageBreak/>
        <w:t xml:space="preserve">Some issuers are ready but some others not. That represents an issue for Data providers. </w:t>
      </w:r>
    </w:p>
    <w:p w:rsidR="00A00E17" w:rsidRPr="00270D0A" w:rsidRDefault="00A00E17" w:rsidP="00ED03F1">
      <w:pPr>
        <w:rPr>
          <w:lang w:eastAsia="en-GB"/>
        </w:rPr>
      </w:pPr>
      <w:r w:rsidRPr="00270D0A">
        <w:rPr>
          <w:lang w:eastAsia="en-GB"/>
        </w:rPr>
        <w:t>Consequently, the ICSDs cannot be liable on that.</w:t>
      </w:r>
    </w:p>
    <w:p w:rsidR="00A00E17" w:rsidRPr="00270D0A" w:rsidRDefault="00A00E17" w:rsidP="00ED03F1">
      <w:pPr>
        <w:rPr>
          <w:lang w:eastAsia="en-GB"/>
        </w:rPr>
      </w:pPr>
      <w:r w:rsidRPr="00270D0A">
        <w:rPr>
          <w:lang w:eastAsia="en-GB"/>
        </w:rPr>
        <w:t>Question also about the reporting by the Custodians : broker / dealers should be the only parties involved.</w:t>
      </w:r>
    </w:p>
    <w:p w:rsidR="001332A4" w:rsidRPr="00270D0A" w:rsidRDefault="00A00E17" w:rsidP="00ED03F1">
      <w:pPr>
        <w:rPr>
          <w:lang w:eastAsia="en-GB"/>
        </w:rPr>
      </w:pPr>
      <w:r w:rsidRPr="00270D0A">
        <w:rPr>
          <w:lang w:eastAsia="en-GB"/>
        </w:rPr>
        <w:t>In other words, for the custodians, it appears difficult to report something on assets that they don’t hold and Corporate Actions messages are not built for such reports.</w:t>
      </w:r>
      <w:r w:rsidR="001332A4" w:rsidRPr="00270D0A">
        <w:rPr>
          <w:lang w:eastAsia="en-GB"/>
        </w:rPr>
        <w:t xml:space="preserve"> </w:t>
      </w:r>
    </w:p>
    <w:p w:rsidR="001332A4" w:rsidRPr="00270D0A" w:rsidRDefault="001332A4" w:rsidP="00ED03F1">
      <w:pPr>
        <w:rPr>
          <w:lang w:eastAsia="en-GB"/>
        </w:rPr>
      </w:pPr>
      <w:r w:rsidRPr="00270D0A">
        <w:rPr>
          <w:lang w:eastAsia="en-GB"/>
        </w:rPr>
        <w:t>We also have to take into consideration that there is a Fund Accounting impact of the 871m.</w:t>
      </w:r>
    </w:p>
    <w:p w:rsidR="00A00E17" w:rsidRPr="00270D0A" w:rsidRDefault="00A00E17" w:rsidP="00ED03F1">
      <w:pPr>
        <w:rPr>
          <w:lang w:eastAsia="en-GB"/>
        </w:rPr>
      </w:pPr>
      <w:r w:rsidRPr="00270D0A">
        <w:rPr>
          <w:lang w:eastAsia="en-GB"/>
        </w:rPr>
        <w:t>Furthermore, data required on complex products (tri-party repos, swaps, …) may be difficult (or even impossible) to get.</w:t>
      </w:r>
    </w:p>
    <w:p w:rsidR="00A00E17" w:rsidRPr="00270D0A" w:rsidRDefault="00A00E17" w:rsidP="00ED03F1">
      <w:pPr>
        <w:rPr>
          <w:lang w:eastAsia="en-GB"/>
        </w:rPr>
      </w:pPr>
      <w:r w:rsidRPr="00270D0A">
        <w:rPr>
          <w:lang w:eastAsia="en-GB"/>
        </w:rPr>
        <w:t xml:space="preserve"> </w:t>
      </w:r>
    </w:p>
    <w:p w:rsidR="00ED03F1" w:rsidRPr="00EF7F89" w:rsidRDefault="00EF7F89" w:rsidP="00ED03F1">
      <w:pPr>
        <w:rPr>
          <w:lang w:eastAsia="en-GB"/>
        </w:rPr>
      </w:pPr>
      <w:r w:rsidRPr="00270D0A">
        <w:rPr>
          <w:lang w:eastAsia="en-GB"/>
        </w:rPr>
        <w:t>It</w:t>
      </w:r>
      <w:r w:rsidR="003324B4" w:rsidRPr="00270D0A">
        <w:rPr>
          <w:lang w:eastAsia="en-GB"/>
        </w:rPr>
        <w:t xml:space="preserve"> is </w:t>
      </w:r>
      <w:r w:rsidRPr="00270D0A">
        <w:rPr>
          <w:lang w:eastAsia="en-GB"/>
        </w:rPr>
        <w:t xml:space="preserve">confirmed </w:t>
      </w:r>
      <w:r w:rsidR="003324B4" w:rsidRPr="00270D0A">
        <w:rPr>
          <w:lang w:eastAsia="en-GB"/>
        </w:rPr>
        <w:t>that it is</w:t>
      </w:r>
      <w:r w:rsidR="00ED03F1" w:rsidRPr="00270D0A">
        <w:rPr>
          <w:lang w:eastAsia="en-GB"/>
        </w:rPr>
        <w:t xml:space="preserve"> too early</w:t>
      </w:r>
      <w:r w:rsidRPr="00270D0A">
        <w:rPr>
          <w:lang w:eastAsia="en-GB"/>
        </w:rPr>
        <w:t>, for the moment,</w:t>
      </w:r>
      <w:r w:rsidR="00ED03F1" w:rsidRPr="00270D0A">
        <w:rPr>
          <w:lang w:eastAsia="en-GB"/>
        </w:rPr>
        <w:t xml:space="preserve"> to discuss about the format of the </w:t>
      </w:r>
      <w:r w:rsidR="00661324" w:rsidRPr="00270D0A">
        <w:rPr>
          <w:lang w:eastAsia="en-GB"/>
        </w:rPr>
        <w:t>messages related to the</w:t>
      </w:r>
      <w:r w:rsidR="00ED03F1" w:rsidRPr="00270D0A">
        <w:rPr>
          <w:lang w:eastAsia="en-GB"/>
        </w:rPr>
        <w:t xml:space="preserve"> </w:t>
      </w:r>
      <w:r w:rsidR="003324B4" w:rsidRPr="00270D0A">
        <w:rPr>
          <w:lang w:eastAsia="en-GB"/>
        </w:rPr>
        <w:t xml:space="preserve">871m </w:t>
      </w:r>
      <w:r w:rsidR="00ED03F1" w:rsidRPr="00270D0A">
        <w:rPr>
          <w:lang w:eastAsia="en-GB"/>
        </w:rPr>
        <w:t>topic</w:t>
      </w:r>
      <w:r w:rsidR="00661324" w:rsidRPr="00270D0A">
        <w:rPr>
          <w:lang w:eastAsia="en-GB"/>
        </w:rPr>
        <w:t>.</w:t>
      </w:r>
    </w:p>
    <w:p w:rsidR="00ED03F1" w:rsidRPr="00A2754D" w:rsidRDefault="00A2754D" w:rsidP="00A2754D">
      <w:pPr>
        <w:rPr>
          <w:u w:val="single"/>
          <w:lang w:eastAsia="en-GB"/>
        </w:rPr>
      </w:pPr>
      <w:r w:rsidRPr="00A2754D">
        <w:rPr>
          <w:u w:val="single"/>
          <w:lang w:eastAsia="en-GB"/>
        </w:rPr>
        <w:t>Dec 15th update:</w:t>
      </w:r>
    </w:p>
    <w:p w:rsidR="00A2754D" w:rsidRDefault="00A2754D" w:rsidP="00A2754D">
      <w:pPr>
        <w:rPr>
          <w:lang w:eastAsia="en-GB"/>
        </w:rPr>
      </w:pPr>
      <w:r w:rsidRPr="00A2754D">
        <w:rPr>
          <w:lang w:eastAsia="en-GB"/>
        </w:rPr>
        <w:t>The IRS published, beginning of December, the guidance for 2017</w:t>
      </w:r>
      <w:r>
        <w:rPr>
          <w:lang w:eastAsia="en-GB"/>
        </w:rPr>
        <w:t xml:space="preserve"> and 2018: scope and rules</w:t>
      </w:r>
      <w:r>
        <w:rPr>
          <w:lang w:eastAsia="en-GB"/>
        </w:rPr>
        <w:br/>
        <w:t xml:space="preserve">There will be interim rules. There was a workshop beginning of December between the major players. </w:t>
      </w:r>
      <w:r>
        <w:rPr>
          <w:lang w:eastAsia="en-GB"/>
        </w:rPr>
        <w:br/>
        <w:t>2 options, proposed by the ICSD community, are under discussion:</w:t>
      </w:r>
    </w:p>
    <w:p w:rsidR="00235588" w:rsidRDefault="00A2754D" w:rsidP="00A2754D">
      <w:pPr>
        <w:rPr>
          <w:lang w:eastAsia="en-GB"/>
        </w:rPr>
      </w:pPr>
      <w:r>
        <w:rPr>
          <w:lang w:eastAsia="en-GB"/>
        </w:rPr>
        <w:t xml:space="preserve">Option A:  </w:t>
      </w:r>
      <w:r w:rsidR="00235588">
        <w:rPr>
          <w:lang w:eastAsia="en-GB"/>
        </w:rPr>
        <w:br/>
        <w:t xml:space="preserve">Issuer to make an actual cash distribution including the taxation part. Unfortunately, it looks unlikely to have large volumes on that because the majority relates to cashless deemed payment. </w:t>
      </w:r>
      <w:r w:rsidR="00235588">
        <w:rPr>
          <w:lang w:eastAsia="en-GB"/>
        </w:rPr>
        <w:br/>
        <w:t>The consequence is again a withholding on cashless events with a manual process of around 100 000 spreadsheets for the declaration. The conclusion is that there is no other choice for these issuers than to handle themselves the withholding Tax.</w:t>
      </w:r>
    </w:p>
    <w:p w:rsidR="00A2754D" w:rsidRDefault="00235588" w:rsidP="00A2754D">
      <w:pPr>
        <w:rPr>
          <w:lang w:eastAsia="en-GB"/>
        </w:rPr>
      </w:pPr>
      <w:r>
        <w:rPr>
          <w:lang w:eastAsia="en-GB"/>
        </w:rPr>
        <w:t>Option B:</w:t>
      </w:r>
      <w:r>
        <w:rPr>
          <w:lang w:eastAsia="en-GB"/>
        </w:rPr>
        <w:br/>
        <w:t xml:space="preserve">Issuers (helped by the issuer agents) will deduct </w:t>
      </w:r>
      <w:r w:rsidR="00316889">
        <w:rPr>
          <w:lang w:eastAsia="en-GB"/>
        </w:rPr>
        <w:t>30% by default and remit the tax withheld to IRS</w:t>
      </w:r>
      <w:r w:rsidR="00E55EA8">
        <w:rPr>
          <w:lang w:eastAsia="en-GB"/>
        </w:rPr>
        <w:t>.</w:t>
      </w:r>
      <w:r w:rsidR="00E55EA8">
        <w:rPr>
          <w:lang w:eastAsia="en-GB"/>
        </w:rPr>
        <w:br/>
        <w:t xml:space="preserve">The taxation will be reported </w:t>
      </w:r>
      <w:r w:rsidR="00CB5886">
        <w:rPr>
          <w:lang w:eastAsia="en-GB"/>
        </w:rPr>
        <w:t>to the final beneficiary (1042S) and the refund will be managed directly with the IRS.</w:t>
      </w:r>
      <w:r w:rsidR="00A2754D">
        <w:rPr>
          <w:lang w:eastAsia="en-GB"/>
        </w:rPr>
        <w:t xml:space="preserve"> </w:t>
      </w:r>
    </w:p>
    <w:p w:rsidR="00E55EA8" w:rsidRDefault="00E55EA8" w:rsidP="00A2754D">
      <w:pPr>
        <w:rPr>
          <w:lang w:eastAsia="en-GB"/>
        </w:rPr>
      </w:pPr>
      <w:r>
        <w:rPr>
          <w:lang w:eastAsia="en-GB"/>
        </w:rPr>
        <w:t>Option A and B will be at Issuer level.</w:t>
      </w:r>
    </w:p>
    <w:p w:rsidR="00E55EA8" w:rsidRDefault="00E55EA8" w:rsidP="00A2754D">
      <w:pPr>
        <w:rPr>
          <w:lang w:eastAsia="en-GB"/>
        </w:rPr>
      </w:pPr>
      <w:r>
        <w:rPr>
          <w:lang w:eastAsia="en-GB"/>
        </w:rPr>
        <w:t xml:space="preserve">The custodians will be impacted in any case somewhere in the chain. </w:t>
      </w:r>
      <w:r w:rsidR="00CB5886">
        <w:rPr>
          <w:lang w:eastAsia="en-GB"/>
        </w:rPr>
        <w:br/>
      </w:r>
      <w:r>
        <w:rPr>
          <w:lang w:eastAsia="en-GB"/>
        </w:rPr>
        <w:t>In particular, in relation with the new QDD status (Qualified Derivatives Dealer).</w:t>
      </w:r>
    </w:p>
    <w:p w:rsidR="00C2618E" w:rsidRPr="00202494" w:rsidRDefault="00C2618E" w:rsidP="00A2754D">
      <w:pPr>
        <w:rPr>
          <w:u w:val="single"/>
          <w:lang w:eastAsia="en-GB"/>
        </w:rPr>
      </w:pPr>
      <w:r w:rsidRPr="00D412E1">
        <w:rPr>
          <w:u w:val="single"/>
          <w:lang w:eastAsia="en-GB"/>
        </w:rPr>
        <w:t>Additional comments during January call:</w:t>
      </w:r>
    </w:p>
    <w:p w:rsidR="00C2618E" w:rsidRDefault="00790934" w:rsidP="00A2754D">
      <w:pPr>
        <w:rPr>
          <w:lang w:eastAsia="en-GB"/>
        </w:rPr>
      </w:pPr>
      <w:r>
        <w:rPr>
          <w:lang w:eastAsia="en-GB"/>
        </w:rPr>
        <w:t>In August 2016, t</w:t>
      </w:r>
      <w:r w:rsidR="00C2618E">
        <w:rPr>
          <w:lang w:eastAsia="en-GB"/>
        </w:rPr>
        <w:t xml:space="preserve">he </w:t>
      </w:r>
      <w:r>
        <w:rPr>
          <w:lang w:eastAsia="en-GB"/>
        </w:rPr>
        <w:t xml:space="preserve">CA </w:t>
      </w:r>
      <w:r w:rsidR="00C2618E">
        <w:rPr>
          <w:lang w:eastAsia="en-GB"/>
        </w:rPr>
        <w:t xml:space="preserve">MWG had recommended </w:t>
      </w:r>
      <w:r>
        <w:rPr>
          <w:lang w:eastAsia="en-GB"/>
        </w:rPr>
        <w:t xml:space="preserve">in the interim only </w:t>
      </w:r>
      <w:r w:rsidR="00C2618E">
        <w:rPr>
          <w:lang w:eastAsia="en-GB"/>
        </w:rPr>
        <w:t xml:space="preserve">to use </w:t>
      </w:r>
      <w:r>
        <w:rPr>
          <w:lang w:eastAsia="en-GB"/>
        </w:rPr>
        <w:t xml:space="preserve">the event </w:t>
      </w:r>
      <w:r w:rsidR="00C2618E">
        <w:rPr>
          <w:lang w:eastAsia="en-GB"/>
        </w:rPr>
        <w:t xml:space="preserve">type: </w:t>
      </w:r>
      <w:r>
        <w:rPr>
          <w:lang w:eastAsia="en-GB"/>
        </w:rPr>
        <w:t>“</w:t>
      </w:r>
      <w:r w:rsidR="00C2618E">
        <w:rPr>
          <w:lang w:eastAsia="en-GB"/>
        </w:rPr>
        <w:t>OTHR</w:t>
      </w:r>
      <w:r>
        <w:rPr>
          <w:lang w:eastAsia="en-GB"/>
        </w:rPr>
        <w:t>” pending a potential new change request for SR 2018.</w:t>
      </w:r>
    </w:p>
    <w:p w:rsidR="00790934" w:rsidRDefault="00790934" w:rsidP="00A2754D">
      <w:pPr>
        <w:rPr>
          <w:lang w:eastAsia="en-GB"/>
        </w:rPr>
      </w:pPr>
      <w:r>
        <w:rPr>
          <w:lang w:eastAsia="en-GB"/>
        </w:rPr>
        <w:t>It is not cleat today whether it is up to the Issuer or the (I)CSD</w:t>
      </w:r>
      <w:r w:rsidR="006E57B9">
        <w:rPr>
          <w:lang w:eastAsia="en-GB"/>
        </w:rPr>
        <w:t xml:space="preserve"> to w</w:t>
      </w:r>
      <w:r>
        <w:rPr>
          <w:lang w:eastAsia="en-GB"/>
        </w:rPr>
        <w:t>ithhold the tax</w:t>
      </w:r>
      <w:r w:rsidR="006E57B9">
        <w:rPr>
          <w:lang w:eastAsia="en-GB"/>
        </w:rPr>
        <w:t>.</w:t>
      </w:r>
    </w:p>
    <w:p w:rsidR="00202494" w:rsidRDefault="00202494" w:rsidP="00A2754D">
      <w:pPr>
        <w:rPr>
          <w:lang w:eastAsia="en-GB"/>
        </w:rPr>
      </w:pPr>
      <w:r>
        <w:rPr>
          <w:lang w:eastAsia="en-GB"/>
        </w:rPr>
        <w:t>It seems that the position taken by the UK Market during the MWG was already 871m oriented.</w:t>
      </w:r>
    </w:p>
    <w:p w:rsidR="00C2618E" w:rsidRDefault="00790934" w:rsidP="00A2754D">
      <w:pPr>
        <w:rPr>
          <w:lang w:eastAsia="en-GB"/>
        </w:rPr>
      </w:pPr>
      <w:r>
        <w:rPr>
          <w:lang w:eastAsia="en-GB"/>
        </w:rPr>
        <w:t>About regulation 302, 304, 305c, it is not clear either what needs to be done at this stage.</w:t>
      </w:r>
    </w:p>
    <w:p w:rsidR="00D412E1" w:rsidRPr="00D412E1" w:rsidRDefault="00D412E1" w:rsidP="00A2754D">
      <w:pPr>
        <w:rPr>
          <w:b/>
          <w:u w:val="single"/>
          <w:lang w:eastAsia="en-GB"/>
        </w:rPr>
      </w:pPr>
      <w:r w:rsidRPr="00D412E1">
        <w:rPr>
          <w:b/>
          <w:highlight w:val="yellow"/>
          <w:u w:val="single"/>
          <w:lang w:eastAsia="en-GB"/>
        </w:rPr>
        <w:t>Update during March call:</w:t>
      </w:r>
    </w:p>
    <w:p w:rsidR="00D412E1" w:rsidRDefault="00D412E1" w:rsidP="00A2754D">
      <w:pPr>
        <w:rPr>
          <w:lang w:eastAsia="en-GB"/>
        </w:rPr>
      </w:pPr>
      <w:r>
        <w:rPr>
          <w:lang w:eastAsia="en-GB"/>
        </w:rPr>
        <w:t>A Change Request will be proposed for the next release SR2018 by ISITC on the deemed events. Consequently, the US Market participants provided some additional information on this subject:</w:t>
      </w:r>
    </w:p>
    <w:p w:rsidR="00D412E1" w:rsidRDefault="00D412E1" w:rsidP="00D412E1">
      <w:pPr>
        <w:rPr>
          <w:lang w:eastAsia="en-GB"/>
        </w:rPr>
      </w:pPr>
      <w:r>
        <w:rPr>
          <w:lang w:eastAsia="en-GB"/>
        </w:rPr>
        <w:t xml:space="preserve">There are events that are so called ‘Tax Events’ – essentially a corporate action in which there are no entitlements allocated to the investor but for US tax purposes are considered a deemed dividend.  U.S. investors may be required to pay tax on these events and non-US investors may have tax withheld from their accounts if they are holding these securities.  </w:t>
      </w:r>
    </w:p>
    <w:p w:rsidR="00D412E1" w:rsidRDefault="00D412E1" w:rsidP="00D412E1">
      <w:pPr>
        <w:rPr>
          <w:lang w:eastAsia="en-GB"/>
        </w:rPr>
      </w:pPr>
      <w:r>
        <w:rPr>
          <w:lang w:eastAsia="en-GB"/>
        </w:rPr>
        <w:t xml:space="preserve">There are two event types that are derived under 305(c) and 871(m) of the Internal Revenue Code.  </w:t>
      </w:r>
    </w:p>
    <w:p w:rsidR="00D412E1" w:rsidRDefault="00D412E1" w:rsidP="00D412E1">
      <w:pPr>
        <w:rPr>
          <w:lang w:eastAsia="en-GB"/>
        </w:rPr>
      </w:pPr>
      <w:r>
        <w:rPr>
          <w:lang w:eastAsia="en-GB"/>
        </w:rPr>
        <w:t xml:space="preserve">Section 305(c) of the IRC considers that holders of convertible securities may be deemed to have received a dividend as a result of a corporate action on the underlying common stock and  financial institutions may have requirements to withhold tax on the deemed distribution and to perform year-end tax reporting for the deemed distribution to holders. In the most common scenario, an issuer pays a dividend on their common stock which triggers a Conversion Rate Adjustment on the issuer’s convertible notes which may be a deemed dividend for US tax purposes. </w:t>
      </w:r>
    </w:p>
    <w:p w:rsidR="00D412E1" w:rsidRDefault="00D412E1" w:rsidP="00D412E1">
      <w:pPr>
        <w:rPr>
          <w:lang w:eastAsia="en-GB"/>
        </w:rPr>
      </w:pPr>
      <w:r>
        <w:rPr>
          <w:lang w:eastAsia="en-GB"/>
        </w:rPr>
        <w:lastRenderedPageBreak/>
        <w:t>Section 871(m) defines dividend equivalent as payments on certain equity-linked instruments and specified notional principal contracts that reference U.S. source dividends.  So for instance, when a U.S. company pays  a dividend to their shareholders, derivative securities that reference that U.S. equity may be considered as making a “dividend equivalent payment” under 871(m) even though it may not distribute cash. Holders of the derivative securities are considered to receive a taxable dividend, and if those holders are outside the US will be subject to US withholding tax on the “dividend equivalent payment.”</w:t>
      </w:r>
    </w:p>
    <w:p w:rsidR="00B93D87" w:rsidRDefault="00B93D87" w:rsidP="00A2754D">
      <w:pPr>
        <w:rPr>
          <w:lang w:eastAsia="en-GB"/>
        </w:rPr>
      </w:pPr>
      <w:r>
        <w:rPr>
          <w:lang w:eastAsia="en-GB"/>
        </w:rPr>
        <w:t xml:space="preserve">The distinction between 305c and 871m is based on the underlying product: </w:t>
      </w:r>
    </w:p>
    <w:p w:rsidR="00B93D87" w:rsidRDefault="00B93D87" w:rsidP="00A2754D">
      <w:pPr>
        <w:rPr>
          <w:lang w:eastAsia="en-GB"/>
        </w:rPr>
      </w:pPr>
      <w:r>
        <w:rPr>
          <w:lang w:eastAsia="en-GB"/>
        </w:rPr>
        <w:t>305c: convertible bonds</w:t>
      </w:r>
    </w:p>
    <w:p w:rsidR="00B93D87" w:rsidRDefault="00B93D87" w:rsidP="00A2754D">
      <w:pPr>
        <w:rPr>
          <w:lang w:eastAsia="en-GB"/>
        </w:rPr>
      </w:pPr>
      <w:r>
        <w:rPr>
          <w:lang w:eastAsia="en-GB"/>
        </w:rPr>
        <w:t>871m: derivatives, Exchange Traded Notes - ETN (eg: swaps)</w:t>
      </w:r>
    </w:p>
    <w:p w:rsidR="00D412E1" w:rsidRDefault="00B93D87" w:rsidP="00A2754D">
      <w:pPr>
        <w:rPr>
          <w:lang w:eastAsia="en-GB"/>
        </w:rPr>
      </w:pPr>
      <w:r>
        <w:rPr>
          <w:lang w:eastAsia="en-GB"/>
        </w:rPr>
        <w:t>For the former Australian Change Request, there were 2 parts : 1. Event type and 2. Rate type code.</w:t>
      </w:r>
    </w:p>
    <w:p w:rsidR="00B93D87" w:rsidRDefault="00B93D87" w:rsidP="00A2754D">
      <w:pPr>
        <w:rPr>
          <w:lang w:eastAsia="en-GB"/>
        </w:rPr>
      </w:pPr>
      <w:r>
        <w:rPr>
          <w:lang w:eastAsia="en-GB"/>
        </w:rPr>
        <w:t xml:space="preserve">For the US, the event type is also requested but the rate is not a </w:t>
      </w:r>
      <w:r w:rsidRPr="00B93D87">
        <w:rPr>
          <w:b/>
          <w:u w:val="single"/>
          <w:lang w:eastAsia="en-GB"/>
        </w:rPr>
        <w:t>deemed</w:t>
      </w:r>
      <w:r>
        <w:rPr>
          <w:lang w:eastAsia="en-GB"/>
        </w:rPr>
        <w:t xml:space="preserve"> rate. Consequently, the US Change Request will not include the request of a new rate.</w:t>
      </w:r>
    </w:p>
    <w:p w:rsidR="00EA13B0" w:rsidRDefault="00EA13B0" w:rsidP="00EA13B0">
      <w:pPr>
        <w:rPr>
          <w:lang w:eastAsia="en-GB"/>
        </w:rPr>
      </w:pPr>
      <w:r>
        <w:rPr>
          <w:lang w:eastAsia="en-GB"/>
        </w:rPr>
        <w:t>The volume at DTC of such events is expected to be high (100 in February on dividend equivalent events), Furthermore, the related securities usually pays on a quarterly basis.</w:t>
      </w:r>
    </w:p>
    <w:p w:rsidR="00B93D87" w:rsidRDefault="00B93D87" w:rsidP="00A2754D">
      <w:pPr>
        <w:rPr>
          <w:lang w:eastAsia="en-GB"/>
        </w:rPr>
      </w:pPr>
      <w:r>
        <w:rPr>
          <w:lang w:eastAsia="en-GB"/>
        </w:rPr>
        <w:t>A question has been raised on how to categorize the different categories: 305 / 871 / …?</w:t>
      </w:r>
    </w:p>
    <w:p w:rsidR="00B93D87" w:rsidRDefault="00EA13B0" w:rsidP="00A2754D">
      <w:pPr>
        <w:rPr>
          <w:lang w:eastAsia="en-GB"/>
        </w:rPr>
      </w:pPr>
      <w:r>
        <w:rPr>
          <w:lang w:eastAsia="en-GB"/>
        </w:rPr>
        <w:t>There is a strong pressure from the clients to know how the custodians will report the information.</w:t>
      </w:r>
      <w:r>
        <w:rPr>
          <w:lang w:eastAsia="en-GB"/>
        </w:rPr>
        <w:br/>
        <w:t>Financial Institutions are expecting Announcements + Cash debit impact</w:t>
      </w:r>
    </w:p>
    <w:p w:rsidR="00F57F1E" w:rsidRDefault="00F57F1E" w:rsidP="00F57F1E">
      <w:pPr>
        <w:rPr>
          <w:lang w:eastAsia="en-GB"/>
        </w:rPr>
      </w:pPr>
      <w:r>
        <w:rPr>
          <w:lang w:eastAsia="en-GB"/>
        </w:rPr>
        <w:t>Narelle confirmed that for the AU Market, there is also a need related to the MT566 flow (according to the legislation published in 2015 and that will become live in July 2017).</w:t>
      </w:r>
    </w:p>
    <w:p w:rsidR="00F57F1E" w:rsidRDefault="00F57F1E" w:rsidP="00F57F1E">
      <w:pPr>
        <w:rPr>
          <w:lang w:eastAsia="en-GB"/>
        </w:rPr>
      </w:pPr>
      <w:r>
        <w:rPr>
          <w:lang w:eastAsia="en-GB"/>
        </w:rPr>
        <w:t>Why not using DVCA for these events? The issue is that the current definition of DVCA refers to a distribution of cash: ‘</w:t>
      </w:r>
      <w:r w:rsidRPr="00F57F1E">
        <w:rPr>
          <w:lang w:eastAsia="en-GB"/>
        </w:rPr>
        <w:t>Distribution of cash to shareholders, in proportion to their equity holding. Ordinary dividends are recurring and regular. Shareholder must take cash and may be offered a choice of currency</w:t>
      </w:r>
      <w:r>
        <w:rPr>
          <w:lang w:eastAsia="en-GB"/>
        </w:rPr>
        <w:t>’</w:t>
      </w:r>
      <w:r w:rsidRPr="00F57F1E">
        <w:rPr>
          <w:lang w:eastAsia="en-GB"/>
        </w:rPr>
        <w:t>.</w:t>
      </w:r>
    </w:p>
    <w:p w:rsidR="00B93D87" w:rsidRPr="00A2754D" w:rsidRDefault="00B93D87" w:rsidP="00A2754D">
      <w:pPr>
        <w:rPr>
          <w:lang w:eastAsia="en-GB"/>
        </w:rPr>
      </w:pPr>
    </w:p>
    <w:p w:rsidR="00661324" w:rsidRPr="00EF7F89" w:rsidRDefault="007C0EDF" w:rsidP="007C5175">
      <w:pPr>
        <w:pStyle w:val="Actions"/>
        <w:rPr>
          <w:lang w:val="en-US"/>
        </w:rPr>
      </w:pPr>
      <w:r w:rsidRPr="00EF7F89">
        <w:rPr>
          <w:b/>
          <w:u w:val="single"/>
          <w:lang w:val="en-US"/>
        </w:rPr>
        <w:t>Action</w:t>
      </w:r>
      <w:r w:rsidRPr="00EF7F89">
        <w:rPr>
          <w:lang w:val="en-US"/>
        </w:rPr>
        <w:t xml:space="preserve">: </w:t>
      </w:r>
    </w:p>
    <w:p w:rsidR="007C0EDF" w:rsidRDefault="00F57F1E" w:rsidP="00F57F1E">
      <w:pPr>
        <w:pStyle w:val="Actions"/>
        <w:jc w:val="left"/>
        <w:rPr>
          <w:lang w:val="en-US"/>
        </w:rPr>
      </w:pPr>
      <w:r>
        <w:rPr>
          <w:lang w:val="en-US"/>
        </w:rPr>
        <w:t>US Market will propose a draft Change Request to be discussed during next Tax sub-group call before a final review during the global Corporate Actions SMPG.</w:t>
      </w:r>
    </w:p>
    <w:p w:rsidR="00FA0149" w:rsidRDefault="00FA0149" w:rsidP="00F57F1E">
      <w:pPr>
        <w:pStyle w:val="Actions"/>
        <w:jc w:val="left"/>
        <w:rPr>
          <w:lang w:val="en-US"/>
        </w:rPr>
      </w:pPr>
    </w:p>
    <w:p w:rsidR="00FA0149" w:rsidRDefault="00FA0149" w:rsidP="00FA0149">
      <w:pPr>
        <w:pStyle w:val="Actions"/>
        <w:numPr>
          <w:ilvl w:val="0"/>
          <w:numId w:val="19"/>
        </w:numPr>
        <w:rPr>
          <w:highlight w:val="green"/>
        </w:rPr>
      </w:pPr>
      <w:r w:rsidRPr="00FA0149">
        <w:rPr>
          <w:highlight w:val="green"/>
        </w:rPr>
        <w:t xml:space="preserve">Update during April SMPG: </w:t>
      </w:r>
      <w:r>
        <w:rPr>
          <w:highlight w:val="green"/>
        </w:rPr>
        <w:t>the US Market proposed a draft Change Request. The Corporate Actions SMPG agreed on the submission of the Change Request.</w:t>
      </w:r>
    </w:p>
    <w:p w:rsidR="00FA0149" w:rsidRPr="00FA0149" w:rsidRDefault="00FA0149" w:rsidP="00F57F1E">
      <w:pPr>
        <w:pStyle w:val="Actions"/>
        <w:jc w:val="left"/>
      </w:pPr>
    </w:p>
    <w:p w:rsidR="00CE0A0F" w:rsidRPr="00D74022" w:rsidRDefault="00EF7F89" w:rsidP="00EF7F89">
      <w:pPr>
        <w:pStyle w:val="Heading1"/>
        <w:numPr>
          <w:ilvl w:val="0"/>
          <w:numId w:val="0"/>
        </w:numPr>
      </w:pPr>
      <w:bookmarkStart w:id="17" w:name="_Toc485062246"/>
      <w:r>
        <w:t xml:space="preserve">CA </w:t>
      </w:r>
      <w:r w:rsidR="00CB5886">
        <w:t>360.</w:t>
      </w:r>
      <w:r>
        <w:t xml:space="preserve"> </w:t>
      </w:r>
      <w:r w:rsidR="00D74022">
        <w:t xml:space="preserve">Taxation </w:t>
      </w:r>
      <w:r w:rsidR="00CE0A0F" w:rsidRPr="00D74022">
        <w:t xml:space="preserve">on security </w:t>
      </w:r>
      <w:r w:rsidR="00D74022" w:rsidRPr="00D74022">
        <w:t>distributions</w:t>
      </w:r>
      <w:bookmarkEnd w:id="17"/>
    </w:p>
    <w:p w:rsidR="00D74022" w:rsidRPr="00D74022" w:rsidRDefault="00D74022" w:rsidP="00D74022">
      <w:pPr>
        <w:pStyle w:val="Actions"/>
        <w:jc w:val="left"/>
        <w:rPr>
          <w:color w:val="auto"/>
          <w:lang w:val="en-AU"/>
        </w:rPr>
      </w:pPr>
      <w:r w:rsidRPr="00D74022">
        <w:rPr>
          <w:color w:val="auto"/>
          <w:lang w:val="en-AU"/>
        </w:rPr>
        <w:t xml:space="preserve">During </w:t>
      </w:r>
      <w:r w:rsidR="0081577C">
        <w:rPr>
          <w:color w:val="auto"/>
          <w:lang w:val="en-AU"/>
        </w:rPr>
        <w:t>our</w:t>
      </w:r>
      <w:r w:rsidRPr="00D74022">
        <w:rPr>
          <w:color w:val="auto"/>
          <w:lang w:val="en-AU"/>
        </w:rPr>
        <w:t xml:space="preserve"> conference call held on 15 September ZA raised an enquiry with regards to tax on security distributions and cash fractions. Please some detail in that regard below. </w:t>
      </w:r>
    </w:p>
    <w:p w:rsidR="00D74022" w:rsidRPr="00D74022" w:rsidRDefault="00D74022" w:rsidP="00D74022">
      <w:pPr>
        <w:pStyle w:val="Actions"/>
        <w:jc w:val="left"/>
        <w:rPr>
          <w:color w:val="auto"/>
          <w:lang w:val="en-AU"/>
        </w:rPr>
      </w:pPr>
      <w:r w:rsidRPr="00D74022">
        <w:rPr>
          <w:color w:val="auto"/>
          <w:lang w:val="en-AU"/>
        </w:rPr>
        <w:t>1.</w:t>
      </w:r>
      <w:r w:rsidRPr="00D74022">
        <w:rPr>
          <w:color w:val="auto"/>
          <w:lang w:val="en-AU"/>
        </w:rPr>
        <w:tab/>
        <w:t xml:space="preserve">Currently all rate and amount codes/qualifiers to withhold taxes are available in the cash movement blocks (sequence E2 and D2) of the MT564 and MT566. Therefore in instances where tax is applicable to security entitlement the effects thereof are being communicated in narrative fields. Resultantly, due to the narrative, STP is affected thereby possibly requiring manual invention. ZA will appreciate it if we could investigate the possibility of making the tax codes/qualifiers for rates and amounts available in the securities movement blocks (sequence E1 and D1) the MT564 and MT566. </w:t>
      </w:r>
      <w:r>
        <w:rPr>
          <w:color w:val="auto"/>
          <w:lang w:val="en-AU"/>
        </w:rPr>
        <w:br/>
      </w:r>
      <w:r w:rsidRPr="00D74022">
        <w:rPr>
          <w:color w:val="auto"/>
          <w:lang w:val="en-AU"/>
        </w:rPr>
        <w:t>We are of opinion that this will improve communication and possibly increase STP.</w:t>
      </w:r>
    </w:p>
    <w:p w:rsidR="00CE0A0F" w:rsidRDefault="00D74022" w:rsidP="00D74022">
      <w:pPr>
        <w:pStyle w:val="Actions"/>
        <w:jc w:val="left"/>
        <w:rPr>
          <w:color w:val="auto"/>
          <w:lang w:val="en-AU"/>
        </w:rPr>
      </w:pPr>
      <w:r w:rsidRPr="00D74022">
        <w:rPr>
          <w:color w:val="auto"/>
          <w:lang w:val="en-AU"/>
        </w:rPr>
        <w:t>2.</w:t>
      </w:r>
      <w:r w:rsidRPr="00D74022">
        <w:rPr>
          <w:color w:val="auto"/>
          <w:lang w:val="en-AU"/>
        </w:rPr>
        <w:tab/>
        <w:t xml:space="preserve">Similarly there is also a challenge in communication when the cash fraction (CINL) is taxable. </w:t>
      </w:r>
      <w:r>
        <w:rPr>
          <w:color w:val="auto"/>
          <w:lang w:val="en-AU"/>
        </w:rPr>
        <w:br/>
      </w:r>
      <w:r w:rsidRPr="00D74022">
        <w:rPr>
          <w:color w:val="auto"/>
          <w:lang w:val="en-AU"/>
        </w:rPr>
        <w:t>An example would in a DVOP, whilst the security entitlement in itself is not taxable the cash fraction is still considered to be a dividend and thus withholding taxes become applicable. We are not aware of a market practice or standard in this regard and the context is communicated in narrative fields. We will appreciate guidance in this regard and also efforts to possibly improve communication and automation.</w:t>
      </w:r>
    </w:p>
    <w:p w:rsidR="00BB40A3" w:rsidRDefault="00BB40A3" w:rsidP="00D74022">
      <w:pPr>
        <w:pStyle w:val="Actions"/>
        <w:jc w:val="left"/>
        <w:rPr>
          <w:color w:val="auto"/>
          <w:lang w:val="en-AU"/>
        </w:rPr>
      </w:pPr>
    </w:p>
    <w:p w:rsidR="00CB5886" w:rsidRPr="00684806" w:rsidRDefault="00CB5886" w:rsidP="00D74022">
      <w:pPr>
        <w:pStyle w:val="Actions"/>
        <w:jc w:val="left"/>
        <w:rPr>
          <w:color w:val="auto"/>
          <w:u w:val="single"/>
          <w:lang w:val="en-AU"/>
        </w:rPr>
      </w:pPr>
      <w:r w:rsidRPr="00684806">
        <w:rPr>
          <w:color w:val="auto"/>
          <w:u w:val="single"/>
          <w:lang w:val="en-AU"/>
        </w:rPr>
        <w:lastRenderedPageBreak/>
        <w:t>Discussions during Dec 15</w:t>
      </w:r>
      <w:r w:rsidRPr="00684806">
        <w:rPr>
          <w:color w:val="auto"/>
          <w:u w:val="single"/>
          <w:vertAlign w:val="superscript"/>
          <w:lang w:val="en-AU"/>
        </w:rPr>
        <w:t>th</w:t>
      </w:r>
      <w:r w:rsidRPr="00684806">
        <w:rPr>
          <w:color w:val="auto"/>
          <w:u w:val="single"/>
          <w:lang w:val="en-AU"/>
        </w:rPr>
        <w:t xml:space="preserve"> call :</w:t>
      </w:r>
    </w:p>
    <w:p w:rsidR="00CB5886" w:rsidRDefault="00CB5886" w:rsidP="00D74022">
      <w:pPr>
        <w:pStyle w:val="Actions"/>
        <w:jc w:val="left"/>
        <w:rPr>
          <w:color w:val="auto"/>
          <w:lang w:val="en-AU"/>
        </w:rPr>
      </w:pPr>
      <w:r>
        <w:rPr>
          <w:color w:val="auto"/>
          <w:lang w:val="en-AU"/>
        </w:rPr>
        <w:t>Why not in sequence E? Sanjeev explained that, in sequence E, it would be impossible to show the Tax calculated on the entitlement.</w:t>
      </w:r>
    </w:p>
    <w:p w:rsidR="00CB5886" w:rsidRDefault="00CB5886" w:rsidP="00D74022">
      <w:pPr>
        <w:pStyle w:val="Actions"/>
        <w:jc w:val="left"/>
        <w:rPr>
          <w:color w:val="auto"/>
          <w:lang w:val="en-AU"/>
        </w:rPr>
      </w:pPr>
      <w:r>
        <w:rPr>
          <w:color w:val="auto"/>
          <w:lang w:val="en-AU"/>
        </w:rPr>
        <w:t>Delphine suggested to use the Cashmove to indicate the Tax to debit.</w:t>
      </w:r>
    </w:p>
    <w:p w:rsidR="00CB5886" w:rsidRDefault="00E277AC" w:rsidP="00D74022">
      <w:pPr>
        <w:pStyle w:val="Actions"/>
        <w:jc w:val="left"/>
        <w:rPr>
          <w:color w:val="auto"/>
          <w:lang w:val="en-AU"/>
        </w:rPr>
      </w:pPr>
      <w:r>
        <w:rPr>
          <w:color w:val="auto"/>
          <w:lang w:val="en-AU"/>
        </w:rPr>
        <w:t>Ano</w:t>
      </w:r>
      <w:r w:rsidR="00CB5886">
        <w:rPr>
          <w:color w:val="auto"/>
          <w:lang w:val="en-AU"/>
        </w:rPr>
        <w:t>ther proposal</w:t>
      </w:r>
      <w:r>
        <w:rPr>
          <w:color w:val="auto"/>
          <w:lang w:val="en-AU"/>
        </w:rPr>
        <w:t xml:space="preserve"> is to use the Taxation indicator : 22F : TXAP and the price 90a – CAVA (</w:t>
      </w:r>
      <w:r w:rsidRPr="00E277AC">
        <w:rPr>
          <w:color w:val="auto"/>
          <w:lang w:val="en-AU"/>
        </w:rPr>
        <w:t>Cash Value for Tax</w:t>
      </w:r>
      <w:r>
        <w:rPr>
          <w:color w:val="auto"/>
          <w:lang w:val="en-AU"/>
        </w:rPr>
        <w:t>)</w:t>
      </w:r>
    </w:p>
    <w:p w:rsidR="00E277AC" w:rsidRDefault="00E277AC" w:rsidP="00D74022">
      <w:pPr>
        <w:pStyle w:val="Actions"/>
        <w:jc w:val="left"/>
        <w:rPr>
          <w:color w:val="auto"/>
          <w:lang w:val="en-AU"/>
        </w:rPr>
      </w:pPr>
      <w:r>
        <w:rPr>
          <w:color w:val="auto"/>
          <w:lang w:val="en-AU"/>
        </w:rPr>
        <w:t>Gabriel explained that, in the UK, the issuers are used to advise about the taxability of an event and then the tax is applied when the distribution of the securities is performed.</w:t>
      </w:r>
    </w:p>
    <w:p w:rsidR="00E277AC" w:rsidRDefault="00E277AC" w:rsidP="00D74022">
      <w:pPr>
        <w:pStyle w:val="Actions"/>
        <w:jc w:val="left"/>
        <w:rPr>
          <w:color w:val="auto"/>
          <w:lang w:val="en-AU"/>
        </w:rPr>
      </w:pPr>
      <w:r>
        <w:rPr>
          <w:color w:val="auto"/>
          <w:lang w:val="en-AU"/>
        </w:rPr>
        <w:t>Sanjee</w:t>
      </w:r>
      <w:r w:rsidR="00684806">
        <w:rPr>
          <w:color w:val="auto"/>
          <w:lang w:val="en-AU"/>
        </w:rPr>
        <w:t>v</w:t>
      </w:r>
      <w:r>
        <w:rPr>
          <w:color w:val="auto"/>
          <w:lang w:val="en-AU"/>
        </w:rPr>
        <w:t xml:space="preserve"> explained that there is the same taxation applied to all beneficiaries, it could be OK but how does it work if the rate is different ? Gabriel explained that, in the UK, it is a 1 for 1</w:t>
      </w:r>
    </w:p>
    <w:p w:rsidR="00684806" w:rsidRDefault="00684806" w:rsidP="00D74022">
      <w:pPr>
        <w:pStyle w:val="Actions"/>
        <w:jc w:val="left"/>
        <w:rPr>
          <w:color w:val="auto"/>
          <w:lang w:val="en-AU"/>
        </w:rPr>
      </w:pPr>
      <w:r>
        <w:rPr>
          <w:color w:val="auto"/>
          <w:lang w:val="en-AU"/>
        </w:rPr>
        <w:t>Please see attached example from the UK Market.</w:t>
      </w:r>
    </w:p>
    <w:bookmarkStart w:id="18" w:name="_MON_1550906810"/>
    <w:bookmarkEnd w:id="18"/>
    <w:p w:rsidR="00684806" w:rsidRDefault="00684806" w:rsidP="00D74022">
      <w:pPr>
        <w:pStyle w:val="Actions"/>
        <w:jc w:val="left"/>
        <w:rPr>
          <w:color w:val="auto"/>
          <w:lang w:val="en-US"/>
        </w:rPr>
      </w:pPr>
      <w:r>
        <w:rPr>
          <w:color w:val="auto"/>
          <w:lang w:val="en-US"/>
        </w:rPr>
        <w:object w:dxaOrig="2069" w:dyaOrig="1320">
          <v:shape id="_x0000_i1033" type="#_x0000_t75" style="width:103.5pt;height:66pt" o:ole="">
            <v:imagedata r:id="rId26" o:title=""/>
          </v:shape>
          <o:OLEObject Type="Embed" ProgID="Word.Document.12" ShapeID="_x0000_i1033" DrawAspect="Icon" ObjectID="_1558804139" r:id="rId27">
            <o:FieldCodes>\s</o:FieldCodes>
          </o:OLEObject>
        </w:object>
      </w:r>
    </w:p>
    <w:p w:rsidR="00362140" w:rsidRDefault="00362140" w:rsidP="00D74022">
      <w:pPr>
        <w:pStyle w:val="Actions"/>
        <w:jc w:val="left"/>
        <w:rPr>
          <w:color w:val="auto"/>
          <w:lang w:val="en-US"/>
        </w:rPr>
      </w:pPr>
      <w:r>
        <w:rPr>
          <w:color w:val="auto"/>
          <w:lang w:val="en-US"/>
        </w:rPr>
        <w:t xml:space="preserve">Sanjeev also provided 2 examples: </w:t>
      </w:r>
      <w:r w:rsidRPr="00362140">
        <w:rPr>
          <w:color w:val="auto"/>
          <w:lang w:val="en-US"/>
        </w:rPr>
        <w:t>one with tax on cash fractions and another with tax on shares</w:t>
      </w:r>
      <w:r>
        <w:rPr>
          <w:color w:val="auto"/>
          <w:lang w:val="en-US"/>
        </w:rPr>
        <w:t>.</w:t>
      </w:r>
    </w:p>
    <w:p w:rsidR="00362140" w:rsidRPr="00362140" w:rsidRDefault="00362140" w:rsidP="00362140">
      <w:pPr>
        <w:pStyle w:val="Actions"/>
        <w:numPr>
          <w:ilvl w:val="0"/>
          <w:numId w:val="16"/>
        </w:numPr>
        <w:rPr>
          <w:color w:val="auto"/>
        </w:rPr>
      </w:pPr>
      <w:r w:rsidRPr="00362140">
        <w:rPr>
          <w:color w:val="auto"/>
        </w:rPr>
        <w:t xml:space="preserve">Mediclinics International Limited – Scheme of arrangement </w:t>
      </w:r>
    </w:p>
    <w:p w:rsidR="00362140" w:rsidRPr="00362140" w:rsidRDefault="00362140" w:rsidP="00362140">
      <w:pPr>
        <w:pStyle w:val="Actions"/>
        <w:rPr>
          <w:color w:val="auto"/>
        </w:rPr>
      </w:pPr>
      <w:r w:rsidRPr="00362140">
        <w:rPr>
          <w:color w:val="auto"/>
        </w:rPr>
        <w:t>Company made a scheme of arrangement to shareholders.</w:t>
      </w:r>
    </w:p>
    <w:p w:rsidR="00362140" w:rsidRPr="00362140" w:rsidRDefault="00362140" w:rsidP="00362140">
      <w:pPr>
        <w:pStyle w:val="Actions"/>
        <w:rPr>
          <w:color w:val="auto"/>
        </w:rPr>
      </w:pPr>
      <w:r w:rsidRPr="00362140">
        <w:rPr>
          <w:color w:val="auto"/>
        </w:rPr>
        <w:t>Shareholders afforded an option to elect for the repurchase option or an exchange option to receive Al Noor shares.</w:t>
      </w:r>
    </w:p>
    <w:p w:rsidR="00362140" w:rsidRPr="00362140" w:rsidRDefault="00362140" w:rsidP="00362140">
      <w:pPr>
        <w:pStyle w:val="Actions"/>
        <w:rPr>
          <w:color w:val="auto"/>
        </w:rPr>
      </w:pPr>
      <w:r w:rsidRPr="00362140">
        <w:rPr>
          <w:color w:val="auto"/>
        </w:rPr>
        <w:t>Repurchase option was subject to dividends withholding tax, issue price of the stock was utilised to determine the dividend rate and shareholders had to pay DWT on the stock they received even though they did not receive cash.</w:t>
      </w:r>
    </w:p>
    <w:p w:rsidR="00362140" w:rsidRPr="00362140" w:rsidRDefault="00362140" w:rsidP="00362140">
      <w:pPr>
        <w:pStyle w:val="Actions"/>
        <w:rPr>
          <w:color w:val="auto"/>
        </w:rPr>
      </w:pPr>
      <w:r w:rsidRPr="00362140">
        <w:rPr>
          <w:color w:val="auto"/>
        </w:rPr>
        <w:t>Withholding of tax (DWT) on security entitlement was processed manually and reported to the tax authority accordingly.</w:t>
      </w:r>
    </w:p>
    <w:p w:rsidR="00362140" w:rsidRPr="00362140" w:rsidRDefault="00362140" w:rsidP="00362140">
      <w:pPr>
        <w:pStyle w:val="Actions"/>
        <w:numPr>
          <w:ilvl w:val="0"/>
          <w:numId w:val="16"/>
        </w:numPr>
        <w:rPr>
          <w:color w:val="auto"/>
        </w:rPr>
      </w:pPr>
      <w:r w:rsidRPr="00362140">
        <w:rPr>
          <w:color w:val="auto"/>
        </w:rPr>
        <w:t>Brait Se (BAT) –</w:t>
      </w:r>
      <w:r w:rsidR="00BA6C38">
        <w:rPr>
          <w:color w:val="auto"/>
        </w:rPr>
        <w:t xml:space="preserve"> </w:t>
      </w:r>
      <w:r w:rsidRPr="00362140">
        <w:rPr>
          <w:color w:val="auto"/>
        </w:rPr>
        <w:t>Bonus Share Issue with a Cash Dividend Alternative (dividend with option)</w:t>
      </w:r>
    </w:p>
    <w:p w:rsidR="00362140" w:rsidRPr="00362140" w:rsidRDefault="00362140" w:rsidP="00362140">
      <w:pPr>
        <w:pStyle w:val="Actions"/>
        <w:rPr>
          <w:color w:val="auto"/>
        </w:rPr>
      </w:pPr>
      <w:r w:rsidRPr="00362140">
        <w:rPr>
          <w:color w:val="auto"/>
        </w:rPr>
        <w:t>Issuer declared bonus issue however shareholders could elect to receive cash option.</w:t>
      </w:r>
    </w:p>
    <w:p w:rsidR="00362140" w:rsidRPr="00362140" w:rsidRDefault="00362140" w:rsidP="00964659">
      <w:pPr>
        <w:pStyle w:val="Actions"/>
        <w:jc w:val="left"/>
        <w:rPr>
          <w:color w:val="auto"/>
        </w:rPr>
      </w:pPr>
      <w:r w:rsidRPr="00362140">
        <w:rPr>
          <w:color w:val="auto"/>
        </w:rPr>
        <w:t>Receipt of stock is of capital nature thus is not taxable.</w:t>
      </w:r>
      <w:r w:rsidR="00964659">
        <w:rPr>
          <w:color w:val="auto"/>
        </w:rPr>
        <w:br/>
      </w:r>
      <w:r w:rsidRPr="00362140">
        <w:rPr>
          <w:color w:val="auto"/>
        </w:rPr>
        <w:t>Fractions arising out of share entitlements are rounded down thus fractional cash entitlements are payable.</w:t>
      </w:r>
    </w:p>
    <w:p w:rsidR="00362140" w:rsidRPr="00362140" w:rsidRDefault="00362140" w:rsidP="00362140">
      <w:pPr>
        <w:pStyle w:val="Actions"/>
        <w:rPr>
          <w:color w:val="auto"/>
        </w:rPr>
      </w:pPr>
      <w:r w:rsidRPr="00362140">
        <w:rPr>
          <w:color w:val="auto"/>
        </w:rPr>
        <w:t>Fractional rate is different from dividend rate however the fraction is taxable.</w:t>
      </w:r>
    </w:p>
    <w:p w:rsidR="00362140" w:rsidRPr="00362140" w:rsidRDefault="00362140" w:rsidP="00362140">
      <w:pPr>
        <w:pStyle w:val="Actions"/>
        <w:jc w:val="left"/>
        <w:rPr>
          <w:color w:val="auto"/>
        </w:rPr>
      </w:pPr>
      <w:r w:rsidRPr="00362140">
        <w:rPr>
          <w:color w:val="auto"/>
        </w:rPr>
        <w:t>Withholding of tax (DWT) on fractional cash payouts, currently not possible via system.</w:t>
      </w:r>
    </w:p>
    <w:bookmarkStart w:id="19" w:name="_MON_1550909158"/>
    <w:bookmarkEnd w:id="19"/>
    <w:p w:rsidR="00362140" w:rsidRDefault="00362140" w:rsidP="00D74022">
      <w:pPr>
        <w:pStyle w:val="Actions"/>
        <w:jc w:val="left"/>
        <w:rPr>
          <w:color w:val="auto"/>
          <w:lang w:val="en-US"/>
        </w:rPr>
      </w:pPr>
      <w:r>
        <w:rPr>
          <w:color w:val="auto"/>
          <w:lang w:val="en-US"/>
        </w:rPr>
        <w:object w:dxaOrig="2069" w:dyaOrig="1320">
          <v:shape id="_x0000_i1034" type="#_x0000_t75" style="width:103.5pt;height:66pt" o:ole="">
            <v:imagedata r:id="rId28" o:title=""/>
          </v:shape>
          <o:OLEObject Type="Embed" ProgID="Word.Document.8" ShapeID="_x0000_i1034" DrawAspect="Icon" ObjectID="_1558804140" r:id="rId29">
            <o:FieldCodes>\s</o:FieldCodes>
          </o:OLEObject>
        </w:object>
      </w:r>
      <w:bookmarkStart w:id="20" w:name="_MON_1550909187"/>
      <w:bookmarkEnd w:id="20"/>
      <w:r>
        <w:rPr>
          <w:color w:val="auto"/>
          <w:lang w:val="en-US"/>
        </w:rPr>
        <w:object w:dxaOrig="2069" w:dyaOrig="1320">
          <v:shape id="_x0000_i1035" type="#_x0000_t75" style="width:103.5pt;height:66pt" o:ole="">
            <v:imagedata r:id="rId30" o:title=""/>
          </v:shape>
          <o:OLEObject Type="Embed" ProgID="Word.Document.12" ShapeID="_x0000_i1035" DrawAspect="Icon" ObjectID="_1558804141" r:id="rId31">
            <o:FieldCodes>\s</o:FieldCodes>
          </o:OLEObject>
        </w:object>
      </w:r>
    </w:p>
    <w:p w:rsidR="00BA6C38" w:rsidRPr="00BA6C38" w:rsidRDefault="0033211A" w:rsidP="00D74022">
      <w:pPr>
        <w:pStyle w:val="Actions"/>
        <w:jc w:val="left"/>
        <w:rPr>
          <w:color w:val="auto"/>
          <w:lang w:val="en-US"/>
        </w:rPr>
      </w:pPr>
      <w:r w:rsidRPr="00BA6C38">
        <w:rPr>
          <w:color w:val="auto"/>
          <w:u w:val="single"/>
          <w:lang w:val="en-US"/>
        </w:rPr>
        <w:t xml:space="preserve">Comments during </w:t>
      </w:r>
      <w:r w:rsidR="00903C46" w:rsidRPr="00BA6C38">
        <w:rPr>
          <w:color w:val="auto"/>
          <w:u w:val="single"/>
          <w:lang w:val="en-US"/>
        </w:rPr>
        <w:t xml:space="preserve">January call: </w:t>
      </w:r>
      <w:r w:rsidR="00BA6C38">
        <w:rPr>
          <w:color w:val="auto"/>
          <w:u w:val="single"/>
          <w:lang w:val="en-US"/>
        </w:rPr>
        <w:br/>
      </w:r>
      <w:r w:rsidR="00BA6C38" w:rsidRPr="00BA6C38">
        <w:rPr>
          <w:color w:val="auto"/>
          <w:lang w:val="en-US"/>
        </w:rPr>
        <w:t>Rate will depend on the client taxation. The maximum rate is always announced in the MT564 and MT566 depends on the client =&gt; to see how it works in South Africa and if case applicable</w:t>
      </w:r>
    </w:p>
    <w:p w:rsidR="00BB40A3" w:rsidRPr="00F62B1B" w:rsidRDefault="00BB40A3" w:rsidP="00BB40A3">
      <w:pPr>
        <w:pStyle w:val="Actions"/>
        <w:rPr>
          <w:lang w:val="en-US"/>
        </w:rPr>
      </w:pPr>
      <w:r w:rsidRPr="00F62B1B">
        <w:rPr>
          <w:b/>
          <w:u w:val="single"/>
          <w:lang w:val="en-US"/>
        </w:rPr>
        <w:t>Action</w:t>
      </w:r>
      <w:r w:rsidRPr="00F62B1B">
        <w:rPr>
          <w:lang w:val="en-US"/>
        </w:rPr>
        <w:t xml:space="preserve">: </w:t>
      </w:r>
    </w:p>
    <w:p w:rsidR="00BB40A3" w:rsidRDefault="00BB40A3" w:rsidP="00BB40A3">
      <w:pPr>
        <w:pStyle w:val="Actions"/>
        <w:rPr>
          <w:lang w:val="en-US"/>
        </w:rPr>
      </w:pPr>
      <w:r>
        <w:rPr>
          <w:lang w:val="en-US"/>
        </w:rPr>
        <w:t xml:space="preserve">All participants to review this case for next time. </w:t>
      </w:r>
    </w:p>
    <w:p w:rsidR="002264BA" w:rsidRPr="002264BA" w:rsidRDefault="002264BA" w:rsidP="002264BA">
      <w:pPr>
        <w:pStyle w:val="Actions"/>
        <w:numPr>
          <w:ilvl w:val="0"/>
          <w:numId w:val="19"/>
        </w:numPr>
        <w:rPr>
          <w:highlight w:val="green"/>
        </w:rPr>
      </w:pPr>
      <w:r w:rsidRPr="00FA0149">
        <w:rPr>
          <w:highlight w:val="green"/>
        </w:rPr>
        <w:t xml:space="preserve">Update during April SMPG: </w:t>
      </w:r>
      <w:r w:rsidRPr="002264BA">
        <w:rPr>
          <w:highlight w:val="green"/>
        </w:rPr>
        <w:t>The WG supported the proposal made by Delphine at the December conference call to rather open a cash movement sequence in order to use the rates and amounts over there. No cash amounts should be ever placed in a securities movement sequence or securities quantity in the cash movement sequence.</w:t>
      </w:r>
      <w:r w:rsidRPr="002264BA">
        <w:rPr>
          <w:highlight w:val="green"/>
        </w:rPr>
        <w:t xml:space="preserve"> </w:t>
      </w:r>
    </w:p>
    <w:p w:rsidR="002264BA" w:rsidRPr="002264BA" w:rsidRDefault="002264BA" w:rsidP="002264BA">
      <w:pPr>
        <w:pStyle w:val="Actions"/>
        <w:ind w:left="360"/>
        <w:rPr>
          <w:highlight w:val="green"/>
        </w:rPr>
      </w:pPr>
      <w:r w:rsidRPr="002264BA">
        <w:rPr>
          <w:highlight w:val="green"/>
        </w:rPr>
        <w:t xml:space="preserve">Consequently, </w:t>
      </w:r>
      <w:r w:rsidRPr="002264BA">
        <w:rPr>
          <w:highlight w:val="green"/>
        </w:rPr>
        <w:t xml:space="preserve">Sanjeev </w:t>
      </w:r>
      <w:r w:rsidRPr="002264BA">
        <w:rPr>
          <w:highlight w:val="green"/>
        </w:rPr>
        <w:t>will see if this propos</w:t>
      </w:r>
      <w:r w:rsidRPr="002264BA">
        <w:rPr>
          <w:highlight w:val="green"/>
        </w:rPr>
        <w:t xml:space="preserve">ed solution </w:t>
      </w:r>
      <w:r w:rsidRPr="002264BA">
        <w:rPr>
          <w:highlight w:val="green"/>
        </w:rPr>
        <w:t>can be agreed by</w:t>
      </w:r>
      <w:r w:rsidRPr="002264BA">
        <w:rPr>
          <w:highlight w:val="green"/>
        </w:rPr>
        <w:t xml:space="preserve"> the ZA NMPG </w:t>
      </w:r>
    </w:p>
    <w:p w:rsidR="002264BA" w:rsidRDefault="002264BA" w:rsidP="002264BA">
      <w:pPr>
        <w:pStyle w:val="Heading1"/>
        <w:numPr>
          <w:ilvl w:val="0"/>
          <w:numId w:val="0"/>
        </w:numPr>
      </w:pPr>
      <w:bookmarkStart w:id="21" w:name="_Toc482870677"/>
      <w:bookmarkStart w:id="22" w:name="_Toc485062247"/>
      <w:r>
        <w:lastRenderedPageBreak/>
        <w:t>CA370</w:t>
      </w:r>
      <w:r>
        <w:t xml:space="preserve">. </w:t>
      </w:r>
      <w:r>
        <w:t xml:space="preserve">TAXR / </w:t>
      </w:r>
      <w:r w:rsidRPr="001E1FF3">
        <w:t xml:space="preserve">WITL Usage for the Italian </w:t>
      </w:r>
      <w:r>
        <w:t>M</w:t>
      </w:r>
      <w:r w:rsidRPr="001E1FF3">
        <w:t>arket Scenario</w:t>
      </w:r>
      <w:bookmarkEnd w:id="21"/>
      <w:bookmarkEnd w:id="22"/>
    </w:p>
    <w:p w:rsidR="00AB1053" w:rsidRPr="00D25BE6" w:rsidRDefault="00AB1053" w:rsidP="00EF7F89">
      <w:pPr>
        <w:pStyle w:val="Actions"/>
        <w:rPr>
          <w:color w:val="auto"/>
        </w:rPr>
      </w:pPr>
      <w:r w:rsidRPr="00D25BE6">
        <w:rPr>
          <w:color w:val="auto"/>
        </w:rPr>
        <w:t>The Italian Market</w:t>
      </w:r>
      <w:r w:rsidR="00D25BE6" w:rsidRPr="00D25BE6">
        <w:rPr>
          <w:color w:val="auto"/>
        </w:rPr>
        <w:t xml:space="preserve"> raised the following question related to usage of TAXR and WITL</w:t>
      </w:r>
    </w:p>
    <w:p w:rsidR="00D25BE6" w:rsidRDefault="00D25BE6" w:rsidP="00D25BE6">
      <w:pPr>
        <w:rPr>
          <w:lang w:val="en-GB"/>
        </w:rPr>
      </w:pPr>
      <w:r>
        <w:rPr>
          <w:b/>
          <w:bCs/>
          <w:lang w:val="en-GB"/>
        </w:rPr>
        <w:t>CASE 1 - Foreign dividend with a tax withheld at source in the foreign jurisdiction</w:t>
      </w:r>
      <w:r>
        <w:rPr>
          <w:lang w:val="en-GB"/>
        </w:rPr>
        <w:t xml:space="preserve"> </w:t>
      </w:r>
      <w:r>
        <w:rPr>
          <w:b/>
          <w:bCs/>
          <w:lang w:val="en-GB"/>
        </w:rPr>
        <w:t>and on Italian market.</w:t>
      </w:r>
      <w:r>
        <w:rPr>
          <w:lang w:val="en-GB"/>
        </w:rPr>
        <w:t xml:space="preserve"> </w:t>
      </w:r>
      <w:r>
        <w:rPr>
          <w:lang w:val="en-GB"/>
        </w:rPr>
        <w:br/>
      </w:r>
      <w:r>
        <w:rPr>
          <w:lang w:val="en-GB"/>
        </w:rPr>
        <w:br/>
        <w:t xml:space="preserve">The original gross dividend of 1 EUR is announced by the issuer on the foreign market. </w:t>
      </w:r>
      <w:r>
        <w:rPr>
          <w:lang w:val="en-GB"/>
        </w:rPr>
        <w:br/>
        <w:t xml:space="preserve">Then, a foreign tax is applied at source (15%) and the resulting amoutn (0.85 EUR) is received in Italy. </w:t>
      </w:r>
      <w:r>
        <w:rPr>
          <w:lang w:val="en-GB"/>
        </w:rPr>
        <w:br/>
        <w:t xml:space="preserve">In addition to that, the local Italian tax (26% or any other tax rate) is applied and withheld by Bnp on a taxable basis of 0.85 EUR. </w:t>
      </w:r>
      <w:r>
        <w:rPr>
          <w:lang w:val="en-GB"/>
        </w:rPr>
        <w:br/>
      </w:r>
      <w:r>
        <w:rPr>
          <w:lang w:val="en-GB"/>
        </w:rPr>
        <w:br/>
      </w:r>
      <w:r>
        <w:rPr>
          <w:b/>
          <w:bCs/>
          <w:lang w:val="en-GB"/>
        </w:rPr>
        <w:t>Question:</w:t>
      </w:r>
      <w:r>
        <w:rPr>
          <w:lang w:val="en-GB"/>
        </w:rPr>
        <w:t xml:space="preserve"> </w:t>
      </w:r>
    </w:p>
    <w:p w:rsidR="00D25BE6" w:rsidRDefault="00D25BE6" w:rsidP="00362140">
      <w:pPr>
        <w:numPr>
          <w:ilvl w:val="0"/>
          <w:numId w:val="11"/>
        </w:numPr>
        <w:spacing w:before="100" w:beforeAutospacing="1" w:after="100" w:afterAutospacing="1"/>
        <w:rPr>
          <w:lang w:val="en-GB"/>
        </w:rPr>
      </w:pPr>
      <w:r>
        <w:rPr>
          <w:lang w:val="en-GB"/>
        </w:rPr>
        <w:t xml:space="preserve"> which qualifier 92a has to be used to clearly define the different components of the dividend and to make clear that  the Italian tax is applied on the amount already deducted by the foreign tax (our "frontiera/cross border amount") </w:t>
      </w:r>
    </w:p>
    <w:p w:rsidR="00D25BE6" w:rsidRDefault="00D25BE6" w:rsidP="00362140">
      <w:pPr>
        <w:numPr>
          <w:ilvl w:val="0"/>
          <w:numId w:val="11"/>
        </w:numPr>
        <w:spacing w:before="100" w:beforeAutospacing="1" w:after="100" w:afterAutospacing="1"/>
        <w:rPr>
          <w:lang w:val="en-GB"/>
        </w:rPr>
      </w:pPr>
      <w:r>
        <w:rPr>
          <w:lang w:val="en-GB"/>
        </w:rPr>
        <w:t xml:space="preserve">How these amounts are the reflected on the 19B qualifiers? </w:t>
      </w:r>
    </w:p>
    <w:p w:rsidR="00D25BE6" w:rsidRDefault="00D25BE6" w:rsidP="00D25BE6">
      <w:pPr>
        <w:rPr>
          <w:rFonts w:eastAsiaTheme="minorHAnsi"/>
          <w:lang w:val="en-GB"/>
        </w:rPr>
      </w:pPr>
      <w:r>
        <w:rPr>
          <w:b/>
          <w:bCs/>
          <w:lang w:val="en-GB"/>
        </w:rPr>
        <w:t>CASE 2 - Foreign dividend where the foreign tax applied at source changes considering the fiscal status of the beneficial owner</w:t>
      </w:r>
      <w:r>
        <w:rPr>
          <w:lang w:val="en-GB"/>
        </w:rPr>
        <w:t>.</w:t>
      </w:r>
      <w:r>
        <w:rPr>
          <w:b/>
          <w:bCs/>
          <w:lang w:val="en-GB"/>
        </w:rPr>
        <w:t xml:space="preserve"> (US dividend)</w:t>
      </w:r>
      <w:r>
        <w:rPr>
          <w:lang w:val="en-GB"/>
        </w:rPr>
        <w:t xml:space="preserve"> </w:t>
      </w:r>
      <w:r>
        <w:rPr>
          <w:lang w:val="en-GB"/>
        </w:rPr>
        <w:br/>
      </w:r>
      <w:r>
        <w:rPr>
          <w:lang w:val="en-GB"/>
        </w:rPr>
        <w:br/>
        <w:t xml:space="preserve">The original gross amount (1 USD) is subject to a foreign tax rate different considering the fiscal status of the beneficial owner: </w:t>
      </w:r>
    </w:p>
    <w:p w:rsidR="00D25BE6" w:rsidRDefault="00D25BE6" w:rsidP="00362140">
      <w:pPr>
        <w:numPr>
          <w:ilvl w:val="0"/>
          <w:numId w:val="12"/>
        </w:numPr>
        <w:spacing w:before="100" w:beforeAutospacing="1" w:after="100" w:afterAutospacing="1"/>
        <w:rPr>
          <w:lang w:val="en-GB"/>
        </w:rPr>
      </w:pPr>
      <w:r>
        <w:rPr>
          <w:lang w:val="en-GB"/>
        </w:rPr>
        <w:t xml:space="preserve">It could be 30% for client not documented/not eligible for a Double Taxation Agreement favourable rate: so taxable basis for Italian tax is 0.70 USD </w:t>
      </w:r>
    </w:p>
    <w:p w:rsidR="00D25BE6" w:rsidRDefault="00D25BE6" w:rsidP="00362140">
      <w:pPr>
        <w:numPr>
          <w:ilvl w:val="0"/>
          <w:numId w:val="12"/>
        </w:numPr>
        <w:spacing w:before="100" w:beforeAutospacing="1" w:after="100" w:afterAutospacing="1"/>
        <w:rPr>
          <w:lang w:val="en-GB"/>
        </w:rPr>
      </w:pPr>
      <w:r>
        <w:rPr>
          <w:lang w:val="en-GB"/>
        </w:rPr>
        <w:t>It will be 15% for client documented/QI compliant and then eligible to a reduced tax rate: so taxable basis for Italian tax is 0.85 USD</w:t>
      </w:r>
    </w:p>
    <w:p w:rsidR="00D25BE6" w:rsidRDefault="00D25BE6" w:rsidP="00D25BE6">
      <w:pPr>
        <w:rPr>
          <w:rFonts w:eastAsiaTheme="minorHAnsi"/>
          <w:lang w:val="en-GB"/>
        </w:rPr>
      </w:pPr>
      <w:r>
        <w:rPr>
          <w:lang w:val="en-GB"/>
        </w:rPr>
        <w:t xml:space="preserve">The original amount (deducted with the 30% or the 15% considering the status of the underlying client) is then subject to the local Italian tax </w:t>
      </w:r>
      <w:r>
        <w:rPr>
          <w:lang w:val="en-GB"/>
        </w:rPr>
        <w:br/>
      </w:r>
      <w:r>
        <w:rPr>
          <w:lang w:val="en-GB"/>
        </w:rPr>
        <w:br/>
      </w:r>
      <w:r>
        <w:rPr>
          <w:b/>
          <w:bCs/>
          <w:lang w:val="en-GB"/>
        </w:rPr>
        <w:t>Question:</w:t>
      </w:r>
      <w:r>
        <w:rPr>
          <w:lang w:val="en-GB"/>
        </w:rPr>
        <w:t xml:space="preserve"> </w:t>
      </w:r>
    </w:p>
    <w:p w:rsidR="00D25BE6" w:rsidRDefault="00D25BE6" w:rsidP="00362140">
      <w:pPr>
        <w:numPr>
          <w:ilvl w:val="0"/>
          <w:numId w:val="13"/>
        </w:numPr>
        <w:spacing w:before="100" w:beforeAutospacing="1" w:after="100" w:afterAutospacing="1"/>
        <w:rPr>
          <w:lang w:val="en-GB"/>
        </w:rPr>
      </w:pPr>
      <w:r>
        <w:rPr>
          <w:lang w:val="en-GB"/>
        </w:rPr>
        <w:t xml:space="preserve"> which qualifier 92a has to be used to clearly define the different components of the dividend and to make clear that  the Italian tax is applied on the amount already deducted by the foreign tax (our "frontiera/cross border amount") </w:t>
      </w:r>
    </w:p>
    <w:p w:rsidR="00D25BE6" w:rsidRDefault="00D25BE6" w:rsidP="00362140">
      <w:pPr>
        <w:numPr>
          <w:ilvl w:val="0"/>
          <w:numId w:val="13"/>
        </w:numPr>
        <w:spacing w:before="100" w:beforeAutospacing="1" w:after="100" w:afterAutospacing="1"/>
        <w:rPr>
          <w:lang w:val="en-GB"/>
        </w:rPr>
      </w:pPr>
      <w:r>
        <w:rPr>
          <w:lang w:val="en-GB"/>
        </w:rPr>
        <w:t>How these amounts are the reflected on the 19B qualifiers?</w:t>
      </w:r>
    </w:p>
    <w:p w:rsidR="008D6E03" w:rsidRDefault="008D6E03" w:rsidP="008D6E03">
      <w:pPr>
        <w:pStyle w:val="NormalWeb"/>
        <w:rPr>
          <w:i/>
          <w:iCs/>
          <w:lang w:val="en-GB"/>
        </w:rPr>
      </w:pPr>
      <w:r>
        <w:rPr>
          <w:i/>
          <w:iCs/>
          <w:lang w:val="en-GB"/>
        </w:rPr>
        <w:t xml:space="preserve">The difference between CASE 1 and CASE 2 is that: </w:t>
      </w:r>
    </w:p>
    <w:p w:rsidR="008D6E03" w:rsidRDefault="008D6E03" w:rsidP="00362140">
      <w:pPr>
        <w:numPr>
          <w:ilvl w:val="0"/>
          <w:numId w:val="15"/>
        </w:numPr>
        <w:spacing w:before="100" w:beforeAutospacing="1" w:after="100" w:afterAutospacing="1"/>
        <w:rPr>
          <w:i/>
          <w:iCs/>
          <w:lang w:val="en-GB"/>
        </w:rPr>
      </w:pPr>
      <w:r>
        <w:rPr>
          <w:i/>
          <w:iCs/>
          <w:lang w:val="en-GB"/>
        </w:rPr>
        <w:t xml:space="preserve">in the Case 1 the taxable basis for the second level tax (WITL) is almost fixed (original gross dividend minus the fixed foreign tax) </w:t>
      </w:r>
    </w:p>
    <w:p w:rsidR="00A24769" w:rsidRPr="002624D3" w:rsidRDefault="008D6E03" w:rsidP="00A24769">
      <w:pPr>
        <w:numPr>
          <w:ilvl w:val="0"/>
          <w:numId w:val="15"/>
        </w:numPr>
        <w:spacing w:before="100" w:beforeAutospacing="1" w:after="100" w:afterAutospacing="1"/>
        <w:rPr>
          <w:i/>
          <w:iCs/>
          <w:lang w:val="en-GB"/>
        </w:rPr>
      </w:pPr>
      <w:r w:rsidRPr="002624D3">
        <w:rPr>
          <w:i/>
          <w:iCs/>
          <w:lang w:val="en-GB"/>
        </w:rPr>
        <w:t xml:space="preserve">in the Case 2, the taxable basis for the second level tax could change, being the original gross dividend minus a foreign tax that changes according to the fiscal status of the final beneficiary. </w:t>
      </w:r>
      <w:r w:rsidRPr="002624D3">
        <w:rPr>
          <w:i/>
          <w:iCs/>
          <w:lang w:val="en-GB"/>
        </w:rPr>
        <w:br/>
        <w:t xml:space="preserve">It means that it's something that it could not be determined a priori by the agent bank: how can we reflect - let's say - these two different tax options (TAXR at 15% or TAXR at 30%)?. </w:t>
      </w:r>
      <w:r w:rsidRPr="002624D3">
        <w:rPr>
          <w:i/>
          <w:iCs/>
          <w:lang w:val="en-GB"/>
        </w:rPr>
        <w:br/>
        <w:t>In the end, how could we inform properly the client reflecting in the MT564 that the second level taxable basis could change upon the breakdown of the positions held by QI compliants clients and not-QI ones? For me, this is an additional question closed to the determination of the second level taxable basis.</w:t>
      </w:r>
    </w:p>
    <w:p w:rsidR="00D25BE6" w:rsidRDefault="00D25BE6" w:rsidP="00362140">
      <w:pPr>
        <w:pStyle w:val="Actions"/>
        <w:numPr>
          <w:ilvl w:val="0"/>
          <w:numId w:val="14"/>
        </w:numPr>
        <w:jc w:val="left"/>
        <w:rPr>
          <w:color w:val="auto"/>
        </w:rPr>
      </w:pPr>
      <w:r w:rsidRPr="00D25BE6">
        <w:rPr>
          <w:color w:val="auto"/>
        </w:rPr>
        <w:t>First comments already provided by Jacques to the Italian Market</w:t>
      </w:r>
    </w:p>
    <w:p w:rsidR="00D25BE6" w:rsidRDefault="00D25BE6" w:rsidP="00D25BE6">
      <w:pPr>
        <w:pStyle w:val="Actions"/>
        <w:ind w:left="360"/>
        <w:jc w:val="left"/>
        <w:rPr>
          <w:color w:val="auto"/>
        </w:rPr>
      </w:pPr>
      <w:r w:rsidRPr="00D25BE6">
        <w:rPr>
          <w:color w:val="auto"/>
        </w:rPr>
        <w:t>There is indeed no way today in the market practice and the Standards to specify if the taxable basis is the original gross rate or the gross rate minus the foreign tax. It was assumed in the group that the taxable basis would rather be the initial gross rate and this was not challenged during the CA WG discussion of this new MP.</w:t>
      </w:r>
    </w:p>
    <w:p w:rsidR="00D25BE6" w:rsidRPr="00D25BE6" w:rsidRDefault="00D25BE6" w:rsidP="00D25BE6">
      <w:pPr>
        <w:pStyle w:val="Actions"/>
        <w:rPr>
          <w:color w:val="auto"/>
        </w:rPr>
      </w:pPr>
      <w:r>
        <w:rPr>
          <w:color w:val="auto"/>
        </w:rPr>
        <w:lastRenderedPageBreak/>
        <w:t>R</w:t>
      </w:r>
      <w:r w:rsidRPr="00D25BE6">
        <w:rPr>
          <w:color w:val="auto"/>
        </w:rPr>
        <w:t>egarding CASE 1, this is how the rates and amounts should be used for an Entitled balance of 100 and a gross dividend of 1</w:t>
      </w:r>
      <w:r w:rsidR="008D6E03">
        <w:rPr>
          <w:color w:val="auto"/>
        </w:rPr>
        <w:t xml:space="preserve"> </w:t>
      </w:r>
      <w:r w:rsidRPr="00D25BE6">
        <w:rPr>
          <w:color w:val="auto"/>
        </w:rPr>
        <w:t>EUR in a 564:</w:t>
      </w:r>
    </w:p>
    <w:p w:rsidR="00D25BE6" w:rsidRPr="00D25BE6" w:rsidRDefault="00D25BE6" w:rsidP="00D25BE6">
      <w:pPr>
        <w:pStyle w:val="Actions"/>
        <w:ind w:left="360"/>
        <w:rPr>
          <w:color w:val="auto"/>
        </w:rPr>
      </w:pPr>
    </w:p>
    <w:p w:rsidR="00D25BE6" w:rsidRPr="00D25BE6" w:rsidRDefault="00D25BE6" w:rsidP="00D25BE6">
      <w:pPr>
        <w:pStyle w:val="Actions"/>
        <w:ind w:left="360"/>
        <w:rPr>
          <w:color w:val="auto"/>
        </w:rPr>
      </w:pPr>
      <w:r w:rsidRPr="00D25BE6">
        <w:rPr>
          <w:color w:val="auto"/>
        </w:rPr>
        <w:t>:16R:CASHMOVE</w:t>
      </w:r>
    </w:p>
    <w:p w:rsidR="00D25BE6" w:rsidRPr="00D25BE6" w:rsidRDefault="00D25BE6" w:rsidP="00D25BE6">
      <w:pPr>
        <w:pStyle w:val="Actions"/>
        <w:ind w:left="360"/>
        <w:rPr>
          <w:color w:val="auto"/>
        </w:rPr>
      </w:pPr>
      <w:r w:rsidRPr="00D25BE6">
        <w:rPr>
          <w:color w:val="auto"/>
        </w:rPr>
        <w:t>:22H::CRDB//CRED</w:t>
      </w:r>
    </w:p>
    <w:p w:rsidR="00D25BE6" w:rsidRPr="00D25BE6" w:rsidRDefault="00D25BE6" w:rsidP="00D25BE6">
      <w:pPr>
        <w:pStyle w:val="Actions"/>
        <w:ind w:left="360"/>
        <w:rPr>
          <w:color w:val="auto"/>
        </w:rPr>
      </w:pPr>
      <w:r w:rsidRPr="00D25BE6">
        <w:rPr>
          <w:color w:val="auto"/>
        </w:rPr>
        <w:t>:19B::ENTL//EUR62,9</w:t>
      </w:r>
    </w:p>
    <w:p w:rsidR="00D25BE6" w:rsidRPr="00D25BE6" w:rsidRDefault="00D25BE6" w:rsidP="00D25BE6">
      <w:pPr>
        <w:pStyle w:val="Actions"/>
        <w:ind w:left="360"/>
        <w:rPr>
          <w:color w:val="auto"/>
          <w:lang w:val="fr-FR"/>
        </w:rPr>
      </w:pPr>
      <w:r w:rsidRPr="00D25BE6">
        <w:rPr>
          <w:color w:val="auto"/>
          <w:lang w:val="fr-FR"/>
        </w:rPr>
        <w:t>:19B::GRSS//EUR100,</w:t>
      </w:r>
    </w:p>
    <w:p w:rsidR="00D25BE6" w:rsidRPr="00D25BE6" w:rsidRDefault="00D25BE6" w:rsidP="00D25BE6">
      <w:pPr>
        <w:pStyle w:val="Actions"/>
        <w:ind w:left="360"/>
        <w:rPr>
          <w:color w:val="auto"/>
          <w:lang w:val="fr-FR"/>
        </w:rPr>
      </w:pPr>
      <w:r w:rsidRPr="00D25BE6">
        <w:rPr>
          <w:color w:val="auto"/>
          <w:lang w:val="fr-FR"/>
        </w:rPr>
        <w:t>:19B::TAXR//EUR15,</w:t>
      </w:r>
    </w:p>
    <w:p w:rsidR="00D25BE6" w:rsidRPr="00D25BE6" w:rsidRDefault="00D25BE6" w:rsidP="00D25BE6">
      <w:pPr>
        <w:pStyle w:val="Actions"/>
        <w:ind w:left="360"/>
        <w:rPr>
          <w:color w:val="auto"/>
          <w:lang w:val="fr-FR"/>
        </w:rPr>
      </w:pPr>
      <w:r w:rsidRPr="00D25BE6">
        <w:rPr>
          <w:color w:val="auto"/>
          <w:lang w:val="fr-FR"/>
        </w:rPr>
        <w:t>:19B::WITL//EUR22,1</w:t>
      </w:r>
    </w:p>
    <w:p w:rsidR="00D25BE6" w:rsidRPr="00D25BE6" w:rsidRDefault="00D25BE6" w:rsidP="00D25BE6">
      <w:pPr>
        <w:pStyle w:val="Actions"/>
        <w:ind w:left="360"/>
        <w:rPr>
          <w:color w:val="auto"/>
          <w:lang w:val="fr-FR"/>
        </w:rPr>
      </w:pPr>
      <w:r w:rsidRPr="00D25BE6">
        <w:rPr>
          <w:color w:val="auto"/>
          <w:lang w:val="fr-FR"/>
        </w:rPr>
        <w:t>:19B::NETT//EUR62,9</w:t>
      </w:r>
    </w:p>
    <w:p w:rsidR="00D25BE6" w:rsidRPr="00D25BE6" w:rsidRDefault="00D25BE6" w:rsidP="00D25BE6">
      <w:pPr>
        <w:pStyle w:val="Actions"/>
        <w:ind w:left="360"/>
        <w:rPr>
          <w:color w:val="auto"/>
        </w:rPr>
      </w:pPr>
      <w:r w:rsidRPr="00D25BE6">
        <w:rPr>
          <w:color w:val="auto"/>
        </w:rPr>
        <w:t>:98A::PAYD//20YYMMDD</w:t>
      </w:r>
    </w:p>
    <w:p w:rsidR="00D25BE6" w:rsidRPr="00D25BE6" w:rsidRDefault="00D25BE6" w:rsidP="00D25BE6">
      <w:pPr>
        <w:pStyle w:val="Actions"/>
        <w:ind w:left="360"/>
        <w:rPr>
          <w:color w:val="auto"/>
        </w:rPr>
      </w:pPr>
      <w:r w:rsidRPr="00D25BE6">
        <w:rPr>
          <w:color w:val="auto"/>
        </w:rPr>
        <w:t>:98A::VALU//20YYMMDD</w:t>
      </w:r>
    </w:p>
    <w:p w:rsidR="00D25BE6" w:rsidRPr="00D25BE6" w:rsidRDefault="00D25BE6" w:rsidP="00D25BE6">
      <w:pPr>
        <w:pStyle w:val="Actions"/>
        <w:ind w:left="360"/>
        <w:rPr>
          <w:color w:val="auto"/>
          <w:lang w:val="fr-FR"/>
        </w:rPr>
      </w:pPr>
      <w:r w:rsidRPr="00D25BE6">
        <w:rPr>
          <w:color w:val="auto"/>
          <w:lang w:val="fr-FR"/>
        </w:rPr>
        <w:t>:92F::GRSS//EUR1,</w:t>
      </w:r>
    </w:p>
    <w:p w:rsidR="00D25BE6" w:rsidRPr="00D25BE6" w:rsidRDefault="00D25BE6" w:rsidP="00D25BE6">
      <w:pPr>
        <w:pStyle w:val="Actions"/>
        <w:ind w:left="360"/>
        <w:rPr>
          <w:color w:val="auto"/>
          <w:lang w:val="fr-FR"/>
        </w:rPr>
      </w:pPr>
      <w:r w:rsidRPr="00D25BE6">
        <w:rPr>
          <w:color w:val="auto"/>
          <w:lang w:val="fr-FR"/>
        </w:rPr>
        <w:t>:92F::NETT//EUR0,629</w:t>
      </w:r>
    </w:p>
    <w:p w:rsidR="00D25BE6" w:rsidRPr="00D25BE6" w:rsidRDefault="00D25BE6" w:rsidP="00D25BE6">
      <w:pPr>
        <w:pStyle w:val="Actions"/>
        <w:ind w:left="360"/>
        <w:rPr>
          <w:color w:val="auto"/>
        </w:rPr>
      </w:pPr>
      <w:r w:rsidRPr="00D25BE6">
        <w:rPr>
          <w:color w:val="auto"/>
        </w:rPr>
        <w:t xml:space="preserve">:92A::TAXR//15, </w:t>
      </w:r>
    </w:p>
    <w:p w:rsidR="00D25BE6" w:rsidRPr="00D25BE6" w:rsidRDefault="00D25BE6" w:rsidP="00D25BE6">
      <w:pPr>
        <w:pStyle w:val="Actions"/>
        <w:ind w:left="360"/>
        <w:rPr>
          <w:color w:val="auto"/>
        </w:rPr>
      </w:pPr>
      <w:r w:rsidRPr="00D25BE6">
        <w:rPr>
          <w:color w:val="auto"/>
        </w:rPr>
        <w:t>:92A::WITL//26,</w:t>
      </w:r>
    </w:p>
    <w:p w:rsidR="00D25BE6" w:rsidRPr="00D25BE6" w:rsidRDefault="00D25BE6" w:rsidP="00D25BE6">
      <w:pPr>
        <w:pStyle w:val="Actions"/>
        <w:ind w:left="360"/>
        <w:rPr>
          <w:color w:val="auto"/>
        </w:rPr>
      </w:pPr>
      <w:r w:rsidRPr="00D25BE6">
        <w:rPr>
          <w:color w:val="auto"/>
        </w:rPr>
        <w:t>:16S:CASHMOVE</w:t>
      </w:r>
    </w:p>
    <w:p w:rsidR="00D25BE6" w:rsidRPr="00D25BE6" w:rsidRDefault="00D25BE6" w:rsidP="00D25BE6">
      <w:pPr>
        <w:pStyle w:val="Actions"/>
        <w:ind w:left="360"/>
        <w:rPr>
          <w:color w:val="auto"/>
        </w:rPr>
      </w:pPr>
    </w:p>
    <w:p w:rsidR="00D25BE6" w:rsidRPr="006F5647" w:rsidRDefault="006F5647" w:rsidP="006F5647">
      <w:pPr>
        <w:pStyle w:val="Actions"/>
        <w:jc w:val="left"/>
        <w:rPr>
          <w:color w:val="auto"/>
          <w:u w:val="single"/>
        </w:rPr>
      </w:pPr>
      <w:r w:rsidRPr="00931B48">
        <w:rPr>
          <w:color w:val="auto"/>
          <w:u w:val="single"/>
        </w:rPr>
        <w:t>Comments during January call:</w:t>
      </w:r>
      <w:r w:rsidRPr="006F5647">
        <w:rPr>
          <w:color w:val="auto"/>
          <w:u w:val="single"/>
        </w:rPr>
        <w:t xml:space="preserve"> </w:t>
      </w:r>
    </w:p>
    <w:p w:rsidR="006F5647" w:rsidRDefault="006F5647" w:rsidP="006F5647">
      <w:pPr>
        <w:pStyle w:val="Actions"/>
        <w:jc w:val="left"/>
        <w:rPr>
          <w:color w:val="auto"/>
        </w:rPr>
      </w:pPr>
      <w:r>
        <w:rPr>
          <w:color w:val="auto"/>
        </w:rPr>
        <w:t>How is it processed exactly in Italy ? In 2 steps : 1. 85% and then 2. Additional taxation on these 85% remaining? As per the explanation from the Italian Market, it seems that it is the way it works.</w:t>
      </w:r>
    </w:p>
    <w:p w:rsidR="006F5647" w:rsidRDefault="006F5647" w:rsidP="006F5647">
      <w:pPr>
        <w:pStyle w:val="Actions"/>
        <w:jc w:val="left"/>
        <w:rPr>
          <w:color w:val="auto"/>
        </w:rPr>
      </w:pPr>
      <w:r>
        <w:rPr>
          <w:color w:val="auto"/>
        </w:rPr>
        <w:t>S</w:t>
      </w:r>
      <w:r w:rsidR="009B4DD5">
        <w:rPr>
          <w:color w:val="auto"/>
        </w:rPr>
        <w:t>h</w:t>
      </w:r>
      <w:r>
        <w:rPr>
          <w:color w:val="auto"/>
        </w:rPr>
        <w:t>ouldn’t we have a local Market practice rather than a new rule in GMP1 ? it seems to be a rare case.</w:t>
      </w:r>
    </w:p>
    <w:p w:rsidR="009B4DD5" w:rsidRDefault="009B4DD5" w:rsidP="006F5647">
      <w:pPr>
        <w:pStyle w:val="Actions"/>
        <w:jc w:val="left"/>
        <w:rPr>
          <w:color w:val="auto"/>
        </w:rPr>
      </w:pPr>
      <w:r>
        <w:rPr>
          <w:color w:val="auto"/>
        </w:rPr>
        <w:t>This case looks to be similar to the Belgian Tax applied on the Net for non-Belgian customers</w:t>
      </w:r>
    </w:p>
    <w:p w:rsidR="009B4DD5" w:rsidRDefault="009B4DD5" w:rsidP="006F5647">
      <w:pPr>
        <w:pStyle w:val="Actions"/>
        <w:jc w:val="left"/>
        <w:rPr>
          <w:color w:val="auto"/>
        </w:rPr>
      </w:pPr>
      <w:r>
        <w:rPr>
          <w:color w:val="auto"/>
        </w:rPr>
        <w:t>Should we have a new indicator to create to distinguish if WITL is applied on the gross or on the net?</w:t>
      </w:r>
    </w:p>
    <w:p w:rsidR="00B83C0D" w:rsidRDefault="00B83C0D" w:rsidP="006F5647">
      <w:pPr>
        <w:pStyle w:val="Actions"/>
        <w:jc w:val="left"/>
        <w:rPr>
          <w:color w:val="auto"/>
        </w:rPr>
      </w:pPr>
      <w:r>
        <w:rPr>
          <w:color w:val="auto"/>
        </w:rPr>
        <w:t>For Case 1, are we talking about Tax election or only tax payment? If payment, it means that election has been managed separately</w:t>
      </w:r>
    </w:p>
    <w:p w:rsidR="00B83C0D" w:rsidRDefault="00B83C0D" w:rsidP="006F5647">
      <w:pPr>
        <w:pStyle w:val="Actions"/>
        <w:jc w:val="left"/>
        <w:rPr>
          <w:color w:val="auto"/>
        </w:rPr>
      </w:pPr>
      <w:r>
        <w:rPr>
          <w:color w:val="auto"/>
        </w:rPr>
        <w:t>Case 2 seems to be N/A because it depends on the certification processed that should have took place beforehand. Meaning that the rate applied is 30% before certification and if certification has been processed: 15% applied.</w:t>
      </w:r>
    </w:p>
    <w:p w:rsidR="009B4DD5" w:rsidRDefault="009B4DD5" w:rsidP="006F5647">
      <w:pPr>
        <w:pStyle w:val="Actions"/>
        <w:jc w:val="left"/>
        <w:rPr>
          <w:color w:val="auto"/>
        </w:rPr>
      </w:pPr>
      <w:r>
        <w:rPr>
          <w:color w:val="auto"/>
        </w:rPr>
        <w:t>The best thing would be to have the original example from the Italian Market</w:t>
      </w:r>
    </w:p>
    <w:p w:rsidR="00931B48" w:rsidRDefault="00931B48" w:rsidP="006F5647">
      <w:pPr>
        <w:pStyle w:val="Actions"/>
        <w:jc w:val="left"/>
        <w:rPr>
          <w:color w:val="auto"/>
        </w:rPr>
      </w:pPr>
    </w:p>
    <w:p w:rsidR="00931B48" w:rsidRPr="006F5647" w:rsidRDefault="00931B48" w:rsidP="00931B48">
      <w:pPr>
        <w:pStyle w:val="Actions"/>
        <w:jc w:val="left"/>
        <w:rPr>
          <w:color w:val="auto"/>
          <w:u w:val="single"/>
        </w:rPr>
      </w:pPr>
      <w:r w:rsidRPr="002624D3">
        <w:rPr>
          <w:color w:val="auto"/>
          <w:highlight w:val="yellow"/>
          <w:u w:val="single"/>
        </w:rPr>
        <w:t>Comments during March call:</w:t>
      </w:r>
      <w:r w:rsidRPr="006F5647">
        <w:rPr>
          <w:color w:val="auto"/>
          <w:u w:val="single"/>
        </w:rPr>
        <w:t xml:space="preserve"> </w:t>
      </w:r>
    </w:p>
    <w:p w:rsidR="00931B48" w:rsidRDefault="00931B48" w:rsidP="006F5647">
      <w:pPr>
        <w:pStyle w:val="Actions"/>
        <w:jc w:val="left"/>
        <w:rPr>
          <w:color w:val="auto"/>
        </w:rPr>
      </w:pPr>
      <w:r>
        <w:rPr>
          <w:color w:val="auto"/>
        </w:rPr>
        <w:t>Additional information received from the Italian Market:</w:t>
      </w:r>
    </w:p>
    <w:p w:rsidR="00931B48" w:rsidRDefault="002624D3" w:rsidP="006F5647">
      <w:pPr>
        <w:pStyle w:val="Actions"/>
        <w:jc w:val="left"/>
        <w:rPr>
          <w:rFonts w:ascii="Default Sans Sarif" w:hAnsi="Default Sans Sarif"/>
          <w:color w:val="002060"/>
        </w:rPr>
      </w:pPr>
      <w:r>
        <w:rPr>
          <w:rFonts w:ascii="Default Sans Sarif" w:hAnsi="Default Sans Sarif"/>
          <w:color w:val="002060"/>
        </w:rPr>
        <w:t>"academic" example for a following case where we have a dividend of 100 USD per shares</w:t>
      </w:r>
    </w:p>
    <w:tbl>
      <w:tblPr>
        <w:tblW w:w="0" w:type="auto"/>
        <w:tblCellSpacing w:w="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70"/>
        <w:gridCol w:w="970"/>
        <w:gridCol w:w="1285"/>
        <w:gridCol w:w="1190"/>
      </w:tblGrid>
      <w:tr w:rsidR="002624D3" w:rsidRPr="002624D3" w:rsidTr="002624D3">
        <w:trPr>
          <w:tblCellSpacing w:w="22" w:type="dxa"/>
        </w:trPr>
        <w:tc>
          <w:tcPr>
            <w:tcW w:w="175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b/>
                <w:bCs/>
                <w:color w:val="002060"/>
                <w:lang w:val="fr-FR"/>
              </w:rPr>
              <w:t>Field</w:t>
            </w:r>
          </w:p>
        </w:tc>
        <w:tc>
          <w:tcPr>
            <w:tcW w:w="51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b/>
                <w:bCs/>
                <w:color w:val="002060"/>
                <w:lang w:val="fr-FR"/>
              </w:rPr>
              <w:t>%</w:t>
            </w:r>
          </w:p>
        </w:tc>
        <w:tc>
          <w:tcPr>
            <w:tcW w:w="9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b/>
                <w:bCs/>
                <w:color w:val="002060"/>
                <w:lang w:val="fr-FR"/>
              </w:rPr>
              <w:t>Amnt</w:t>
            </w:r>
          </w:p>
        </w:tc>
        <w:tc>
          <w:tcPr>
            <w:tcW w:w="4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b/>
                <w:bCs/>
                <w:color w:val="002060"/>
                <w:lang w:val="fr-FR"/>
              </w:rPr>
              <w:t>CCY</w:t>
            </w:r>
          </w:p>
        </w:tc>
      </w:tr>
      <w:tr w:rsidR="002624D3" w:rsidRPr="002624D3" w:rsidTr="002624D3">
        <w:trPr>
          <w:tblCellSpacing w:w="22" w:type="dxa"/>
        </w:trPr>
        <w:tc>
          <w:tcPr>
            <w:tcW w:w="175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Original/Foreign</w:t>
            </w:r>
          </w:p>
        </w:tc>
        <w:tc>
          <w:tcPr>
            <w:tcW w:w="51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rPr>
                <w:rFonts w:ascii="Calibri" w:eastAsia="Calibri" w:hAnsi="Calibri" w:cs="Times New Roman"/>
                <w:color w:val="002060"/>
                <w:sz w:val="24"/>
                <w:szCs w:val="24"/>
                <w:lang w:val="fr-FR"/>
              </w:rPr>
            </w:pPr>
            <w:r w:rsidRPr="002624D3">
              <w:rPr>
                <w:rFonts w:ascii="Calibri" w:eastAsia="Calibri" w:hAnsi="Calibri" w:cs="Times New Roman"/>
                <w:noProof/>
                <w:color w:val="002060"/>
                <w:sz w:val="22"/>
                <w:szCs w:val="22"/>
              </w:rPr>
              <w:drawing>
                <wp:inline distT="0" distB="0" distL="0" distR="0" wp14:anchorId="03C25AEE" wp14:editId="52271E2C">
                  <wp:extent cx="9525" cy="9525"/>
                  <wp:effectExtent l="0" t="0" r="0" b="0"/>
                  <wp:docPr id="30" name="Picture 15" descr="cid:image001.png@01D29CEA.FBB3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png@01D29CEA.FBB3554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rPr>
                <w:rFonts w:ascii="Calibri" w:eastAsia="Calibri" w:hAnsi="Calibri" w:cs="Times New Roman"/>
                <w:color w:val="002060"/>
                <w:sz w:val="24"/>
                <w:szCs w:val="24"/>
                <w:lang w:val="fr-FR"/>
              </w:rPr>
            </w:pPr>
            <w:r w:rsidRPr="002624D3">
              <w:rPr>
                <w:rFonts w:ascii="Calibri" w:eastAsia="Calibri" w:hAnsi="Calibri" w:cs="Times New Roman"/>
                <w:noProof/>
                <w:color w:val="002060"/>
                <w:sz w:val="22"/>
                <w:szCs w:val="22"/>
              </w:rPr>
              <w:drawing>
                <wp:inline distT="0" distB="0" distL="0" distR="0" wp14:anchorId="41BD634A" wp14:editId="1996D78A">
                  <wp:extent cx="9525" cy="9525"/>
                  <wp:effectExtent l="0" t="0" r="0" b="0"/>
                  <wp:docPr id="31" name="Picture 14" descr="cid:image001.png@01D29CEA.FBB3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29CEA.FBB3554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USD</w:t>
            </w:r>
          </w:p>
        </w:tc>
      </w:tr>
      <w:tr w:rsidR="002624D3" w:rsidRPr="002624D3" w:rsidTr="002624D3">
        <w:trPr>
          <w:tblCellSpacing w:w="22" w:type="dxa"/>
        </w:trPr>
        <w:tc>
          <w:tcPr>
            <w:tcW w:w="175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Foreign GRSS</w:t>
            </w:r>
          </w:p>
        </w:tc>
        <w:tc>
          <w:tcPr>
            <w:tcW w:w="51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rPr>
                <w:rFonts w:ascii="Calibri" w:eastAsia="Calibri" w:hAnsi="Calibri" w:cs="Times New Roman"/>
                <w:color w:val="002060"/>
                <w:sz w:val="24"/>
                <w:szCs w:val="24"/>
                <w:lang w:val="fr-FR"/>
              </w:rPr>
            </w:pPr>
            <w:r w:rsidRPr="002624D3">
              <w:rPr>
                <w:rFonts w:ascii="Calibri" w:eastAsia="Calibri" w:hAnsi="Calibri" w:cs="Times New Roman"/>
                <w:noProof/>
                <w:color w:val="002060"/>
                <w:sz w:val="22"/>
                <w:szCs w:val="22"/>
              </w:rPr>
              <w:drawing>
                <wp:inline distT="0" distB="0" distL="0" distR="0" wp14:anchorId="3D70D7F3" wp14:editId="2D195F31">
                  <wp:extent cx="9525" cy="9525"/>
                  <wp:effectExtent l="0" t="0" r="0" b="0"/>
                  <wp:docPr id="32" name="Picture 13" descr="cid:image001.png@01D29CEA.FBB3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01.png@01D29CEA.FBB3554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jc w:val="right"/>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100</w:t>
            </w:r>
          </w:p>
        </w:tc>
        <w:tc>
          <w:tcPr>
            <w:tcW w:w="4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USD</w:t>
            </w:r>
          </w:p>
        </w:tc>
      </w:tr>
      <w:tr w:rsidR="002624D3" w:rsidRPr="002624D3" w:rsidTr="002624D3">
        <w:trPr>
          <w:tblCellSpacing w:w="22" w:type="dxa"/>
        </w:trPr>
        <w:tc>
          <w:tcPr>
            <w:tcW w:w="1755"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Foreign TxExempt</w:t>
            </w:r>
          </w:p>
        </w:tc>
        <w:tc>
          <w:tcPr>
            <w:tcW w:w="510"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2624D3" w:rsidRPr="002624D3" w:rsidRDefault="002624D3" w:rsidP="002624D3">
            <w:pPr>
              <w:spacing w:after="0"/>
              <w:rPr>
                <w:rFonts w:ascii="Calibri" w:eastAsia="Calibri" w:hAnsi="Calibri" w:cs="Times New Roman"/>
                <w:color w:val="002060"/>
                <w:sz w:val="24"/>
                <w:szCs w:val="24"/>
                <w:lang w:val="fr-FR"/>
              </w:rPr>
            </w:pPr>
            <w:r w:rsidRPr="002624D3">
              <w:rPr>
                <w:rFonts w:ascii="Calibri" w:eastAsia="Calibri" w:hAnsi="Calibri" w:cs="Times New Roman"/>
                <w:noProof/>
                <w:color w:val="002060"/>
                <w:sz w:val="22"/>
                <w:szCs w:val="22"/>
              </w:rPr>
              <w:drawing>
                <wp:inline distT="0" distB="0" distL="0" distR="0" wp14:anchorId="6C86DC38" wp14:editId="0CBB39FF">
                  <wp:extent cx="9525" cy="9525"/>
                  <wp:effectExtent l="0" t="0" r="0" b="0"/>
                  <wp:docPr id="33" name="Picture 12" descr="cid:image001.png@01D29CEA.FBB3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1.png@01D29CEA.FBB3554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2624D3" w:rsidRPr="002624D3" w:rsidRDefault="002624D3" w:rsidP="002624D3">
            <w:pPr>
              <w:spacing w:after="0"/>
              <w:jc w:val="right"/>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20</w:t>
            </w:r>
          </w:p>
        </w:tc>
        <w:tc>
          <w:tcPr>
            <w:tcW w:w="450"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USD</w:t>
            </w:r>
          </w:p>
        </w:tc>
      </w:tr>
      <w:tr w:rsidR="002624D3" w:rsidRPr="002624D3" w:rsidTr="002624D3">
        <w:trPr>
          <w:tblCellSpacing w:w="22" w:type="dxa"/>
        </w:trPr>
        <w:tc>
          <w:tcPr>
            <w:tcW w:w="175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Foreign Taxable</w:t>
            </w:r>
          </w:p>
        </w:tc>
        <w:tc>
          <w:tcPr>
            <w:tcW w:w="51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rPr>
                <w:rFonts w:ascii="Calibri" w:eastAsia="Calibri" w:hAnsi="Calibri" w:cs="Times New Roman"/>
                <w:color w:val="002060"/>
                <w:sz w:val="24"/>
                <w:szCs w:val="24"/>
                <w:lang w:val="fr-FR"/>
              </w:rPr>
            </w:pPr>
            <w:r w:rsidRPr="002624D3">
              <w:rPr>
                <w:rFonts w:ascii="Calibri" w:eastAsia="Calibri" w:hAnsi="Calibri" w:cs="Times New Roman"/>
                <w:noProof/>
                <w:color w:val="002060"/>
                <w:sz w:val="22"/>
                <w:szCs w:val="22"/>
              </w:rPr>
              <w:drawing>
                <wp:inline distT="0" distB="0" distL="0" distR="0" wp14:anchorId="5DB23D3D" wp14:editId="19E42B7F">
                  <wp:extent cx="9525" cy="9525"/>
                  <wp:effectExtent l="0" t="0" r="0" b="0"/>
                  <wp:docPr id="34" name="Picture 11" descr="cid:image001.png@01D29CEA.FBB3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1.png@01D29CEA.FBB3554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jc w:val="right"/>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80</w:t>
            </w:r>
          </w:p>
        </w:tc>
        <w:tc>
          <w:tcPr>
            <w:tcW w:w="4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USD</w:t>
            </w:r>
          </w:p>
        </w:tc>
      </w:tr>
      <w:tr w:rsidR="002624D3" w:rsidRPr="002624D3" w:rsidTr="002624D3">
        <w:trPr>
          <w:tblCellSpacing w:w="22" w:type="dxa"/>
        </w:trPr>
        <w:tc>
          <w:tcPr>
            <w:tcW w:w="175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TAXR</w:t>
            </w:r>
          </w:p>
        </w:tc>
        <w:tc>
          <w:tcPr>
            <w:tcW w:w="51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jc w:val="right"/>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15%</w:t>
            </w:r>
          </w:p>
        </w:tc>
        <w:tc>
          <w:tcPr>
            <w:tcW w:w="9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jc w:val="right"/>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12</w:t>
            </w:r>
          </w:p>
        </w:tc>
        <w:tc>
          <w:tcPr>
            <w:tcW w:w="4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USD</w:t>
            </w:r>
          </w:p>
        </w:tc>
      </w:tr>
      <w:tr w:rsidR="002624D3" w:rsidRPr="002624D3" w:rsidTr="002624D3">
        <w:trPr>
          <w:tblCellSpacing w:w="22" w:type="dxa"/>
        </w:trPr>
        <w:tc>
          <w:tcPr>
            <w:tcW w:w="175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Foreign "Net"</w:t>
            </w:r>
          </w:p>
        </w:tc>
        <w:tc>
          <w:tcPr>
            <w:tcW w:w="51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rPr>
                <w:rFonts w:ascii="Calibri" w:eastAsia="Calibri" w:hAnsi="Calibri" w:cs="Times New Roman"/>
                <w:color w:val="002060"/>
                <w:sz w:val="24"/>
                <w:szCs w:val="24"/>
                <w:lang w:val="fr-FR"/>
              </w:rPr>
            </w:pPr>
            <w:r w:rsidRPr="002624D3">
              <w:rPr>
                <w:rFonts w:ascii="Calibri" w:eastAsia="Calibri" w:hAnsi="Calibri" w:cs="Times New Roman"/>
                <w:noProof/>
                <w:color w:val="002060"/>
                <w:sz w:val="22"/>
                <w:szCs w:val="22"/>
              </w:rPr>
              <w:drawing>
                <wp:inline distT="0" distB="0" distL="0" distR="0" wp14:anchorId="47A22EDF" wp14:editId="33ECE965">
                  <wp:extent cx="9525" cy="9525"/>
                  <wp:effectExtent l="0" t="0" r="0" b="0"/>
                  <wp:docPr id="35" name="Picture 10" descr="cid:image001.png@01D29CEA.FBB3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1.png@01D29CEA.FBB3554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jc w:val="right"/>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88</w:t>
            </w:r>
          </w:p>
        </w:tc>
        <w:tc>
          <w:tcPr>
            <w:tcW w:w="4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USD</w:t>
            </w:r>
          </w:p>
        </w:tc>
      </w:tr>
      <w:tr w:rsidR="002624D3" w:rsidRPr="002624D3" w:rsidTr="002624D3">
        <w:trPr>
          <w:tblCellSpacing w:w="22" w:type="dxa"/>
        </w:trPr>
        <w:tc>
          <w:tcPr>
            <w:tcW w:w="175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rPr>
                <w:rFonts w:ascii="Calibri" w:eastAsia="Calibri" w:hAnsi="Calibri" w:cs="Times New Roman"/>
                <w:color w:val="002060"/>
                <w:sz w:val="24"/>
                <w:szCs w:val="24"/>
                <w:lang w:val="fr-FR"/>
              </w:rPr>
            </w:pPr>
            <w:r w:rsidRPr="002624D3">
              <w:rPr>
                <w:rFonts w:ascii="Calibri" w:eastAsia="Calibri" w:hAnsi="Calibri" w:cs="Times New Roman"/>
                <w:noProof/>
                <w:color w:val="002060"/>
                <w:sz w:val="22"/>
                <w:szCs w:val="22"/>
              </w:rPr>
              <w:lastRenderedPageBreak/>
              <w:drawing>
                <wp:inline distT="0" distB="0" distL="0" distR="0" wp14:anchorId="4F2D8349" wp14:editId="20127824">
                  <wp:extent cx="9525" cy="9525"/>
                  <wp:effectExtent l="0" t="0" r="0" b="0"/>
                  <wp:docPr id="36" name="Picture 9" descr="cid:image001.png@01D29CEA.FBB3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1.png@01D29CEA.FBB3554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51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rPr>
                <w:rFonts w:ascii="Calibri" w:eastAsia="Calibri" w:hAnsi="Calibri" w:cs="Times New Roman"/>
                <w:color w:val="002060"/>
                <w:sz w:val="24"/>
                <w:szCs w:val="24"/>
                <w:lang w:val="fr-FR"/>
              </w:rPr>
            </w:pPr>
            <w:r w:rsidRPr="002624D3">
              <w:rPr>
                <w:rFonts w:ascii="Calibri" w:eastAsia="Calibri" w:hAnsi="Calibri" w:cs="Times New Roman"/>
                <w:noProof/>
                <w:color w:val="002060"/>
                <w:sz w:val="22"/>
                <w:szCs w:val="22"/>
              </w:rPr>
              <w:drawing>
                <wp:inline distT="0" distB="0" distL="0" distR="0" wp14:anchorId="7F97B0C6" wp14:editId="7965A8DE">
                  <wp:extent cx="9525" cy="9525"/>
                  <wp:effectExtent l="0" t="0" r="0" b="0"/>
                  <wp:docPr id="37" name="Picture 8" descr="cid:image001.png@01D29CEA.FBB3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1.png@01D29CEA.FBB3554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rPr>
                <w:rFonts w:ascii="Calibri" w:eastAsia="Calibri" w:hAnsi="Calibri" w:cs="Times New Roman"/>
                <w:color w:val="002060"/>
                <w:sz w:val="24"/>
                <w:szCs w:val="24"/>
                <w:lang w:val="fr-FR"/>
              </w:rPr>
            </w:pPr>
            <w:r w:rsidRPr="002624D3">
              <w:rPr>
                <w:rFonts w:ascii="Calibri" w:eastAsia="Calibri" w:hAnsi="Calibri" w:cs="Times New Roman"/>
                <w:noProof/>
                <w:color w:val="002060"/>
                <w:sz w:val="22"/>
                <w:szCs w:val="22"/>
              </w:rPr>
              <w:drawing>
                <wp:inline distT="0" distB="0" distL="0" distR="0" wp14:anchorId="4C0C401D" wp14:editId="0D046EEE">
                  <wp:extent cx="9525" cy="9525"/>
                  <wp:effectExtent l="0" t="0" r="0" b="0"/>
                  <wp:docPr id="38" name="Picture 7" descr="cid:image001.png@01D29CEA.FBB3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png@01D29CEA.FBB3554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rPr>
                <w:rFonts w:ascii="Calibri" w:eastAsia="Calibri" w:hAnsi="Calibri" w:cs="Times New Roman"/>
                <w:color w:val="002060"/>
                <w:sz w:val="24"/>
                <w:szCs w:val="24"/>
                <w:lang w:val="fr-FR"/>
              </w:rPr>
            </w:pPr>
            <w:r w:rsidRPr="002624D3">
              <w:rPr>
                <w:rFonts w:ascii="Calibri" w:eastAsia="Calibri" w:hAnsi="Calibri" w:cs="Times New Roman"/>
                <w:noProof/>
                <w:color w:val="002060"/>
                <w:sz w:val="22"/>
                <w:szCs w:val="22"/>
              </w:rPr>
              <w:drawing>
                <wp:inline distT="0" distB="0" distL="0" distR="0" wp14:anchorId="7E20647E" wp14:editId="3BBC3347">
                  <wp:extent cx="9525" cy="9525"/>
                  <wp:effectExtent l="0" t="0" r="0" b="0"/>
                  <wp:docPr id="39" name="Picture 6" descr="cid:image001.png@01D29CEA.FBB3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png@01D29CEA.FBB3554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2624D3" w:rsidRPr="002624D3" w:rsidTr="002624D3">
        <w:trPr>
          <w:tblCellSpacing w:w="22" w:type="dxa"/>
        </w:trPr>
        <w:tc>
          <w:tcPr>
            <w:tcW w:w="175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Local GROSS</w:t>
            </w:r>
          </w:p>
        </w:tc>
        <w:tc>
          <w:tcPr>
            <w:tcW w:w="51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rPr>
                <w:rFonts w:ascii="Calibri" w:eastAsia="Calibri" w:hAnsi="Calibri" w:cs="Times New Roman"/>
                <w:color w:val="002060"/>
                <w:sz w:val="24"/>
                <w:szCs w:val="24"/>
                <w:lang w:val="fr-FR"/>
              </w:rPr>
            </w:pPr>
            <w:r w:rsidRPr="002624D3">
              <w:rPr>
                <w:rFonts w:ascii="Calibri" w:eastAsia="Calibri" w:hAnsi="Calibri" w:cs="Times New Roman"/>
                <w:noProof/>
                <w:color w:val="002060"/>
                <w:sz w:val="22"/>
                <w:szCs w:val="22"/>
              </w:rPr>
              <w:drawing>
                <wp:inline distT="0" distB="0" distL="0" distR="0" wp14:anchorId="296CAB02" wp14:editId="48E92FD6">
                  <wp:extent cx="9525" cy="9525"/>
                  <wp:effectExtent l="0" t="0" r="0" b="0"/>
                  <wp:docPr id="40" name="Picture 5" descr="cid:image001.png@01D29CEA.FBB3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D29CEA.FBB3554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jc w:val="right"/>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88</w:t>
            </w:r>
          </w:p>
        </w:tc>
        <w:tc>
          <w:tcPr>
            <w:tcW w:w="4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USD</w:t>
            </w:r>
          </w:p>
        </w:tc>
      </w:tr>
      <w:tr w:rsidR="002624D3" w:rsidRPr="002624D3" w:rsidTr="002624D3">
        <w:trPr>
          <w:tblCellSpacing w:w="22" w:type="dxa"/>
        </w:trPr>
        <w:tc>
          <w:tcPr>
            <w:tcW w:w="175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Local TxExempt</w:t>
            </w:r>
          </w:p>
        </w:tc>
        <w:tc>
          <w:tcPr>
            <w:tcW w:w="51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rPr>
                <w:rFonts w:ascii="Calibri" w:eastAsia="Calibri" w:hAnsi="Calibri" w:cs="Times New Roman"/>
                <w:color w:val="002060"/>
                <w:sz w:val="24"/>
                <w:szCs w:val="24"/>
                <w:lang w:val="fr-FR"/>
              </w:rPr>
            </w:pPr>
            <w:r w:rsidRPr="002624D3">
              <w:rPr>
                <w:rFonts w:ascii="Calibri" w:eastAsia="Calibri" w:hAnsi="Calibri" w:cs="Times New Roman"/>
                <w:noProof/>
                <w:color w:val="002060"/>
                <w:sz w:val="22"/>
                <w:szCs w:val="22"/>
              </w:rPr>
              <w:drawing>
                <wp:inline distT="0" distB="0" distL="0" distR="0" wp14:anchorId="15F3F69E" wp14:editId="4B48BD9A">
                  <wp:extent cx="9525" cy="9525"/>
                  <wp:effectExtent l="0" t="0" r="0" b="0"/>
                  <wp:docPr id="41" name="Picture 4" descr="cid:image001.png@01D29CEA.FBB3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29CEA.FBB3554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jc w:val="right"/>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8</w:t>
            </w:r>
          </w:p>
        </w:tc>
        <w:tc>
          <w:tcPr>
            <w:tcW w:w="4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USD</w:t>
            </w:r>
          </w:p>
        </w:tc>
      </w:tr>
      <w:tr w:rsidR="002624D3" w:rsidRPr="002624D3" w:rsidTr="002624D3">
        <w:trPr>
          <w:tblCellSpacing w:w="22" w:type="dxa"/>
        </w:trPr>
        <w:tc>
          <w:tcPr>
            <w:tcW w:w="175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Local Taxable</w:t>
            </w:r>
          </w:p>
        </w:tc>
        <w:tc>
          <w:tcPr>
            <w:tcW w:w="51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rPr>
                <w:rFonts w:ascii="Calibri" w:eastAsia="Calibri" w:hAnsi="Calibri" w:cs="Times New Roman"/>
                <w:color w:val="002060"/>
                <w:sz w:val="24"/>
                <w:szCs w:val="24"/>
                <w:lang w:val="fr-FR"/>
              </w:rPr>
            </w:pPr>
            <w:r w:rsidRPr="002624D3">
              <w:rPr>
                <w:rFonts w:ascii="Calibri" w:eastAsia="Calibri" w:hAnsi="Calibri" w:cs="Times New Roman"/>
                <w:noProof/>
                <w:color w:val="002060"/>
                <w:sz w:val="22"/>
                <w:szCs w:val="22"/>
              </w:rPr>
              <w:drawing>
                <wp:inline distT="0" distB="0" distL="0" distR="0" wp14:anchorId="1F02E97F" wp14:editId="4DC47A16">
                  <wp:extent cx="9525" cy="9525"/>
                  <wp:effectExtent l="0" t="0" r="0" b="0"/>
                  <wp:docPr id="42" name="Picture 3" descr="cid:image001.png@01D29CEA.FBB3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29CEA.FBB3554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jc w:val="right"/>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80</w:t>
            </w:r>
          </w:p>
        </w:tc>
        <w:tc>
          <w:tcPr>
            <w:tcW w:w="4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USD</w:t>
            </w:r>
          </w:p>
        </w:tc>
      </w:tr>
      <w:tr w:rsidR="002624D3" w:rsidRPr="002624D3" w:rsidTr="002624D3">
        <w:trPr>
          <w:tblCellSpacing w:w="22" w:type="dxa"/>
        </w:trPr>
        <w:tc>
          <w:tcPr>
            <w:tcW w:w="175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WITL</w:t>
            </w:r>
          </w:p>
        </w:tc>
        <w:tc>
          <w:tcPr>
            <w:tcW w:w="51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jc w:val="right"/>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26%</w:t>
            </w:r>
          </w:p>
        </w:tc>
        <w:tc>
          <w:tcPr>
            <w:tcW w:w="9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jc w:val="right"/>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20,8</w:t>
            </w:r>
          </w:p>
        </w:tc>
        <w:tc>
          <w:tcPr>
            <w:tcW w:w="4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USD</w:t>
            </w:r>
          </w:p>
        </w:tc>
      </w:tr>
      <w:tr w:rsidR="002624D3" w:rsidRPr="002624D3" w:rsidTr="002624D3">
        <w:trPr>
          <w:tblCellSpacing w:w="22" w:type="dxa"/>
        </w:trPr>
        <w:tc>
          <w:tcPr>
            <w:tcW w:w="175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Local "Net"</w:t>
            </w:r>
          </w:p>
        </w:tc>
        <w:tc>
          <w:tcPr>
            <w:tcW w:w="51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rPr>
                <w:rFonts w:ascii="Calibri" w:eastAsia="Calibri" w:hAnsi="Calibri" w:cs="Times New Roman"/>
                <w:color w:val="002060"/>
                <w:sz w:val="24"/>
                <w:szCs w:val="24"/>
                <w:lang w:val="fr-FR"/>
              </w:rPr>
            </w:pPr>
            <w:r w:rsidRPr="002624D3">
              <w:rPr>
                <w:rFonts w:ascii="Calibri" w:eastAsia="Calibri" w:hAnsi="Calibri" w:cs="Times New Roman"/>
                <w:noProof/>
                <w:color w:val="002060"/>
                <w:sz w:val="22"/>
                <w:szCs w:val="22"/>
              </w:rPr>
              <w:drawing>
                <wp:inline distT="0" distB="0" distL="0" distR="0" wp14:anchorId="09B6EAC1" wp14:editId="49589D9E">
                  <wp:extent cx="9525" cy="9525"/>
                  <wp:effectExtent l="0" t="0" r="0" b="0"/>
                  <wp:docPr id="43" name="Picture 2" descr="cid:image001.png@01D29CEA.FBB3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9CEA.FBB3554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jc w:val="right"/>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67,2</w:t>
            </w:r>
          </w:p>
        </w:tc>
        <w:tc>
          <w:tcPr>
            <w:tcW w:w="4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2624D3" w:rsidRPr="002624D3" w:rsidRDefault="002624D3" w:rsidP="002624D3">
            <w:pPr>
              <w:spacing w:after="0"/>
              <w:ind w:left="720"/>
              <w:rPr>
                <w:rFonts w:ascii="Calibri" w:eastAsia="Calibri" w:hAnsi="Calibri" w:cs="Times New Roman"/>
                <w:color w:val="002060"/>
                <w:sz w:val="24"/>
                <w:szCs w:val="24"/>
                <w:lang w:val="fr-FR"/>
              </w:rPr>
            </w:pPr>
            <w:r w:rsidRPr="002624D3">
              <w:rPr>
                <w:rFonts w:ascii="Calibri" w:eastAsia="Calibri" w:hAnsi="Calibri" w:cs="Times New Roman"/>
                <w:color w:val="002060"/>
                <w:lang w:val="fr-FR"/>
              </w:rPr>
              <w:t>USD</w:t>
            </w:r>
          </w:p>
        </w:tc>
      </w:tr>
    </w:tbl>
    <w:p w:rsidR="002624D3" w:rsidRDefault="002624D3" w:rsidP="002624D3">
      <w:pPr>
        <w:pStyle w:val="NormalWeb"/>
        <w:spacing w:after="240" w:afterAutospacing="0"/>
        <w:rPr>
          <w:rFonts w:ascii="Default Sans Sarif" w:hAnsi="Default Sans Sarif"/>
          <w:color w:val="002060"/>
          <w:lang w:val="en-GB"/>
        </w:rPr>
      </w:pPr>
      <w:r>
        <w:rPr>
          <w:rFonts w:ascii="Default Sans Sarif" w:hAnsi="Default Sans Sarif"/>
          <w:color w:val="002060"/>
          <w:lang w:val="en-GB"/>
        </w:rPr>
        <w:t xml:space="preserve">The dividend is announced by the issuer on the foreign market. </w:t>
      </w:r>
      <w:r>
        <w:rPr>
          <w:rFonts w:ascii="Default Sans Sarif" w:hAnsi="Default Sans Sarif"/>
          <w:color w:val="002060"/>
          <w:lang w:val="en-GB"/>
        </w:rPr>
        <w:br/>
        <w:t xml:space="preserve">Then, a foreign tax is applied at source (15%), but a part of the dividend is exempt from the foreign tax (highlighted in green) and the resulting amount (0.88 EUR) is received in Italy. </w:t>
      </w:r>
      <w:r>
        <w:rPr>
          <w:rFonts w:ascii="Default Sans Sarif" w:hAnsi="Default Sans Sarif"/>
          <w:color w:val="002060"/>
          <w:lang w:val="en-GB"/>
        </w:rPr>
        <w:br/>
        <w:t>In addition to that, the local Italian tax (26% or any other tax rate) is applied and withheld by local agent.</w:t>
      </w:r>
      <w:r>
        <w:rPr>
          <w:rFonts w:ascii="Default Sans Sarif" w:hAnsi="Default Sans Sarif"/>
          <w:color w:val="002060"/>
          <w:lang w:val="en-GB"/>
        </w:rPr>
        <w:br/>
      </w:r>
      <w:r>
        <w:rPr>
          <w:rFonts w:ascii="Default Sans Sarif" w:hAnsi="Default Sans Sarif"/>
          <w:color w:val="002060"/>
          <w:lang w:val="en-GB"/>
        </w:rPr>
        <w:br/>
        <w:t>The question is how can we reflect that the "TAXR" part is partially tax exempt in the MT564?</w:t>
      </w:r>
    </w:p>
    <w:p w:rsidR="00931B48" w:rsidRDefault="00931B48" w:rsidP="006F5647">
      <w:pPr>
        <w:pStyle w:val="Actions"/>
        <w:jc w:val="left"/>
        <w:rPr>
          <w:color w:val="auto"/>
        </w:rPr>
      </w:pPr>
      <w:r>
        <w:rPr>
          <w:color w:val="auto"/>
        </w:rPr>
        <w:t>As per the last explanations, it seems to be something similar to the Frank / Unfranked used in the Australian market.</w:t>
      </w:r>
    </w:p>
    <w:p w:rsidR="002624D3" w:rsidRDefault="002624D3" w:rsidP="006F5647">
      <w:pPr>
        <w:pStyle w:val="Actions"/>
        <w:jc w:val="left"/>
        <w:rPr>
          <w:color w:val="auto"/>
        </w:rPr>
      </w:pPr>
    </w:p>
    <w:p w:rsidR="00931B48" w:rsidRDefault="002624D3" w:rsidP="006F5647">
      <w:pPr>
        <w:pStyle w:val="Actions"/>
        <w:jc w:val="left"/>
        <w:rPr>
          <w:color w:val="auto"/>
        </w:rPr>
      </w:pPr>
      <w:r>
        <w:rPr>
          <w:color w:val="auto"/>
        </w:rPr>
        <w:t xml:space="preserve">Some additional comments have been also received from </w:t>
      </w:r>
      <w:r w:rsidR="00931B48">
        <w:rPr>
          <w:color w:val="auto"/>
        </w:rPr>
        <w:t>Thomas</w:t>
      </w:r>
      <w:r>
        <w:rPr>
          <w:color w:val="auto"/>
        </w:rPr>
        <w:t xml:space="preserve"> before the call</w:t>
      </w:r>
      <w:r w:rsidR="00931B48">
        <w:rPr>
          <w:color w:val="auto"/>
        </w:rPr>
        <w:t>:</w:t>
      </w:r>
    </w:p>
    <w:p w:rsidR="00931B48" w:rsidRPr="00931B48" w:rsidRDefault="00931B48" w:rsidP="00931B48">
      <w:pPr>
        <w:pStyle w:val="Actions"/>
        <w:rPr>
          <w:color w:val="auto"/>
        </w:rPr>
      </w:pPr>
      <w:r>
        <w:rPr>
          <w:color w:val="auto"/>
        </w:rPr>
        <w:t>‘</w:t>
      </w:r>
      <w:r w:rsidRPr="00931B48">
        <w:rPr>
          <w:color w:val="auto"/>
        </w:rPr>
        <w:t>We have a similar issue in Germany too and I believe it must be in many market the same.  Investors must pay tax in its home country for income payments on which a foreign tax was withhold but in respective DTT regulation will have some guidance about amount of tax offset.</w:t>
      </w:r>
    </w:p>
    <w:p w:rsidR="00931B48" w:rsidRPr="00931B48" w:rsidRDefault="00931B48" w:rsidP="00931B48">
      <w:pPr>
        <w:pStyle w:val="Actions"/>
        <w:rPr>
          <w:color w:val="auto"/>
        </w:rPr>
      </w:pPr>
      <w:r w:rsidRPr="00931B48">
        <w:rPr>
          <w:color w:val="auto"/>
        </w:rPr>
        <w:t>An investor liable for taxation in Germany will get the Italian dividend net and can reduce the Italian withholding tax based on DTT regulation, but the German investor must pay German taxes too, calculated on the gross dividend amount paid from Italian issuer (an offset will happen, because based on DTT he will have a maximum tax rate and can reclaim or offset part of the already withhold Italian taxes with his German tax declaration).</w:t>
      </w:r>
    </w:p>
    <w:p w:rsidR="00931B48" w:rsidRDefault="00931B48" w:rsidP="00931B48">
      <w:pPr>
        <w:pStyle w:val="Actions"/>
        <w:jc w:val="left"/>
        <w:rPr>
          <w:color w:val="auto"/>
        </w:rPr>
      </w:pPr>
      <w:r w:rsidRPr="00931B48">
        <w:rPr>
          <w:color w:val="auto"/>
        </w:rPr>
        <w:t xml:space="preserve">Clearstream as CSD will not have an issue with the double taxation, foreign and domestic tax, based on the fact that customers of CSD are financial institutions and no domestic tax will happen on CSD level. But a German depository bank behind the CSD will have the issue of the double taxation. In general German depository banks don’t communicate with their private customers by SWIFT. When they communicate via SWIFT than they try to show the different taxes with combination of WITL, ATAX, etc. by knowing that usage of the different qualifiers don’t correspond with the definition by SMPG. Depository banks in German try to have the same usage of combination of fields for dividends on domestic and international securities. No harmonised approach exists actual. Each depository bank have its own logic of combinations of tax qualifiers but inform their SWIFT customers how they will use it. </w:t>
      </w:r>
      <w:r>
        <w:rPr>
          <w:color w:val="auto"/>
        </w:rPr>
        <w:t xml:space="preserve"> </w:t>
      </w:r>
    </w:p>
    <w:p w:rsidR="00931B48" w:rsidRDefault="00931B48" w:rsidP="006F5647">
      <w:pPr>
        <w:pStyle w:val="Actions"/>
        <w:jc w:val="left"/>
        <w:rPr>
          <w:color w:val="auto"/>
        </w:rPr>
      </w:pPr>
    </w:p>
    <w:p w:rsidR="009B4DD5" w:rsidRPr="00F62B1B" w:rsidRDefault="009B4DD5" w:rsidP="009B4DD5">
      <w:pPr>
        <w:pStyle w:val="Actions"/>
        <w:rPr>
          <w:lang w:val="en-US"/>
        </w:rPr>
      </w:pPr>
      <w:r w:rsidRPr="00F62B1B">
        <w:rPr>
          <w:b/>
          <w:u w:val="single"/>
          <w:lang w:val="en-US"/>
        </w:rPr>
        <w:t>Action</w:t>
      </w:r>
      <w:r w:rsidRPr="00F62B1B">
        <w:rPr>
          <w:lang w:val="en-US"/>
        </w:rPr>
        <w:t xml:space="preserve">: </w:t>
      </w:r>
    </w:p>
    <w:p w:rsidR="00931B48" w:rsidRDefault="002264BA" w:rsidP="009B4DD5">
      <w:pPr>
        <w:pStyle w:val="Actions"/>
        <w:rPr>
          <w:lang w:val="en-US"/>
        </w:rPr>
      </w:pPr>
      <w:r>
        <w:rPr>
          <w:lang w:val="en-US"/>
        </w:rPr>
        <w:t>A</w:t>
      </w:r>
      <w:r w:rsidR="006D78FA">
        <w:rPr>
          <w:lang w:val="en-US"/>
        </w:rPr>
        <w:t xml:space="preserve"> </w:t>
      </w:r>
      <w:r w:rsidR="00931B48">
        <w:rPr>
          <w:lang w:val="en-US"/>
        </w:rPr>
        <w:t>comment will be added in the GMP1 further to the Dublin SMPG</w:t>
      </w:r>
    </w:p>
    <w:p w:rsidR="002264BA" w:rsidRDefault="002264BA" w:rsidP="002264BA">
      <w:pPr>
        <w:pStyle w:val="Actions"/>
        <w:numPr>
          <w:ilvl w:val="0"/>
          <w:numId w:val="19"/>
        </w:numPr>
        <w:rPr>
          <w:highlight w:val="green"/>
        </w:rPr>
      </w:pPr>
      <w:r w:rsidRPr="00FA0149">
        <w:rPr>
          <w:highlight w:val="green"/>
        </w:rPr>
        <w:t xml:space="preserve">Update during April SMPG: </w:t>
      </w:r>
    </w:p>
    <w:bookmarkStart w:id="23" w:name="_MON_1556460149"/>
    <w:bookmarkEnd w:id="23"/>
    <w:p w:rsidR="002264BA" w:rsidRDefault="002264BA" w:rsidP="002264BA">
      <w:pPr>
        <w:pStyle w:val="Actions"/>
        <w:ind w:left="360"/>
        <w:rPr>
          <w:highlight w:val="green"/>
        </w:rPr>
      </w:pPr>
      <w:r>
        <w:object w:dxaOrig="1551" w:dyaOrig="991">
          <v:shape id="_x0000_i1036" type="#_x0000_t75" style="width:77.25pt;height:49.5pt" o:ole="">
            <v:imagedata r:id="rId34" o:title=""/>
          </v:shape>
          <o:OLEObject Type="Embed" ProgID="Word.Document.12" ShapeID="_x0000_i1036" DrawAspect="Icon" ObjectID="_1558804142" r:id="rId35">
            <o:FieldCodes>\s</o:FieldCodes>
          </o:OLEObject>
        </w:object>
      </w:r>
    </w:p>
    <w:p w:rsidR="00964659" w:rsidRPr="00964659" w:rsidRDefault="002264BA" w:rsidP="002264BA">
      <w:pPr>
        <w:rPr>
          <w:color w:val="FF0000"/>
          <w:highlight w:val="green"/>
        </w:rPr>
      </w:pPr>
      <w:r w:rsidRPr="00964659">
        <w:rPr>
          <w:color w:val="FF0000"/>
          <w:highlight w:val="green"/>
        </w:rPr>
        <w:t xml:space="preserve">1.  </w:t>
      </w:r>
      <w:r w:rsidRPr="00964659">
        <w:rPr>
          <w:color w:val="FF0000"/>
          <w:highlight w:val="green"/>
        </w:rPr>
        <w:t xml:space="preserve">Based on one Italian tax scenario (described in the input document here above), </w:t>
      </w:r>
      <w:r w:rsidRPr="00964659">
        <w:rPr>
          <w:color w:val="FF0000"/>
          <w:highlight w:val="green"/>
        </w:rPr>
        <w:t>the Corporate Actions SMPG</w:t>
      </w:r>
      <w:r w:rsidRPr="00964659">
        <w:rPr>
          <w:color w:val="FF0000"/>
          <w:highlight w:val="green"/>
        </w:rPr>
        <w:t xml:space="preserve"> agree</w:t>
      </w:r>
      <w:r w:rsidR="00964659" w:rsidRPr="00964659">
        <w:rPr>
          <w:color w:val="FF0000"/>
          <w:highlight w:val="green"/>
        </w:rPr>
        <w:t>d</w:t>
      </w:r>
      <w:r w:rsidRPr="00964659">
        <w:rPr>
          <w:color w:val="FF0000"/>
          <w:highlight w:val="green"/>
        </w:rPr>
        <w:t xml:space="preserve"> that Jacques’s proposal can work in this particular Italian business case</w:t>
      </w:r>
      <w:r w:rsidR="00964659" w:rsidRPr="00964659">
        <w:rPr>
          <w:color w:val="FF0000"/>
          <w:highlight w:val="green"/>
        </w:rPr>
        <w:t xml:space="preserve"> and </w:t>
      </w:r>
      <w:r w:rsidR="00964659" w:rsidRPr="00964659">
        <w:rPr>
          <w:color w:val="FF0000"/>
          <w:highlight w:val="green"/>
        </w:rPr>
        <w:t>recognize</w:t>
      </w:r>
      <w:r w:rsidR="00964659" w:rsidRPr="00964659">
        <w:rPr>
          <w:color w:val="FF0000"/>
          <w:highlight w:val="green"/>
        </w:rPr>
        <w:t>d</w:t>
      </w:r>
      <w:r w:rsidR="00964659" w:rsidRPr="00964659">
        <w:rPr>
          <w:color w:val="FF0000"/>
          <w:highlight w:val="green"/>
        </w:rPr>
        <w:t xml:space="preserve"> that this solution cannot be generalized for various tax scenarios in all markets (as there might be lots of variations), </w:t>
      </w:r>
    </w:p>
    <w:p w:rsidR="002264BA" w:rsidRPr="00964659" w:rsidRDefault="002264BA" w:rsidP="002264BA">
      <w:pPr>
        <w:rPr>
          <w:color w:val="FF0000"/>
          <w:highlight w:val="green"/>
        </w:rPr>
      </w:pPr>
      <w:r w:rsidRPr="00964659">
        <w:rPr>
          <w:color w:val="FF0000"/>
          <w:highlight w:val="green"/>
        </w:rPr>
        <w:t xml:space="preserve">Jacques proposal </w:t>
      </w:r>
      <w:r w:rsidR="00964659" w:rsidRPr="00964659">
        <w:rPr>
          <w:color w:val="FF0000"/>
          <w:highlight w:val="green"/>
        </w:rPr>
        <w:t>is</w:t>
      </w:r>
      <w:r w:rsidRPr="00964659">
        <w:rPr>
          <w:color w:val="FF0000"/>
          <w:highlight w:val="green"/>
        </w:rPr>
        <w:t xml:space="preserve"> to use Taxable and Tax Free codes. The Italian market agrees on the proposal. </w:t>
      </w:r>
    </w:p>
    <w:p w:rsidR="002264BA" w:rsidRPr="00964659" w:rsidRDefault="002264BA" w:rsidP="002264BA">
      <w:pPr>
        <w:rPr>
          <w:color w:val="FF0000"/>
        </w:rPr>
      </w:pPr>
      <w:r w:rsidRPr="00964659">
        <w:rPr>
          <w:color w:val="FF0000"/>
          <w:highlight w:val="green"/>
        </w:rPr>
        <w:t>South Africa has the same scenario and agrees with the presentation shown, but tax calculation is different in ZA.  So, the recipient needs to know the Market Practice for tax calculation on the specific market if they plan to STP the message.</w:t>
      </w:r>
    </w:p>
    <w:p w:rsidR="002264BA" w:rsidRDefault="002264BA" w:rsidP="002264BA">
      <w:pPr>
        <w:pStyle w:val="Decisions"/>
        <w:rPr>
          <w:b/>
          <w:u w:val="single"/>
        </w:rPr>
      </w:pPr>
    </w:p>
    <w:p w:rsidR="00964659" w:rsidRPr="00964659" w:rsidRDefault="00964659" w:rsidP="002264BA">
      <w:pPr>
        <w:pStyle w:val="Decisions"/>
        <w:rPr>
          <w:color w:val="FF0000"/>
          <w:highlight w:val="green"/>
        </w:rPr>
      </w:pPr>
      <w:r w:rsidRPr="00964659">
        <w:rPr>
          <w:color w:val="FF0000"/>
          <w:highlight w:val="green"/>
        </w:rPr>
        <w:t xml:space="preserve">2. </w:t>
      </w:r>
      <w:r w:rsidRPr="00964659">
        <w:rPr>
          <w:color w:val="FF0000"/>
          <w:highlight w:val="green"/>
        </w:rPr>
        <w:t>The Corporate Actions SMPG agreed to amend section 8.34</w:t>
      </w:r>
      <w:r w:rsidRPr="00964659">
        <w:rPr>
          <w:color w:val="FF0000"/>
          <w:highlight w:val="green"/>
        </w:rPr>
        <w:t xml:space="preserve"> of the GMP1 </w:t>
      </w:r>
      <w:r w:rsidRPr="00964659">
        <w:rPr>
          <w:color w:val="FF0000"/>
          <w:highlight w:val="green"/>
        </w:rPr>
        <w:t>to explain the potential scenarios that have been identified so far, and clarifying that there are more scenarios possible. Amendment is as follows:</w:t>
      </w:r>
    </w:p>
    <w:p w:rsidR="002264BA" w:rsidRPr="00964659" w:rsidRDefault="002264BA" w:rsidP="002264BA">
      <w:pPr>
        <w:rPr>
          <w:i/>
          <w:color w:val="FF0000"/>
          <w:highlight w:val="green"/>
        </w:rPr>
      </w:pPr>
      <w:r w:rsidRPr="00964659">
        <w:rPr>
          <w:i/>
          <w:color w:val="FF0000"/>
          <w:highlight w:val="green"/>
        </w:rPr>
        <w:t xml:space="preserve">“The method used to calculate a dividend net amount when both a withholding tax rate (TAXR) and second level tax rate (WITL) are provided in the event announcement message may be dependent upon local market practices. </w:t>
      </w:r>
    </w:p>
    <w:p w:rsidR="002264BA" w:rsidRPr="00964659" w:rsidRDefault="002264BA" w:rsidP="002264BA">
      <w:pPr>
        <w:rPr>
          <w:i/>
          <w:color w:val="FF0000"/>
          <w:highlight w:val="green"/>
        </w:rPr>
      </w:pPr>
      <w:r w:rsidRPr="00964659">
        <w:rPr>
          <w:i/>
          <w:color w:val="FF0000"/>
          <w:highlight w:val="green"/>
        </w:rPr>
        <w:t>2 cases identified so far:</w:t>
      </w:r>
    </w:p>
    <w:p w:rsidR="002264BA" w:rsidRPr="00964659" w:rsidRDefault="002264BA" w:rsidP="002264BA">
      <w:pPr>
        <w:pStyle w:val="ListParagraph"/>
        <w:numPr>
          <w:ilvl w:val="0"/>
          <w:numId w:val="22"/>
        </w:numPr>
        <w:spacing w:after="200" w:line="276" w:lineRule="auto"/>
        <w:contextualSpacing/>
        <w:rPr>
          <w:rFonts w:ascii="Times New Roman" w:hAnsi="Times New Roman"/>
          <w:i/>
          <w:color w:val="FF0000"/>
          <w:szCs w:val="24"/>
          <w:highlight w:val="green"/>
        </w:rPr>
      </w:pPr>
      <w:r w:rsidRPr="00964659">
        <w:rPr>
          <w:rFonts w:ascii="Times New Roman" w:hAnsi="Times New Roman"/>
          <w:i/>
          <w:color w:val="FF0000"/>
          <w:szCs w:val="24"/>
          <w:highlight w:val="green"/>
        </w:rPr>
        <w:t>the second level tax rate (WITL) applies only on the amount net of the withholding tax rate (TAXR) (i.e. the resulting amount after deduction of the withholding tax on the gross dividend amount).</w:t>
      </w:r>
    </w:p>
    <w:p w:rsidR="002264BA" w:rsidRPr="00964659" w:rsidRDefault="002264BA" w:rsidP="002264BA">
      <w:pPr>
        <w:pStyle w:val="ListParagraph"/>
        <w:numPr>
          <w:ilvl w:val="0"/>
          <w:numId w:val="22"/>
        </w:numPr>
        <w:spacing w:after="200" w:line="276" w:lineRule="auto"/>
        <w:contextualSpacing/>
        <w:rPr>
          <w:rFonts w:ascii="Times New Roman" w:hAnsi="Times New Roman"/>
          <w:i/>
          <w:color w:val="FF0000"/>
          <w:szCs w:val="24"/>
          <w:highlight w:val="green"/>
        </w:rPr>
      </w:pPr>
      <w:r w:rsidRPr="00964659">
        <w:rPr>
          <w:rFonts w:ascii="Times New Roman" w:hAnsi="Times New Roman"/>
          <w:i/>
          <w:color w:val="FF0000"/>
          <w:szCs w:val="24"/>
          <w:highlight w:val="green"/>
        </w:rPr>
        <w:t>Both tax rates applied on the gross dividend amount”</w:t>
      </w:r>
    </w:p>
    <w:p w:rsidR="002264BA" w:rsidRPr="00964659" w:rsidRDefault="00964659" w:rsidP="00964659">
      <w:pPr>
        <w:pStyle w:val="Heading1"/>
        <w:numPr>
          <w:ilvl w:val="0"/>
          <w:numId w:val="0"/>
        </w:numPr>
      </w:pPr>
      <w:bookmarkStart w:id="24" w:name="_Toc485062248"/>
      <w:r>
        <w:t>Other topics</w:t>
      </w:r>
      <w:bookmarkEnd w:id="24"/>
    </w:p>
    <w:p w:rsidR="00D25BE6" w:rsidRDefault="00D25BE6" w:rsidP="00EF7F89">
      <w:pPr>
        <w:pStyle w:val="Actions"/>
        <w:rPr>
          <w:lang w:val="en-US"/>
        </w:rPr>
      </w:pPr>
    </w:p>
    <w:p w:rsidR="002624D3" w:rsidRPr="002624D3" w:rsidRDefault="002624D3" w:rsidP="002624D3">
      <w:pPr>
        <w:pStyle w:val="Actions"/>
        <w:numPr>
          <w:ilvl w:val="0"/>
          <w:numId w:val="17"/>
        </w:numPr>
        <w:rPr>
          <w:b/>
          <w:color w:val="auto"/>
          <w:highlight w:val="green"/>
          <w:u w:val="single"/>
        </w:rPr>
      </w:pPr>
      <w:r w:rsidRPr="002624D3">
        <w:rPr>
          <w:b/>
          <w:color w:val="auto"/>
          <w:highlight w:val="green"/>
          <w:u w:val="single"/>
        </w:rPr>
        <w:t xml:space="preserve">Question from </w:t>
      </w:r>
      <w:r>
        <w:rPr>
          <w:b/>
          <w:color w:val="auto"/>
          <w:highlight w:val="green"/>
          <w:u w:val="single"/>
        </w:rPr>
        <w:t>Delphine related to GMP1</w:t>
      </w:r>
    </w:p>
    <w:p w:rsidR="00561405" w:rsidRDefault="00561405" w:rsidP="00561405">
      <w:pPr>
        <w:pStyle w:val="Actions"/>
        <w:jc w:val="left"/>
        <w:rPr>
          <w:color w:val="auto"/>
        </w:rPr>
      </w:pPr>
    </w:p>
    <w:p w:rsidR="00931B48" w:rsidRDefault="00561405" w:rsidP="00561405">
      <w:pPr>
        <w:pStyle w:val="Actions"/>
        <w:jc w:val="left"/>
        <w:rPr>
          <w:lang w:val="en-US"/>
        </w:rPr>
      </w:pPr>
      <w:r w:rsidRPr="00561405">
        <w:rPr>
          <w:color w:val="auto"/>
        </w:rPr>
        <w:t xml:space="preserve">If a client has an omnibus account for which he provided a breakdown ending in several tax rates applicable. </w:t>
      </w:r>
      <w:r w:rsidRPr="00561405">
        <w:rPr>
          <w:color w:val="auto"/>
        </w:rPr>
        <w:br/>
        <w:t xml:space="preserve">We are booking the credit for the full account in one movement ==&gt; a single MT566 should be reported. </w:t>
      </w:r>
      <w:r w:rsidRPr="00561405">
        <w:rPr>
          <w:color w:val="auto"/>
        </w:rPr>
        <w:br/>
        <w:t>Can we report several cash moves to be able to provide the breakdown?</w:t>
      </w:r>
      <w:r w:rsidRPr="00561405">
        <w:rPr>
          <w:color w:val="auto"/>
          <w:lang w:val="en-US"/>
        </w:rPr>
        <w:t xml:space="preserve"> </w:t>
      </w:r>
      <w:r w:rsidRPr="00561405">
        <w:rPr>
          <w:color w:val="auto"/>
          <w:lang w:val="en-US"/>
        </w:rPr>
        <w:br/>
      </w:r>
    </w:p>
    <w:p w:rsidR="00561405" w:rsidRPr="00561405" w:rsidRDefault="00561405" w:rsidP="00561405">
      <w:pPr>
        <w:pStyle w:val="Actions"/>
        <w:jc w:val="left"/>
        <w:rPr>
          <w:color w:val="auto"/>
          <w:u w:val="single"/>
        </w:rPr>
      </w:pPr>
      <w:r w:rsidRPr="00561405">
        <w:rPr>
          <w:color w:val="auto"/>
          <w:u w:val="single"/>
        </w:rPr>
        <w:t>Comments during March call:</w:t>
      </w:r>
    </w:p>
    <w:p w:rsidR="00931B48" w:rsidRDefault="00561405" w:rsidP="00EF7F89">
      <w:pPr>
        <w:pStyle w:val="Actions"/>
        <w:rPr>
          <w:color w:val="auto"/>
        </w:rPr>
      </w:pPr>
      <w:r w:rsidRPr="00561405">
        <w:rPr>
          <w:color w:val="auto"/>
        </w:rPr>
        <w:t>Reminder: the current rule is 1 posting = 1 MT566</w:t>
      </w:r>
    </w:p>
    <w:p w:rsidR="00561405" w:rsidRDefault="00561405" w:rsidP="00EF7F89">
      <w:pPr>
        <w:pStyle w:val="Actions"/>
        <w:rPr>
          <w:color w:val="auto"/>
        </w:rPr>
      </w:pPr>
      <w:r>
        <w:rPr>
          <w:color w:val="auto"/>
        </w:rPr>
        <w:t>Narelle explained that in Australia, they can split between Frank and Unfrank.</w:t>
      </w:r>
    </w:p>
    <w:p w:rsidR="00561405" w:rsidRDefault="00561405" w:rsidP="00EF7F89">
      <w:pPr>
        <w:pStyle w:val="Actions"/>
        <w:rPr>
          <w:color w:val="auto"/>
        </w:rPr>
      </w:pPr>
      <w:r>
        <w:rPr>
          <w:color w:val="auto"/>
        </w:rPr>
        <w:t xml:space="preserve">So more generally, what about </w:t>
      </w:r>
      <w:r>
        <w:rPr>
          <w:rStyle w:val="shorttext"/>
          <w:color w:val="222222"/>
          <w:lang w:val="en"/>
        </w:rPr>
        <w:t>repeatability</w:t>
      </w:r>
      <w:r>
        <w:rPr>
          <w:color w:val="auto"/>
        </w:rPr>
        <w:t xml:space="preserve"> of qualifiers? TAXR is not repeatable.</w:t>
      </w:r>
    </w:p>
    <w:p w:rsidR="00561405" w:rsidRDefault="00561405" w:rsidP="00EF7F89">
      <w:pPr>
        <w:pStyle w:val="Actions"/>
        <w:rPr>
          <w:color w:val="auto"/>
        </w:rPr>
      </w:pPr>
      <w:r>
        <w:rPr>
          <w:color w:val="auto"/>
        </w:rPr>
        <w:t xml:space="preserve">We can also refer to the question from the Polish Market on the Pre-Advice of Cash: CA362 </w:t>
      </w:r>
    </w:p>
    <w:p w:rsidR="00561405" w:rsidRDefault="006D78FA" w:rsidP="00EF7F89">
      <w:pPr>
        <w:pStyle w:val="Actions"/>
        <w:rPr>
          <w:color w:val="auto"/>
        </w:rPr>
      </w:pPr>
      <w:r>
        <w:rPr>
          <w:color w:val="auto"/>
        </w:rPr>
        <w:t>Germany will probably have a similar case next year (due to changes in the Tax law).</w:t>
      </w:r>
    </w:p>
    <w:p w:rsidR="006D78FA" w:rsidRPr="00F62B1B" w:rsidRDefault="006D78FA" w:rsidP="006D78FA">
      <w:pPr>
        <w:pStyle w:val="Actions"/>
        <w:rPr>
          <w:lang w:val="en-US"/>
        </w:rPr>
      </w:pPr>
      <w:r w:rsidRPr="00F62B1B">
        <w:rPr>
          <w:b/>
          <w:u w:val="single"/>
          <w:lang w:val="en-US"/>
        </w:rPr>
        <w:t>Action</w:t>
      </w:r>
      <w:r w:rsidRPr="00F62B1B">
        <w:rPr>
          <w:lang w:val="en-US"/>
        </w:rPr>
        <w:t xml:space="preserve">: </w:t>
      </w:r>
    </w:p>
    <w:p w:rsidR="006D78FA" w:rsidRDefault="006D78FA" w:rsidP="006D78FA">
      <w:pPr>
        <w:pStyle w:val="Actions"/>
        <w:rPr>
          <w:lang w:val="en-US"/>
        </w:rPr>
      </w:pPr>
      <w:r>
        <w:rPr>
          <w:lang w:val="en-US"/>
        </w:rPr>
        <w:t>Subject to be investigated by the group.</w:t>
      </w:r>
    </w:p>
    <w:p w:rsidR="00AB1053" w:rsidRDefault="00AB1053" w:rsidP="00EF7F89">
      <w:pPr>
        <w:pStyle w:val="Actions"/>
        <w:rPr>
          <w:color w:val="auto"/>
          <w:u w:val="single"/>
        </w:rPr>
      </w:pPr>
    </w:p>
    <w:p w:rsidR="006D78FA" w:rsidRPr="00964659" w:rsidRDefault="006D78FA" w:rsidP="00940B62">
      <w:pPr>
        <w:pStyle w:val="Actions"/>
        <w:numPr>
          <w:ilvl w:val="0"/>
          <w:numId w:val="17"/>
        </w:numPr>
        <w:rPr>
          <w:b/>
          <w:color w:val="auto"/>
          <w:highlight w:val="green"/>
          <w:u w:val="single"/>
        </w:rPr>
      </w:pPr>
      <w:r w:rsidRPr="00964659">
        <w:rPr>
          <w:b/>
          <w:color w:val="auto"/>
          <w:highlight w:val="green"/>
          <w:u w:val="single"/>
        </w:rPr>
        <w:t>Information about the German Market</w:t>
      </w:r>
    </w:p>
    <w:p w:rsidR="006D78FA" w:rsidRDefault="006D78FA" w:rsidP="00EF7F89">
      <w:pPr>
        <w:pStyle w:val="Actions"/>
        <w:rPr>
          <w:color w:val="auto"/>
          <w:u w:val="single"/>
        </w:rPr>
      </w:pPr>
    </w:p>
    <w:p w:rsidR="006D78FA" w:rsidRDefault="006D78FA" w:rsidP="00EF7F89">
      <w:pPr>
        <w:pStyle w:val="Actions"/>
        <w:rPr>
          <w:color w:val="auto"/>
        </w:rPr>
      </w:pPr>
      <w:r w:rsidRPr="006D78FA">
        <w:rPr>
          <w:color w:val="auto"/>
        </w:rPr>
        <w:t>Thomas confirmed that new tax rules are arriving in Germany according to the change of the Tax law</w:t>
      </w:r>
      <w:r w:rsidR="00940B62">
        <w:rPr>
          <w:color w:val="auto"/>
        </w:rPr>
        <w:t xml:space="preserve"> (known as </w:t>
      </w:r>
      <w:r w:rsidR="00940B62" w:rsidRPr="00940B62">
        <w:rPr>
          <w:color w:val="auto"/>
        </w:rPr>
        <w:t>new regulation “InvStG</w:t>
      </w:r>
      <w:r w:rsidR="00940B62">
        <w:rPr>
          <w:color w:val="auto"/>
        </w:rPr>
        <w:t>”)</w:t>
      </w:r>
      <w:r>
        <w:rPr>
          <w:color w:val="auto"/>
        </w:rPr>
        <w:t>.</w:t>
      </w:r>
    </w:p>
    <w:p w:rsidR="006D78FA" w:rsidRPr="006D78FA" w:rsidRDefault="006D78FA" w:rsidP="00EF7F89">
      <w:pPr>
        <w:pStyle w:val="Actions"/>
        <w:rPr>
          <w:color w:val="auto"/>
        </w:rPr>
      </w:pPr>
      <w:r>
        <w:rPr>
          <w:color w:val="auto"/>
        </w:rPr>
        <w:t>For example, the Income on funds</w:t>
      </w:r>
      <w:r w:rsidR="00CD055B">
        <w:rPr>
          <w:color w:val="auto"/>
        </w:rPr>
        <w:t xml:space="preserve"> will be removed: no more taxation in Germany in 2018 i.e. the current Double Taxation that is currently in place.</w:t>
      </w:r>
      <w:r w:rsidRPr="006D78FA">
        <w:rPr>
          <w:color w:val="auto"/>
        </w:rPr>
        <w:t xml:space="preserve"> </w:t>
      </w:r>
    </w:p>
    <w:p w:rsidR="006D78FA" w:rsidRDefault="006D78FA" w:rsidP="00EF7F89">
      <w:pPr>
        <w:pStyle w:val="Actions"/>
        <w:rPr>
          <w:color w:val="auto"/>
          <w:u w:val="single"/>
        </w:rPr>
      </w:pPr>
    </w:p>
    <w:p w:rsidR="00EF7F89" w:rsidRPr="002C4210" w:rsidRDefault="00EF7F89" w:rsidP="00EF7F89">
      <w:pPr>
        <w:pStyle w:val="Actions"/>
        <w:rPr>
          <w:color w:val="auto"/>
          <w:u w:val="single"/>
        </w:rPr>
      </w:pPr>
      <w:r w:rsidRPr="002C4210">
        <w:rPr>
          <w:color w:val="auto"/>
          <w:u w:val="single"/>
        </w:rPr>
        <w:t>T2S</w:t>
      </w:r>
    </w:p>
    <w:p w:rsidR="00EF7F89" w:rsidRPr="002C4210" w:rsidRDefault="00EF7F89" w:rsidP="00EF7F89">
      <w:pPr>
        <w:pStyle w:val="Actions"/>
        <w:rPr>
          <w:color w:val="auto"/>
          <w:lang w:val="en-AU"/>
        </w:rPr>
      </w:pPr>
      <w:r w:rsidRPr="002C4210">
        <w:rPr>
          <w:color w:val="auto"/>
          <w:lang w:val="en-AU"/>
        </w:rPr>
        <w:t>Thomas point</w:t>
      </w:r>
      <w:r>
        <w:rPr>
          <w:color w:val="auto"/>
          <w:lang w:val="en-AU"/>
        </w:rPr>
        <w:t>ed</w:t>
      </w:r>
      <w:r w:rsidRPr="002C4210">
        <w:rPr>
          <w:color w:val="auto"/>
          <w:lang w:val="en-AU"/>
        </w:rPr>
        <w:t xml:space="preserve"> out that </w:t>
      </w:r>
      <w:r>
        <w:rPr>
          <w:color w:val="auto"/>
          <w:lang w:val="en-AU"/>
        </w:rPr>
        <w:t>due to T2S Harmonization, several subjects are on the table. Couldn’t we take advantage of this moving period to harmonize some Tax topics via T2S working groups, the CAJWG or any other industry working groups?</w:t>
      </w:r>
    </w:p>
    <w:p w:rsidR="00EF7F89" w:rsidRPr="002C4210" w:rsidRDefault="00EF7F89" w:rsidP="00EF7F89">
      <w:pPr>
        <w:pStyle w:val="Actions"/>
        <w:rPr>
          <w:color w:val="auto"/>
          <w:u w:val="single"/>
        </w:rPr>
      </w:pPr>
      <w:r w:rsidRPr="002C4210">
        <w:rPr>
          <w:color w:val="auto"/>
          <w:u w:val="single"/>
        </w:rPr>
        <w:t>CMU</w:t>
      </w:r>
      <w:r>
        <w:rPr>
          <w:color w:val="auto"/>
          <w:u w:val="single"/>
        </w:rPr>
        <w:t xml:space="preserve"> (Capital Markets Union)</w:t>
      </w:r>
    </w:p>
    <w:p w:rsidR="00EF7F89" w:rsidRDefault="00EF7F89" w:rsidP="00EF7F89">
      <w:pPr>
        <w:pStyle w:val="Actions"/>
        <w:rPr>
          <w:color w:val="auto"/>
          <w:lang w:val="en-AU"/>
        </w:rPr>
      </w:pPr>
      <w:r w:rsidRPr="00BB0562">
        <w:rPr>
          <w:color w:val="auto"/>
          <w:lang w:val="en-AU"/>
        </w:rPr>
        <w:t xml:space="preserve">Mari </w:t>
      </w:r>
      <w:r>
        <w:rPr>
          <w:color w:val="auto"/>
          <w:lang w:val="en-AU"/>
        </w:rPr>
        <w:t>shared with the group that there is an European initiative: the CMU action plan and this initiative includes the resolution of the last Giovannini barriers : those related to Taxes.</w:t>
      </w:r>
    </w:p>
    <w:p w:rsidR="00E60462" w:rsidRDefault="00E60462" w:rsidP="00EF7F89">
      <w:pPr>
        <w:pStyle w:val="Heading1"/>
        <w:numPr>
          <w:ilvl w:val="0"/>
          <w:numId w:val="0"/>
        </w:numPr>
      </w:pPr>
      <w:bookmarkStart w:id="25" w:name="_Toc485062249"/>
      <w:r>
        <w:lastRenderedPageBreak/>
        <w:t xml:space="preserve">Next </w:t>
      </w:r>
      <w:r w:rsidR="00AC3C0E">
        <w:t>Conference Call</w:t>
      </w:r>
      <w:r w:rsidR="003E1768">
        <w:t>s</w:t>
      </w:r>
      <w:bookmarkEnd w:id="25"/>
    </w:p>
    <w:p w:rsidR="00AF12D0" w:rsidRDefault="00AF12D0" w:rsidP="0026493B">
      <w:pPr>
        <w:pStyle w:val="ListParagraph"/>
        <w:rPr>
          <w:bCs/>
          <w:iCs/>
          <w:sz w:val="20"/>
        </w:rPr>
      </w:pPr>
    </w:p>
    <w:p w:rsidR="000842AD" w:rsidRPr="000842AD" w:rsidRDefault="000842AD" w:rsidP="00270D0A">
      <w:r>
        <w:t>Thursday 15</w:t>
      </w:r>
      <w:r w:rsidRPr="000842AD">
        <w:rPr>
          <w:vertAlign w:val="superscript"/>
        </w:rPr>
        <w:t>th</w:t>
      </w:r>
      <w:r>
        <w:t xml:space="preserve"> June</w:t>
      </w:r>
    </w:p>
    <w:p w:rsidR="002762F9" w:rsidRPr="00337524" w:rsidRDefault="002762F9" w:rsidP="0018110E">
      <w:pPr>
        <w:rPr>
          <w:bCs/>
          <w:iCs/>
        </w:rPr>
      </w:pPr>
    </w:p>
    <w:p w:rsidR="00FC0782" w:rsidRPr="00FC0782" w:rsidRDefault="00FC0782" w:rsidP="0018110E">
      <w:pPr>
        <w:rPr>
          <w:bCs/>
          <w:iCs/>
        </w:rPr>
      </w:pPr>
      <w:r w:rsidRPr="00FC0782">
        <w:rPr>
          <w:bCs/>
          <w:iCs/>
        </w:rPr>
        <w:t xml:space="preserve">All calls </w:t>
      </w:r>
      <w:r w:rsidRPr="00E277AC">
        <w:rPr>
          <w:lang w:val="en-AU"/>
        </w:rPr>
        <w:t>from 2 to 4 pm CET</w:t>
      </w:r>
    </w:p>
    <w:p w:rsidR="002A6142" w:rsidRPr="00FC0782" w:rsidRDefault="002A6142" w:rsidP="0018110E">
      <w:pPr>
        <w:rPr>
          <w:bCs/>
          <w:iCs/>
        </w:rPr>
      </w:pPr>
    </w:p>
    <w:bookmarkEnd w:id="4"/>
    <w:bookmarkEnd w:id="5"/>
    <w:p w:rsidR="00E60462" w:rsidRPr="00337524" w:rsidRDefault="00E60462" w:rsidP="0018110E">
      <w:pPr>
        <w:pStyle w:val="BlockText"/>
        <w:jc w:val="center"/>
        <w:rPr>
          <w:b/>
        </w:rPr>
      </w:pPr>
      <w:r>
        <w:rPr>
          <w:b/>
        </w:rPr>
        <w:t xml:space="preserve">------------------------  </w:t>
      </w:r>
      <w:r w:rsidRPr="003C599B">
        <w:rPr>
          <w:b/>
        </w:rPr>
        <w:t xml:space="preserve">End of the </w:t>
      </w:r>
      <w:r>
        <w:rPr>
          <w:b/>
        </w:rPr>
        <w:t>Meeting Minutes  -----------------</w:t>
      </w:r>
    </w:p>
    <w:sectPr w:rsidR="00E60462" w:rsidRPr="00337524" w:rsidSect="00E667E9">
      <w:headerReference w:type="default" r:id="rId36"/>
      <w:footerReference w:type="default" r:id="rId37"/>
      <w:pgSz w:w="11907" w:h="16839" w:code="9"/>
      <w:pgMar w:top="1296" w:right="1350"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149" w:rsidRDefault="00FA0149" w:rsidP="00592037">
      <w:r>
        <w:separator/>
      </w:r>
    </w:p>
    <w:p w:rsidR="00FA0149" w:rsidRDefault="00FA0149" w:rsidP="00592037"/>
  </w:endnote>
  <w:endnote w:type="continuationSeparator" w:id="0">
    <w:p w:rsidR="00FA0149" w:rsidRDefault="00FA0149" w:rsidP="00592037">
      <w:r>
        <w:continuationSeparator/>
      </w:r>
    </w:p>
    <w:p w:rsidR="00FA0149" w:rsidRDefault="00FA0149"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Webdings">
    <w:panose1 w:val="05030102010509060703"/>
    <w:charset w:val="02"/>
    <w:family w:val="roman"/>
    <w:pitch w:val="variable"/>
    <w:sig w:usb0="00000000" w:usb1="10000000" w:usb2="00000000" w:usb3="00000000" w:csb0="80000000" w:csb1="00000000"/>
  </w:font>
  <w:font w:name="Default Sans Sarif">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149" w:rsidRDefault="00FA0149">
    <w:pPr>
      <w:pStyle w:val="Footer"/>
    </w:pPr>
    <w:r>
      <w:tab/>
      <w:t xml:space="preserve">Page </w:t>
    </w:r>
    <w:r>
      <w:fldChar w:fldCharType="begin"/>
    </w:r>
    <w:r>
      <w:instrText xml:space="preserve"> PAGE   \* MERGEFORMAT </w:instrText>
    </w:r>
    <w:r>
      <w:fldChar w:fldCharType="separate"/>
    </w:r>
    <w:r w:rsidR="00964659">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149" w:rsidRDefault="00FA0149" w:rsidP="00592037">
      <w:r>
        <w:separator/>
      </w:r>
    </w:p>
    <w:p w:rsidR="00FA0149" w:rsidRDefault="00FA0149" w:rsidP="00592037"/>
  </w:footnote>
  <w:footnote w:type="continuationSeparator" w:id="0">
    <w:p w:rsidR="00FA0149" w:rsidRDefault="00FA0149" w:rsidP="00592037">
      <w:r>
        <w:continuationSeparator/>
      </w:r>
    </w:p>
    <w:p w:rsidR="00FA0149" w:rsidRDefault="00FA0149"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149" w:rsidRDefault="00FA0149" w:rsidP="00B747C8">
    <w:pPr>
      <w:rPr>
        <w:b/>
      </w:rPr>
    </w:pPr>
    <w:r w:rsidRPr="00284B42">
      <w:rPr>
        <w:b/>
      </w:rPr>
      <w:t>SMPG</w:t>
    </w:r>
    <w:r>
      <w:rPr>
        <w:b/>
      </w:rPr>
      <w:t xml:space="preserve"> TAX Sub-group – Conference Call Minutes</w:t>
    </w:r>
    <w:r w:rsidRPr="00344965">
      <w:rPr>
        <w:b/>
      </w:rPr>
      <w:t xml:space="preserve"> </w:t>
    </w:r>
    <w:r>
      <w:rPr>
        <w:b/>
      </w:rPr>
      <w:t>March 16</w:t>
    </w:r>
    <w:r w:rsidRPr="00337524">
      <w:rPr>
        <w:b/>
        <w:vertAlign w:val="superscript"/>
      </w:rPr>
      <w:t>th</w:t>
    </w:r>
    <w:r>
      <w:rPr>
        <w:b/>
      </w:rPr>
      <w:t>, 2017</w:t>
    </w:r>
  </w:p>
  <w:p w:rsidR="00FA0149" w:rsidRPr="00B747C8" w:rsidRDefault="00FA0149" w:rsidP="00B747C8">
    <w:pPr>
      <w:ind w:left="6480" w:firstLine="720"/>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F3B18"/>
    <w:multiLevelType w:val="multilevel"/>
    <w:tmpl w:val="2826C680"/>
    <w:lvl w:ilvl="0">
      <w:start w:val="1"/>
      <w:numFmt w:val="decimal"/>
      <w:pStyle w:val="Heading1"/>
      <w:lvlText w:val="%1."/>
      <w:lvlJc w:val="left"/>
      <w:pPr>
        <w:ind w:left="540" w:hanging="360"/>
      </w:pPr>
      <w:rPr>
        <w:rFonts w:cs="Times New Roman" w:hint="default"/>
        <w:lang w:val="en-GB"/>
      </w:rPr>
    </w:lvl>
    <w:lvl w:ilvl="1">
      <w:start w:val="1"/>
      <w:numFmt w:val="decimal"/>
      <w:isLgl/>
      <w:lvlText w:val="%1.%2"/>
      <w:lvlJc w:val="left"/>
      <w:pPr>
        <w:ind w:left="648" w:hanging="360"/>
      </w:pPr>
      <w:rPr>
        <w:rFonts w:cs="Times New Roman" w:hint="default"/>
      </w:rPr>
    </w:lvl>
    <w:lvl w:ilvl="2">
      <w:start w:val="1"/>
      <w:numFmt w:val="decimal"/>
      <w:isLgl/>
      <w:lvlText w:val="%1.%2.%3"/>
      <w:lvlJc w:val="left"/>
      <w:pPr>
        <w:ind w:left="1116" w:hanging="720"/>
      </w:pPr>
      <w:rPr>
        <w:rFonts w:cs="Times New Roman" w:hint="default"/>
      </w:rPr>
    </w:lvl>
    <w:lvl w:ilvl="3">
      <w:start w:val="1"/>
      <w:numFmt w:val="decimal"/>
      <w:isLgl/>
      <w:lvlText w:val="%1.%2.%3.%4"/>
      <w:lvlJc w:val="left"/>
      <w:pPr>
        <w:ind w:left="1224" w:hanging="720"/>
      </w:pPr>
      <w:rPr>
        <w:rFonts w:cs="Times New Roman" w:hint="default"/>
      </w:rPr>
    </w:lvl>
    <w:lvl w:ilvl="4">
      <w:start w:val="1"/>
      <w:numFmt w:val="decimal"/>
      <w:isLgl/>
      <w:lvlText w:val="%1.%2.%3.%4.%5"/>
      <w:lvlJc w:val="left"/>
      <w:pPr>
        <w:ind w:left="1692"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268" w:hanging="1440"/>
      </w:pPr>
      <w:rPr>
        <w:rFonts w:cs="Times New Roman" w:hint="default"/>
      </w:rPr>
    </w:lvl>
    <w:lvl w:ilvl="7">
      <w:start w:val="1"/>
      <w:numFmt w:val="decimal"/>
      <w:isLgl/>
      <w:lvlText w:val="%1.%2.%3.%4.%5.%6.%7.%8"/>
      <w:lvlJc w:val="left"/>
      <w:pPr>
        <w:ind w:left="2376" w:hanging="1440"/>
      </w:pPr>
      <w:rPr>
        <w:rFonts w:cs="Times New Roman" w:hint="default"/>
      </w:rPr>
    </w:lvl>
    <w:lvl w:ilvl="8">
      <w:start w:val="1"/>
      <w:numFmt w:val="decimal"/>
      <w:isLgl/>
      <w:lvlText w:val="%1.%2.%3.%4.%5.%6.%7.%8.%9"/>
      <w:lvlJc w:val="left"/>
      <w:pPr>
        <w:ind w:left="2844" w:hanging="1800"/>
      </w:pPr>
      <w:rPr>
        <w:rFonts w:cs="Times New Roman" w:hint="default"/>
      </w:rPr>
    </w:lvl>
  </w:abstractNum>
  <w:abstractNum w:abstractNumId="1">
    <w:nsid w:val="1B1D548E"/>
    <w:multiLevelType w:val="multilevel"/>
    <w:tmpl w:val="419EC6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20B31B52"/>
    <w:multiLevelType w:val="multilevel"/>
    <w:tmpl w:val="B500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1E33A17"/>
    <w:multiLevelType w:val="multilevel"/>
    <w:tmpl w:val="7C2C3BE8"/>
    <w:styleLink w:val="CurrentList1"/>
    <w:lvl w:ilvl="0">
      <w:start w:val="1"/>
      <w:numFmt w:val="decimal"/>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327744EC"/>
    <w:multiLevelType w:val="hybridMultilevel"/>
    <w:tmpl w:val="5AEC6752"/>
    <w:lvl w:ilvl="0" w:tplc="69242052">
      <w:numFmt w:val="bullet"/>
      <w:lvlText w:val=""/>
      <w:lvlJc w:val="left"/>
      <w:pPr>
        <w:ind w:left="360" w:hanging="360"/>
      </w:pPr>
      <w:rPr>
        <w:rFonts w:ascii="Wingdings" w:eastAsia="Times New Roman"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44162CE"/>
    <w:multiLevelType w:val="hybridMultilevel"/>
    <w:tmpl w:val="76E215E0"/>
    <w:lvl w:ilvl="0" w:tplc="7216290E">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96067B5"/>
    <w:multiLevelType w:val="hybridMultilevel"/>
    <w:tmpl w:val="5336C2BA"/>
    <w:lvl w:ilvl="0" w:tplc="056A11F4">
      <w:start w:val="1"/>
      <w:numFmt w:val="decimal"/>
      <w:pStyle w:val="TableGri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A9F1D90"/>
    <w:multiLevelType w:val="singleLevel"/>
    <w:tmpl w:val="B3B2643C"/>
    <w:lvl w:ilvl="0">
      <w:start w:val="1"/>
      <w:numFmt w:val="bullet"/>
      <w:pStyle w:val="Liste21"/>
      <w:lvlText w:val=""/>
      <w:lvlJc w:val="left"/>
      <w:pPr>
        <w:tabs>
          <w:tab w:val="num" w:pos="360"/>
        </w:tabs>
        <w:ind w:left="360" w:hanging="360"/>
      </w:pPr>
      <w:rPr>
        <w:rFonts w:ascii="Symbol" w:hAnsi="Symbol" w:hint="default"/>
      </w:rPr>
    </w:lvl>
  </w:abstractNum>
  <w:abstractNum w:abstractNumId="8">
    <w:nsid w:val="453A7612"/>
    <w:multiLevelType w:val="hybridMultilevel"/>
    <w:tmpl w:val="D9729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D1F57CA"/>
    <w:multiLevelType w:val="hybridMultilevel"/>
    <w:tmpl w:val="BA9C61AA"/>
    <w:lvl w:ilvl="0" w:tplc="53C893E2">
      <w:numFmt w:val="bullet"/>
      <w:lvlText w:val=""/>
      <w:lvlJc w:val="left"/>
      <w:pPr>
        <w:ind w:left="360" w:hanging="360"/>
      </w:pPr>
      <w:rPr>
        <w:rFonts w:ascii="Wingdings" w:eastAsia="Times New Roman"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E205A43"/>
    <w:multiLevelType w:val="hybridMultilevel"/>
    <w:tmpl w:val="380EE3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E77B73"/>
    <w:multiLevelType w:val="hybridMultilevel"/>
    <w:tmpl w:val="E2E4D088"/>
    <w:lvl w:ilvl="0" w:tplc="8F227EEC">
      <w:start w:val="1"/>
      <w:numFmt w:val="decimal"/>
      <w:pStyle w:val="StyleListe2After24p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5A5548B0"/>
    <w:multiLevelType w:val="multilevel"/>
    <w:tmpl w:val="2800D31E"/>
    <w:lvl w:ilvl="0">
      <w:start w:val="1"/>
      <w:numFmt w:val="upperRoman"/>
      <w:pStyle w:val="ListBullet"/>
      <w:suff w:val="space"/>
      <w:lvlText w:val="%1."/>
      <w:lvlJc w:val="left"/>
      <w:rPr>
        <w:rFonts w:cs="Times New Roman" w:hint="default"/>
      </w:rPr>
    </w:lvl>
    <w:lvl w:ilvl="1">
      <w:start w:val="1"/>
      <w:numFmt w:val="upperLetter"/>
      <w:suff w:val="space"/>
      <w:lvlText w:val="%2."/>
      <w:lvlJc w:val="left"/>
      <w:pPr>
        <w:ind w:left="680" w:hanging="680"/>
      </w:pPr>
      <w:rPr>
        <w:rFonts w:cs="Times New Roman" w:hint="default"/>
      </w:rPr>
    </w:lvl>
    <w:lvl w:ilvl="2">
      <w:start w:val="51"/>
      <w:numFmt w:val="decimal"/>
      <w:pStyle w:val="Heading3"/>
      <w:suff w:val="space"/>
      <w:lvlText w:val="CA0%3."/>
      <w:lvlJc w:val="left"/>
      <w:pPr>
        <w:ind w:left="510" w:hanging="510"/>
      </w:pPr>
      <w:rPr>
        <w:rFonts w:cs="Times New Roman" w:hint="default"/>
      </w:rPr>
    </w:lvl>
    <w:lvl w:ilvl="3">
      <w:start w:val="1"/>
      <w:numFmt w:val="lowerRoman"/>
      <w:suff w:val="space"/>
      <w:lvlText w:val="%4. "/>
      <w:lvlJc w:val="left"/>
      <w:pPr>
        <w:ind w:left="794" w:hanging="794"/>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3">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B950D87"/>
    <w:multiLevelType w:val="multilevel"/>
    <w:tmpl w:val="72246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727F3B6E"/>
    <w:multiLevelType w:val="multilevel"/>
    <w:tmpl w:val="67A822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738052AF"/>
    <w:multiLevelType w:val="hybridMultilevel"/>
    <w:tmpl w:val="01BCFC6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76DD5F06"/>
    <w:multiLevelType w:val="hybridMultilevel"/>
    <w:tmpl w:val="380EE3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544B82"/>
    <w:multiLevelType w:val="hybridMultilevel"/>
    <w:tmpl w:val="86D649D6"/>
    <w:lvl w:ilvl="0" w:tplc="8FE0097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D667DE1"/>
    <w:multiLevelType w:val="hybridMultilevel"/>
    <w:tmpl w:val="D6622F4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7"/>
  </w:num>
  <w:num w:numId="3">
    <w:abstractNumId w:val="3"/>
  </w:num>
  <w:num w:numId="4">
    <w:abstractNumId w:val="0"/>
  </w:num>
  <w:num w:numId="5">
    <w:abstractNumId w:val="14"/>
  </w:num>
  <w:num w:numId="6">
    <w:abstractNumId w:val="13"/>
  </w:num>
  <w:num w:numId="7">
    <w:abstractNumId w:val="11"/>
  </w:num>
  <w:num w:numId="8">
    <w:abstractNumId w:val="5"/>
  </w:num>
  <w:num w:numId="9">
    <w:abstractNumId w:val="19"/>
  </w:num>
  <w:num w:numId="10">
    <w:abstractNumId w:val="17"/>
  </w:num>
  <w:num w:numId="11">
    <w:abstractNumId w:val="2"/>
  </w:num>
  <w:num w:numId="12">
    <w:abstractNumId w:val="15"/>
  </w:num>
  <w:num w:numId="13">
    <w:abstractNumId w:val="16"/>
  </w:num>
  <w:num w:numId="14">
    <w:abstractNumId w:val="4"/>
  </w:num>
  <w:num w:numId="15">
    <w:abstractNumId w:val="1"/>
  </w:num>
  <w:num w:numId="16">
    <w:abstractNumId w:val="20"/>
  </w:num>
  <w:num w:numId="17">
    <w:abstractNumId w:val="18"/>
  </w:num>
  <w:num w:numId="18">
    <w:abstractNumId w:val="10"/>
  </w:num>
  <w:num w:numId="19">
    <w:abstractNumId w:val="9"/>
  </w:num>
  <w:num w:numId="20">
    <w:abstractNumId w:val="0"/>
  </w:num>
  <w:num w:numId="21">
    <w:abstractNumId w:val="6"/>
  </w:num>
  <w:num w:numId="22">
    <w:abstractNumId w:val="8"/>
  </w:num>
  <w:num w:numId="23">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645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F0"/>
    <w:rsid w:val="0000073F"/>
    <w:rsid w:val="00001971"/>
    <w:rsid w:val="0000241A"/>
    <w:rsid w:val="00002D65"/>
    <w:rsid w:val="00002D80"/>
    <w:rsid w:val="000051B3"/>
    <w:rsid w:val="00005A1F"/>
    <w:rsid w:val="00005B96"/>
    <w:rsid w:val="0001004E"/>
    <w:rsid w:val="00010813"/>
    <w:rsid w:val="0001198E"/>
    <w:rsid w:val="000133D4"/>
    <w:rsid w:val="000152DC"/>
    <w:rsid w:val="000157C2"/>
    <w:rsid w:val="00015AA5"/>
    <w:rsid w:val="00015F15"/>
    <w:rsid w:val="00015F31"/>
    <w:rsid w:val="00015FFC"/>
    <w:rsid w:val="00017532"/>
    <w:rsid w:val="0001783E"/>
    <w:rsid w:val="000215E8"/>
    <w:rsid w:val="0002259B"/>
    <w:rsid w:val="000238B1"/>
    <w:rsid w:val="00023C98"/>
    <w:rsid w:val="00023D5B"/>
    <w:rsid w:val="000249A5"/>
    <w:rsid w:val="000250CC"/>
    <w:rsid w:val="000264D3"/>
    <w:rsid w:val="000265A9"/>
    <w:rsid w:val="00027143"/>
    <w:rsid w:val="00027381"/>
    <w:rsid w:val="00027503"/>
    <w:rsid w:val="00030760"/>
    <w:rsid w:val="00030CC6"/>
    <w:rsid w:val="0003328B"/>
    <w:rsid w:val="000333A9"/>
    <w:rsid w:val="00034217"/>
    <w:rsid w:val="000357FF"/>
    <w:rsid w:val="00037351"/>
    <w:rsid w:val="000415FC"/>
    <w:rsid w:val="0004169E"/>
    <w:rsid w:val="00043D75"/>
    <w:rsid w:val="00044AD0"/>
    <w:rsid w:val="00046B58"/>
    <w:rsid w:val="00046D6B"/>
    <w:rsid w:val="00046E03"/>
    <w:rsid w:val="00047EB2"/>
    <w:rsid w:val="000511F5"/>
    <w:rsid w:val="00052FE4"/>
    <w:rsid w:val="0005309A"/>
    <w:rsid w:val="000530AA"/>
    <w:rsid w:val="00054B27"/>
    <w:rsid w:val="00056990"/>
    <w:rsid w:val="00057A3B"/>
    <w:rsid w:val="00057AD3"/>
    <w:rsid w:val="00057B4E"/>
    <w:rsid w:val="000610F8"/>
    <w:rsid w:val="00061860"/>
    <w:rsid w:val="00063494"/>
    <w:rsid w:val="00063E96"/>
    <w:rsid w:val="00065AAE"/>
    <w:rsid w:val="00066415"/>
    <w:rsid w:val="00066653"/>
    <w:rsid w:val="0006676A"/>
    <w:rsid w:val="000669C7"/>
    <w:rsid w:val="00066F58"/>
    <w:rsid w:val="000676D0"/>
    <w:rsid w:val="00067901"/>
    <w:rsid w:val="00071DDE"/>
    <w:rsid w:val="00071ED9"/>
    <w:rsid w:val="000729A3"/>
    <w:rsid w:val="00072DAB"/>
    <w:rsid w:val="00073207"/>
    <w:rsid w:val="000739DF"/>
    <w:rsid w:val="000745EC"/>
    <w:rsid w:val="00075D3E"/>
    <w:rsid w:val="00076786"/>
    <w:rsid w:val="000768FB"/>
    <w:rsid w:val="00081263"/>
    <w:rsid w:val="000832B5"/>
    <w:rsid w:val="000842AD"/>
    <w:rsid w:val="00087328"/>
    <w:rsid w:val="0008767E"/>
    <w:rsid w:val="00087CC8"/>
    <w:rsid w:val="0009050D"/>
    <w:rsid w:val="00092EBB"/>
    <w:rsid w:val="0009483B"/>
    <w:rsid w:val="00095B6F"/>
    <w:rsid w:val="00096171"/>
    <w:rsid w:val="0009689B"/>
    <w:rsid w:val="00096CBE"/>
    <w:rsid w:val="000971AD"/>
    <w:rsid w:val="00097370"/>
    <w:rsid w:val="0009749E"/>
    <w:rsid w:val="000A020C"/>
    <w:rsid w:val="000A0465"/>
    <w:rsid w:val="000A07A2"/>
    <w:rsid w:val="000A0FAC"/>
    <w:rsid w:val="000A0FFC"/>
    <w:rsid w:val="000A198A"/>
    <w:rsid w:val="000A1F2F"/>
    <w:rsid w:val="000A2DA8"/>
    <w:rsid w:val="000A3489"/>
    <w:rsid w:val="000A4E72"/>
    <w:rsid w:val="000A4F55"/>
    <w:rsid w:val="000A641E"/>
    <w:rsid w:val="000A7561"/>
    <w:rsid w:val="000A785A"/>
    <w:rsid w:val="000A7B3B"/>
    <w:rsid w:val="000B16A1"/>
    <w:rsid w:val="000B1811"/>
    <w:rsid w:val="000B1929"/>
    <w:rsid w:val="000B4025"/>
    <w:rsid w:val="000B557A"/>
    <w:rsid w:val="000B5831"/>
    <w:rsid w:val="000B5DFD"/>
    <w:rsid w:val="000B63F5"/>
    <w:rsid w:val="000B697C"/>
    <w:rsid w:val="000B7094"/>
    <w:rsid w:val="000B70C1"/>
    <w:rsid w:val="000C0868"/>
    <w:rsid w:val="000C103C"/>
    <w:rsid w:val="000C15E7"/>
    <w:rsid w:val="000C29FB"/>
    <w:rsid w:val="000C314C"/>
    <w:rsid w:val="000C442B"/>
    <w:rsid w:val="000C5A2C"/>
    <w:rsid w:val="000D0384"/>
    <w:rsid w:val="000D04FB"/>
    <w:rsid w:val="000D0C64"/>
    <w:rsid w:val="000D0E38"/>
    <w:rsid w:val="000D1EB3"/>
    <w:rsid w:val="000D3E94"/>
    <w:rsid w:val="000D46A6"/>
    <w:rsid w:val="000D493E"/>
    <w:rsid w:val="000D4C85"/>
    <w:rsid w:val="000D59FE"/>
    <w:rsid w:val="000D5B98"/>
    <w:rsid w:val="000D7167"/>
    <w:rsid w:val="000D7A8E"/>
    <w:rsid w:val="000D7B6D"/>
    <w:rsid w:val="000D7D63"/>
    <w:rsid w:val="000E0ADE"/>
    <w:rsid w:val="000E20CE"/>
    <w:rsid w:val="000E2A55"/>
    <w:rsid w:val="000E2F7A"/>
    <w:rsid w:val="000E4C23"/>
    <w:rsid w:val="000E5503"/>
    <w:rsid w:val="000E5ACC"/>
    <w:rsid w:val="000E6687"/>
    <w:rsid w:val="000E775F"/>
    <w:rsid w:val="000E7A30"/>
    <w:rsid w:val="000F005B"/>
    <w:rsid w:val="000F07A5"/>
    <w:rsid w:val="000F35D9"/>
    <w:rsid w:val="000F3614"/>
    <w:rsid w:val="000F4705"/>
    <w:rsid w:val="000F4B41"/>
    <w:rsid w:val="000F5913"/>
    <w:rsid w:val="001006E9"/>
    <w:rsid w:val="0010148B"/>
    <w:rsid w:val="00101DFB"/>
    <w:rsid w:val="001021B7"/>
    <w:rsid w:val="00104342"/>
    <w:rsid w:val="00104962"/>
    <w:rsid w:val="00104E0B"/>
    <w:rsid w:val="00105979"/>
    <w:rsid w:val="00106021"/>
    <w:rsid w:val="00107248"/>
    <w:rsid w:val="00107E4E"/>
    <w:rsid w:val="00110DA4"/>
    <w:rsid w:val="00111422"/>
    <w:rsid w:val="00111B6A"/>
    <w:rsid w:val="00112883"/>
    <w:rsid w:val="00114286"/>
    <w:rsid w:val="001147AD"/>
    <w:rsid w:val="00115141"/>
    <w:rsid w:val="0011553E"/>
    <w:rsid w:val="00116E13"/>
    <w:rsid w:val="001170FE"/>
    <w:rsid w:val="00120B68"/>
    <w:rsid w:val="001210F0"/>
    <w:rsid w:val="001219C5"/>
    <w:rsid w:val="00123412"/>
    <w:rsid w:val="00123CBF"/>
    <w:rsid w:val="00124456"/>
    <w:rsid w:val="00124BD6"/>
    <w:rsid w:val="0012578A"/>
    <w:rsid w:val="00125819"/>
    <w:rsid w:val="00125C14"/>
    <w:rsid w:val="001278D7"/>
    <w:rsid w:val="00127DA1"/>
    <w:rsid w:val="001300F2"/>
    <w:rsid w:val="001332A4"/>
    <w:rsid w:val="0013330E"/>
    <w:rsid w:val="00133B56"/>
    <w:rsid w:val="00133F85"/>
    <w:rsid w:val="0013408B"/>
    <w:rsid w:val="00134A8B"/>
    <w:rsid w:val="0013566B"/>
    <w:rsid w:val="001358D5"/>
    <w:rsid w:val="00135C1B"/>
    <w:rsid w:val="00136796"/>
    <w:rsid w:val="001368E8"/>
    <w:rsid w:val="0013786A"/>
    <w:rsid w:val="001379EC"/>
    <w:rsid w:val="00137E29"/>
    <w:rsid w:val="00140D10"/>
    <w:rsid w:val="00141100"/>
    <w:rsid w:val="0014123C"/>
    <w:rsid w:val="001418F7"/>
    <w:rsid w:val="00143146"/>
    <w:rsid w:val="001431F1"/>
    <w:rsid w:val="001438E0"/>
    <w:rsid w:val="00143CD5"/>
    <w:rsid w:val="00144D89"/>
    <w:rsid w:val="0014506F"/>
    <w:rsid w:val="00146531"/>
    <w:rsid w:val="001470EA"/>
    <w:rsid w:val="00147C1D"/>
    <w:rsid w:val="00151B7B"/>
    <w:rsid w:val="00152168"/>
    <w:rsid w:val="00152AFF"/>
    <w:rsid w:val="001545BC"/>
    <w:rsid w:val="00154E29"/>
    <w:rsid w:val="00155A05"/>
    <w:rsid w:val="00155B4B"/>
    <w:rsid w:val="00156EF0"/>
    <w:rsid w:val="0015716F"/>
    <w:rsid w:val="00157457"/>
    <w:rsid w:val="001577B5"/>
    <w:rsid w:val="00160901"/>
    <w:rsid w:val="00160BE5"/>
    <w:rsid w:val="001614CA"/>
    <w:rsid w:val="001615D8"/>
    <w:rsid w:val="00164A6C"/>
    <w:rsid w:val="001661A6"/>
    <w:rsid w:val="001676C8"/>
    <w:rsid w:val="00167719"/>
    <w:rsid w:val="00167ADC"/>
    <w:rsid w:val="001712B1"/>
    <w:rsid w:val="00171BF1"/>
    <w:rsid w:val="0017306F"/>
    <w:rsid w:val="00174310"/>
    <w:rsid w:val="001753F9"/>
    <w:rsid w:val="001803DE"/>
    <w:rsid w:val="0018110E"/>
    <w:rsid w:val="0018274F"/>
    <w:rsid w:val="0018324D"/>
    <w:rsid w:val="001865D5"/>
    <w:rsid w:val="001867B1"/>
    <w:rsid w:val="001868D6"/>
    <w:rsid w:val="001869F3"/>
    <w:rsid w:val="00187EB0"/>
    <w:rsid w:val="00190D5F"/>
    <w:rsid w:val="00190FFF"/>
    <w:rsid w:val="00191C12"/>
    <w:rsid w:val="00191E31"/>
    <w:rsid w:val="001930FA"/>
    <w:rsid w:val="00193B1C"/>
    <w:rsid w:val="00193C6C"/>
    <w:rsid w:val="00195792"/>
    <w:rsid w:val="00196DC2"/>
    <w:rsid w:val="001976AC"/>
    <w:rsid w:val="001A0B1D"/>
    <w:rsid w:val="001A0FFD"/>
    <w:rsid w:val="001A13AA"/>
    <w:rsid w:val="001A2F9A"/>
    <w:rsid w:val="001A54B5"/>
    <w:rsid w:val="001A5A33"/>
    <w:rsid w:val="001A62CF"/>
    <w:rsid w:val="001B0406"/>
    <w:rsid w:val="001B1E86"/>
    <w:rsid w:val="001B3103"/>
    <w:rsid w:val="001B4DB5"/>
    <w:rsid w:val="001B5E2D"/>
    <w:rsid w:val="001B65D2"/>
    <w:rsid w:val="001B7D5A"/>
    <w:rsid w:val="001C1436"/>
    <w:rsid w:val="001C16D3"/>
    <w:rsid w:val="001C2AB4"/>
    <w:rsid w:val="001C2F37"/>
    <w:rsid w:val="001C50FA"/>
    <w:rsid w:val="001C5824"/>
    <w:rsid w:val="001C5BDD"/>
    <w:rsid w:val="001C6483"/>
    <w:rsid w:val="001C691E"/>
    <w:rsid w:val="001C7357"/>
    <w:rsid w:val="001C74D7"/>
    <w:rsid w:val="001C7F55"/>
    <w:rsid w:val="001D0D2F"/>
    <w:rsid w:val="001D0D7A"/>
    <w:rsid w:val="001D0FDF"/>
    <w:rsid w:val="001D1050"/>
    <w:rsid w:val="001D1633"/>
    <w:rsid w:val="001D1F27"/>
    <w:rsid w:val="001D2EE1"/>
    <w:rsid w:val="001D7F34"/>
    <w:rsid w:val="001E0FF9"/>
    <w:rsid w:val="001E3E8E"/>
    <w:rsid w:val="001E44C0"/>
    <w:rsid w:val="001E4BC9"/>
    <w:rsid w:val="001E5AAA"/>
    <w:rsid w:val="001E774B"/>
    <w:rsid w:val="001E78CC"/>
    <w:rsid w:val="001F0A8E"/>
    <w:rsid w:val="001F2B58"/>
    <w:rsid w:val="001F2C65"/>
    <w:rsid w:val="001F3F45"/>
    <w:rsid w:val="001F4971"/>
    <w:rsid w:val="001F5822"/>
    <w:rsid w:val="001F60F5"/>
    <w:rsid w:val="001F70B4"/>
    <w:rsid w:val="0020115E"/>
    <w:rsid w:val="00201BDB"/>
    <w:rsid w:val="00202058"/>
    <w:rsid w:val="00202494"/>
    <w:rsid w:val="0020323F"/>
    <w:rsid w:val="0020391C"/>
    <w:rsid w:val="00204354"/>
    <w:rsid w:val="00206DF5"/>
    <w:rsid w:val="00207BB8"/>
    <w:rsid w:val="00211C67"/>
    <w:rsid w:val="002127BA"/>
    <w:rsid w:val="00212BFF"/>
    <w:rsid w:val="002131AF"/>
    <w:rsid w:val="002131D8"/>
    <w:rsid w:val="0021532F"/>
    <w:rsid w:val="002154C7"/>
    <w:rsid w:val="00215780"/>
    <w:rsid w:val="00216A0C"/>
    <w:rsid w:val="00217002"/>
    <w:rsid w:val="002175DC"/>
    <w:rsid w:val="002178B6"/>
    <w:rsid w:val="002200DE"/>
    <w:rsid w:val="002200F0"/>
    <w:rsid w:val="00220F3C"/>
    <w:rsid w:val="00221837"/>
    <w:rsid w:val="00222412"/>
    <w:rsid w:val="0022341D"/>
    <w:rsid w:val="002246A4"/>
    <w:rsid w:val="002251B0"/>
    <w:rsid w:val="002254CA"/>
    <w:rsid w:val="002264BA"/>
    <w:rsid w:val="00226A54"/>
    <w:rsid w:val="0022784C"/>
    <w:rsid w:val="00230996"/>
    <w:rsid w:val="00230BC8"/>
    <w:rsid w:val="002310EC"/>
    <w:rsid w:val="0023157A"/>
    <w:rsid w:val="002321F8"/>
    <w:rsid w:val="002322DE"/>
    <w:rsid w:val="00232E54"/>
    <w:rsid w:val="00235247"/>
    <w:rsid w:val="00235588"/>
    <w:rsid w:val="002355F2"/>
    <w:rsid w:val="0023625E"/>
    <w:rsid w:val="00236BA7"/>
    <w:rsid w:val="00236F14"/>
    <w:rsid w:val="0023774C"/>
    <w:rsid w:val="00240BD1"/>
    <w:rsid w:val="00240FD7"/>
    <w:rsid w:val="00241C46"/>
    <w:rsid w:val="00245266"/>
    <w:rsid w:val="002454FF"/>
    <w:rsid w:val="002456C7"/>
    <w:rsid w:val="00245BAF"/>
    <w:rsid w:val="0024663A"/>
    <w:rsid w:val="00246A6A"/>
    <w:rsid w:val="00246C2F"/>
    <w:rsid w:val="0024755B"/>
    <w:rsid w:val="002508BC"/>
    <w:rsid w:val="00251E0B"/>
    <w:rsid w:val="0025223A"/>
    <w:rsid w:val="002533BB"/>
    <w:rsid w:val="002549AE"/>
    <w:rsid w:val="00254E98"/>
    <w:rsid w:val="00257190"/>
    <w:rsid w:val="0025798E"/>
    <w:rsid w:val="00260B07"/>
    <w:rsid w:val="002624D3"/>
    <w:rsid w:val="00262E44"/>
    <w:rsid w:val="00262F75"/>
    <w:rsid w:val="0026493B"/>
    <w:rsid w:val="00265B60"/>
    <w:rsid w:val="00266341"/>
    <w:rsid w:val="00266950"/>
    <w:rsid w:val="00266FB5"/>
    <w:rsid w:val="00270080"/>
    <w:rsid w:val="00270D0A"/>
    <w:rsid w:val="00271477"/>
    <w:rsid w:val="00272B37"/>
    <w:rsid w:val="00273B43"/>
    <w:rsid w:val="00273F18"/>
    <w:rsid w:val="00274D7A"/>
    <w:rsid w:val="00275165"/>
    <w:rsid w:val="00275F48"/>
    <w:rsid w:val="002762F9"/>
    <w:rsid w:val="00276C1F"/>
    <w:rsid w:val="00277BC7"/>
    <w:rsid w:val="0028014D"/>
    <w:rsid w:val="00281FE5"/>
    <w:rsid w:val="0028242A"/>
    <w:rsid w:val="00284B42"/>
    <w:rsid w:val="00285001"/>
    <w:rsid w:val="00285165"/>
    <w:rsid w:val="0028574A"/>
    <w:rsid w:val="00285DAA"/>
    <w:rsid w:val="0028678C"/>
    <w:rsid w:val="00286D76"/>
    <w:rsid w:val="002870C2"/>
    <w:rsid w:val="00287431"/>
    <w:rsid w:val="002907A7"/>
    <w:rsid w:val="00290DCB"/>
    <w:rsid w:val="00291A70"/>
    <w:rsid w:val="0029301A"/>
    <w:rsid w:val="00293BD3"/>
    <w:rsid w:val="0029519D"/>
    <w:rsid w:val="00297415"/>
    <w:rsid w:val="00297D5D"/>
    <w:rsid w:val="002A0A67"/>
    <w:rsid w:val="002A1D00"/>
    <w:rsid w:val="002A22A1"/>
    <w:rsid w:val="002A4CC2"/>
    <w:rsid w:val="002A54C7"/>
    <w:rsid w:val="002A6142"/>
    <w:rsid w:val="002A63CB"/>
    <w:rsid w:val="002B0C4C"/>
    <w:rsid w:val="002B0D84"/>
    <w:rsid w:val="002B289A"/>
    <w:rsid w:val="002B3AA8"/>
    <w:rsid w:val="002B5469"/>
    <w:rsid w:val="002B5AA2"/>
    <w:rsid w:val="002B659F"/>
    <w:rsid w:val="002B66CE"/>
    <w:rsid w:val="002C140D"/>
    <w:rsid w:val="002C1463"/>
    <w:rsid w:val="002C401C"/>
    <w:rsid w:val="002C4210"/>
    <w:rsid w:val="002C5FB6"/>
    <w:rsid w:val="002C666D"/>
    <w:rsid w:val="002C748B"/>
    <w:rsid w:val="002D0AAD"/>
    <w:rsid w:val="002D13AB"/>
    <w:rsid w:val="002D15BA"/>
    <w:rsid w:val="002D20A6"/>
    <w:rsid w:val="002D26F6"/>
    <w:rsid w:val="002D33B9"/>
    <w:rsid w:val="002D3ECD"/>
    <w:rsid w:val="002D4171"/>
    <w:rsid w:val="002D5579"/>
    <w:rsid w:val="002D5A70"/>
    <w:rsid w:val="002D6468"/>
    <w:rsid w:val="002D666A"/>
    <w:rsid w:val="002D6EC7"/>
    <w:rsid w:val="002D728E"/>
    <w:rsid w:val="002E08BB"/>
    <w:rsid w:val="002E1A29"/>
    <w:rsid w:val="002E394D"/>
    <w:rsid w:val="002E39DA"/>
    <w:rsid w:val="002E5C0F"/>
    <w:rsid w:val="002F0EA9"/>
    <w:rsid w:val="002F1879"/>
    <w:rsid w:val="002F18DE"/>
    <w:rsid w:val="002F3775"/>
    <w:rsid w:val="002F378F"/>
    <w:rsid w:val="002F37F9"/>
    <w:rsid w:val="002F434C"/>
    <w:rsid w:val="002F44D7"/>
    <w:rsid w:val="002F49AF"/>
    <w:rsid w:val="002F5EE8"/>
    <w:rsid w:val="002F6AFE"/>
    <w:rsid w:val="002F7332"/>
    <w:rsid w:val="002F79AF"/>
    <w:rsid w:val="00300020"/>
    <w:rsid w:val="0030246E"/>
    <w:rsid w:val="0030251B"/>
    <w:rsid w:val="00303750"/>
    <w:rsid w:val="0030375D"/>
    <w:rsid w:val="00304516"/>
    <w:rsid w:val="00305B81"/>
    <w:rsid w:val="00305BD1"/>
    <w:rsid w:val="00307677"/>
    <w:rsid w:val="00307EA7"/>
    <w:rsid w:val="003119EC"/>
    <w:rsid w:val="00312E97"/>
    <w:rsid w:val="00313942"/>
    <w:rsid w:val="003143AF"/>
    <w:rsid w:val="00314583"/>
    <w:rsid w:val="00315877"/>
    <w:rsid w:val="003158F8"/>
    <w:rsid w:val="00315EF8"/>
    <w:rsid w:val="00315F00"/>
    <w:rsid w:val="00316889"/>
    <w:rsid w:val="00320372"/>
    <w:rsid w:val="0032197A"/>
    <w:rsid w:val="00321F52"/>
    <w:rsid w:val="00322089"/>
    <w:rsid w:val="00322A40"/>
    <w:rsid w:val="00322BE1"/>
    <w:rsid w:val="00324805"/>
    <w:rsid w:val="0032483E"/>
    <w:rsid w:val="003261CF"/>
    <w:rsid w:val="00326BA7"/>
    <w:rsid w:val="00327C15"/>
    <w:rsid w:val="00330A55"/>
    <w:rsid w:val="00330C7E"/>
    <w:rsid w:val="0033211A"/>
    <w:rsid w:val="003324B4"/>
    <w:rsid w:val="00332F91"/>
    <w:rsid w:val="00333A87"/>
    <w:rsid w:val="00334812"/>
    <w:rsid w:val="003360F9"/>
    <w:rsid w:val="00337524"/>
    <w:rsid w:val="00340788"/>
    <w:rsid w:val="003429B6"/>
    <w:rsid w:val="003439BE"/>
    <w:rsid w:val="0034482B"/>
    <w:rsid w:val="00344965"/>
    <w:rsid w:val="00345586"/>
    <w:rsid w:val="00346733"/>
    <w:rsid w:val="00346AA9"/>
    <w:rsid w:val="00346AE5"/>
    <w:rsid w:val="003519A2"/>
    <w:rsid w:val="003524FD"/>
    <w:rsid w:val="003525AE"/>
    <w:rsid w:val="0035412E"/>
    <w:rsid w:val="003549AC"/>
    <w:rsid w:val="003559F3"/>
    <w:rsid w:val="003562A2"/>
    <w:rsid w:val="003569DA"/>
    <w:rsid w:val="00357375"/>
    <w:rsid w:val="003611AC"/>
    <w:rsid w:val="00361484"/>
    <w:rsid w:val="00362140"/>
    <w:rsid w:val="00363C0E"/>
    <w:rsid w:val="003656AB"/>
    <w:rsid w:val="003657AB"/>
    <w:rsid w:val="00366FEC"/>
    <w:rsid w:val="00370831"/>
    <w:rsid w:val="0037101D"/>
    <w:rsid w:val="00371B50"/>
    <w:rsid w:val="00371C87"/>
    <w:rsid w:val="00371D8F"/>
    <w:rsid w:val="00371EC1"/>
    <w:rsid w:val="00372BCC"/>
    <w:rsid w:val="003750EA"/>
    <w:rsid w:val="00375D17"/>
    <w:rsid w:val="00376698"/>
    <w:rsid w:val="0037670C"/>
    <w:rsid w:val="00376A6D"/>
    <w:rsid w:val="00377295"/>
    <w:rsid w:val="003805B6"/>
    <w:rsid w:val="003815C4"/>
    <w:rsid w:val="00381A23"/>
    <w:rsid w:val="00382B23"/>
    <w:rsid w:val="00383BD5"/>
    <w:rsid w:val="00384B04"/>
    <w:rsid w:val="00385DD6"/>
    <w:rsid w:val="00385E1E"/>
    <w:rsid w:val="0038712C"/>
    <w:rsid w:val="00387E9E"/>
    <w:rsid w:val="00390171"/>
    <w:rsid w:val="0039065D"/>
    <w:rsid w:val="0039109C"/>
    <w:rsid w:val="0039179F"/>
    <w:rsid w:val="00392112"/>
    <w:rsid w:val="00393023"/>
    <w:rsid w:val="00393230"/>
    <w:rsid w:val="003949C9"/>
    <w:rsid w:val="0039522C"/>
    <w:rsid w:val="0039626C"/>
    <w:rsid w:val="003979EC"/>
    <w:rsid w:val="003A0493"/>
    <w:rsid w:val="003A2BB5"/>
    <w:rsid w:val="003A333D"/>
    <w:rsid w:val="003A3863"/>
    <w:rsid w:val="003A4FB7"/>
    <w:rsid w:val="003A4FBE"/>
    <w:rsid w:val="003A50DC"/>
    <w:rsid w:val="003A548A"/>
    <w:rsid w:val="003A630B"/>
    <w:rsid w:val="003A66B0"/>
    <w:rsid w:val="003A694B"/>
    <w:rsid w:val="003B0AD5"/>
    <w:rsid w:val="003B0CD2"/>
    <w:rsid w:val="003B0CEF"/>
    <w:rsid w:val="003B0D1D"/>
    <w:rsid w:val="003B0D91"/>
    <w:rsid w:val="003B1348"/>
    <w:rsid w:val="003B186C"/>
    <w:rsid w:val="003B1C69"/>
    <w:rsid w:val="003B250E"/>
    <w:rsid w:val="003B28EF"/>
    <w:rsid w:val="003B3292"/>
    <w:rsid w:val="003B43BF"/>
    <w:rsid w:val="003B46C6"/>
    <w:rsid w:val="003B4992"/>
    <w:rsid w:val="003B4CE4"/>
    <w:rsid w:val="003B54B2"/>
    <w:rsid w:val="003B5D70"/>
    <w:rsid w:val="003B6DD7"/>
    <w:rsid w:val="003B6F11"/>
    <w:rsid w:val="003B7A2F"/>
    <w:rsid w:val="003B7A76"/>
    <w:rsid w:val="003C292A"/>
    <w:rsid w:val="003C3076"/>
    <w:rsid w:val="003C3419"/>
    <w:rsid w:val="003C44DF"/>
    <w:rsid w:val="003C4F1E"/>
    <w:rsid w:val="003C599B"/>
    <w:rsid w:val="003C762F"/>
    <w:rsid w:val="003D0085"/>
    <w:rsid w:val="003D01B3"/>
    <w:rsid w:val="003D0D90"/>
    <w:rsid w:val="003D0F10"/>
    <w:rsid w:val="003D1A32"/>
    <w:rsid w:val="003D1B5C"/>
    <w:rsid w:val="003D2B29"/>
    <w:rsid w:val="003D2B4D"/>
    <w:rsid w:val="003D3B56"/>
    <w:rsid w:val="003D4D85"/>
    <w:rsid w:val="003D501E"/>
    <w:rsid w:val="003D56C9"/>
    <w:rsid w:val="003D57EB"/>
    <w:rsid w:val="003E05AF"/>
    <w:rsid w:val="003E0A22"/>
    <w:rsid w:val="003E0ABF"/>
    <w:rsid w:val="003E1768"/>
    <w:rsid w:val="003E458D"/>
    <w:rsid w:val="003E58A3"/>
    <w:rsid w:val="003E5EFD"/>
    <w:rsid w:val="003E6B0C"/>
    <w:rsid w:val="003F0D0A"/>
    <w:rsid w:val="003F0EE4"/>
    <w:rsid w:val="003F1217"/>
    <w:rsid w:val="003F1787"/>
    <w:rsid w:val="003F28ED"/>
    <w:rsid w:val="003F2BDB"/>
    <w:rsid w:val="003F4C9C"/>
    <w:rsid w:val="003F5926"/>
    <w:rsid w:val="003F5B9A"/>
    <w:rsid w:val="003F5CD3"/>
    <w:rsid w:val="003F6776"/>
    <w:rsid w:val="003F79E6"/>
    <w:rsid w:val="0040048C"/>
    <w:rsid w:val="0040244E"/>
    <w:rsid w:val="00402B28"/>
    <w:rsid w:val="00403047"/>
    <w:rsid w:val="00403D4A"/>
    <w:rsid w:val="00404C0C"/>
    <w:rsid w:val="00404FF3"/>
    <w:rsid w:val="00405217"/>
    <w:rsid w:val="004059D7"/>
    <w:rsid w:val="00406E74"/>
    <w:rsid w:val="0040717B"/>
    <w:rsid w:val="0040750A"/>
    <w:rsid w:val="004078BD"/>
    <w:rsid w:val="00407B42"/>
    <w:rsid w:val="00410935"/>
    <w:rsid w:val="00410D38"/>
    <w:rsid w:val="0041103C"/>
    <w:rsid w:val="00411761"/>
    <w:rsid w:val="004127FD"/>
    <w:rsid w:val="0041398D"/>
    <w:rsid w:val="00413A6E"/>
    <w:rsid w:val="00413DCF"/>
    <w:rsid w:val="0041445A"/>
    <w:rsid w:val="0041468C"/>
    <w:rsid w:val="00414D3A"/>
    <w:rsid w:val="00415DB0"/>
    <w:rsid w:val="004168D8"/>
    <w:rsid w:val="004175A3"/>
    <w:rsid w:val="0042074F"/>
    <w:rsid w:val="00421049"/>
    <w:rsid w:val="00421714"/>
    <w:rsid w:val="00425162"/>
    <w:rsid w:val="00425883"/>
    <w:rsid w:val="00425AED"/>
    <w:rsid w:val="00431C06"/>
    <w:rsid w:val="0043250A"/>
    <w:rsid w:val="00432D93"/>
    <w:rsid w:val="00433A4B"/>
    <w:rsid w:val="0043409F"/>
    <w:rsid w:val="004343EB"/>
    <w:rsid w:val="00434952"/>
    <w:rsid w:val="004367E8"/>
    <w:rsid w:val="00436BB0"/>
    <w:rsid w:val="004378C7"/>
    <w:rsid w:val="0044105F"/>
    <w:rsid w:val="0044227C"/>
    <w:rsid w:val="00443150"/>
    <w:rsid w:val="0044610D"/>
    <w:rsid w:val="004466C3"/>
    <w:rsid w:val="00447C4E"/>
    <w:rsid w:val="00450C00"/>
    <w:rsid w:val="00450EBE"/>
    <w:rsid w:val="00451AAA"/>
    <w:rsid w:val="00454A63"/>
    <w:rsid w:val="00455291"/>
    <w:rsid w:val="00456BBD"/>
    <w:rsid w:val="00456E82"/>
    <w:rsid w:val="00457BF4"/>
    <w:rsid w:val="00465D09"/>
    <w:rsid w:val="00465F68"/>
    <w:rsid w:val="0046643B"/>
    <w:rsid w:val="0046661C"/>
    <w:rsid w:val="004672F5"/>
    <w:rsid w:val="0046773E"/>
    <w:rsid w:val="00467DC3"/>
    <w:rsid w:val="00467FE4"/>
    <w:rsid w:val="00471D17"/>
    <w:rsid w:val="004738C4"/>
    <w:rsid w:val="00475B64"/>
    <w:rsid w:val="0047788F"/>
    <w:rsid w:val="004809B4"/>
    <w:rsid w:val="00480BDE"/>
    <w:rsid w:val="00480DE4"/>
    <w:rsid w:val="00480F54"/>
    <w:rsid w:val="004812E8"/>
    <w:rsid w:val="00481582"/>
    <w:rsid w:val="00481FE1"/>
    <w:rsid w:val="00482E4C"/>
    <w:rsid w:val="00483126"/>
    <w:rsid w:val="00483131"/>
    <w:rsid w:val="00484021"/>
    <w:rsid w:val="004861AE"/>
    <w:rsid w:val="00486DD6"/>
    <w:rsid w:val="00490FC6"/>
    <w:rsid w:val="00492210"/>
    <w:rsid w:val="00493699"/>
    <w:rsid w:val="004948DB"/>
    <w:rsid w:val="00494C4C"/>
    <w:rsid w:val="004957BB"/>
    <w:rsid w:val="00496351"/>
    <w:rsid w:val="00497810"/>
    <w:rsid w:val="004A0F2B"/>
    <w:rsid w:val="004A17C2"/>
    <w:rsid w:val="004A1E9D"/>
    <w:rsid w:val="004A3256"/>
    <w:rsid w:val="004A355B"/>
    <w:rsid w:val="004A37EF"/>
    <w:rsid w:val="004A3833"/>
    <w:rsid w:val="004A4080"/>
    <w:rsid w:val="004A56C8"/>
    <w:rsid w:val="004A683B"/>
    <w:rsid w:val="004A6867"/>
    <w:rsid w:val="004A6917"/>
    <w:rsid w:val="004A6BF7"/>
    <w:rsid w:val="004A76A2"/>
    <w:rsid w:val="004A7FD4"/>
    <w:rsid w:val="004B070C"/>
    <w:rsid w:val="004B12EF"/>
    <w:rsid w:val="004B1735"/>
    <w:rsid w:val="004B1DE9"/>
    <w:rsid w:val="004B2026"/>
    <w:rsid w:val="004B2F86"/>
    <w:rsid w:val="004B376B"/>
    <w:rsid w:val="004B410C"/>
    <w:rsid w:val="004B449F"/>
    <w:rsid w:val="004B4D02"/>
    <w:rsid w:val="004B5DE4"/>
    <w:rsid w:val="004B68CC"/>
    <w:rsid w:val="004B69EF"/>
    <w:rsid w:val="004B7DFC"/>
    <w:rsid w:val="004B7E5A"/>
    <w:rsid w:val="004B7FE6"/>
    <w:rsid w:val="004C09AB"/>
    <w:rsid w:val="004C0CDD"/>
    <w:rsid w:val="004C1D25"/>
    <w:rsid w:val="004C2196"/>
    <w:rsid w:val="004C2926"/>
    <w:rsid w:val="004C4A2E"/>
    <w:rsid w:val="004C4CE2"/>
    <w:rsid w:val="004C4DB3"/>
    <w:rsid w:val="004C4DFA"/>
    <w:rsid w:val="004C5C0F"/>
    <w:rsid w:val="004C6BD1"/>
    <w:rsid w:val="004D04FF"/>
    <w:rsid w:val="004D09E8"/>
    <w:rsid w:val="004D0EDD"/>
    <w:rsid w:val="004D26FC"/>
    <w:rsid w:val="004D2C5C"/>
    <w:rsid w:val="004D2E16"/>
    <w:rsid w:val="004D4937"/>
    <w:rsid w:val="004D4F4F"/>
    <w:rsid w:val="004D548E"/>
    <w:rsid w:val="004E0357"/>
    <w:rsid w:val="004E0F76"/>
    <w:rsid w:val="004E0F93"/>
    <w:rsid w:val="004E12E6"/>
    <w:rsid w:val="004E1DAE"/>
    <w:rsid w:val="004E1F19"/>
    <w:rsid w:val="004E210B"/>
    <w:rsid w:val="004E4036"/>
    <w:rsid w:val="004E4BA3"/>
    <w:rsid w:val="004E616F"/>
    <w:rsid w:val="004E62F4"/>
    <w:rsid w:val="004E646D"/>
    <w:rsid w:val="004E7310"/>
    <w:rsid w:val="004E7C83"/>
    <w:rsid w:val="004F0F26"/>
    <w:rsid w:val="004F1F1E"/>
    <w:rsid w:val="004F21AC"/>
    <w:rsid w:val="004F24AC"/>
    <w:rsid w:val="004F2C52"/>
    <w:rsid w:val="004F3041"/>
    <w:rsid w:val="004F476C"/>
    <w:rsid w:val="004F4B63"/>
    <w:rsid w:val="004F4DA3"/>
    <w:rsid w:val="004F506B"/>
    <w:rsid w:val="004F5EF8"/>
    <w:rsid w:val="004F6152"/>
    <w:rsid w:val="004F76FA"/>
    <w:rsid w:val="005023A2"/>
    <w:rsid w:val="005028FD"/>
    <w:rsid w:val="00506869"/>
    <w:rsid w:val="00507298"/>
    <w:rsid w:val="00510058"/>
    <w:rsid w:val="00510BCA"/>
    <w:rsid w:val="00511438"/>
    <w:rsid w:val="00512424"/>
    <w:rsid w:val="005127EB"/>
    <w:rsid w:val="00513624"/>
    <w:rsid w:val="00514138"/>
    <w:rsid w:val="00514C3A"/>
    <w:rsid w:val="00514E75"/>
    <w:rsid w:val="00515B61"/>
    <w:rsid w:val="00515DFE"/>
    <w:rsid w:val="00515E18"/>
    <w:rsid w:val="00516708"/>
    <w:rsid w:val="00516819"/>
    <w:rsid w:val="00520473"/>
    <w:rsid w:val="0052051F"/>
    <w:rsid w:val="005234AF"/>
    <w:rsid w:val="0052413A"/>
    <w:rsid w:val="00524E33"/>
    <w:rsid w:val="0052689B"/>
    <w:rsid w:val="0052715F"/>
    <w:rsid w:val="00530D88"/>
    <w:rsid w:val="00534622"/>
    <w:rsid w:val="00534F9F"/>
    <w:rsid w:val="0053546A"/>
    <w:rsid w:val="00536C9B"/>
    <w:rsid w:val="0054022C"/>
    <w:rsid w:val="005405BF"/>
    <w:rsid w:val="0054102E"/>
    <w:rsid w:val="0054253A"/>
    <w:rsid w:val="00543A08"/>
    <w:rsid w:val="00544027"/>
    <w:rsid w:val="005453F8"/>
    <w:rsid w:val="005467BF"/>
    <w:rsid w:val="00547137"/>
    <w:rsid w:val="00547E78"/>
    <w:rsid w:val="0055015B"/>
    <w:rsid w:val="0055074C"/>
    <w:rsid w:val="00550DB3"/>
    <w:rsid w:val="00550DDB"/>
    <w:rsid w:val="00550ECE"/>
    <w:rsid w:val="0055138B"/>
    <w:rsid w:val="00551882"/>
    <w:rsid w:val="00551C03"/>
    <w:rsid w:val="00552A54"/>
    <w:rsid w:val="005549B2"/>
    <w:rsid w:val="00555748"/>
    <w:rsid w:val="005558D8"/>
    <w:rsid w:val="00561321"/>
    <w:rsid w:val="00561405"/>
    <w:rsid w:val="00561423"/>
    <w:rsid w:val="00561EF5"/>
    <w:rsid w:val="00562084"/>
    <w:rsid w:val="00562151"/>
    <w:rsid w:val="0056364D"/>
    <w:rsid w:val="00563E5D"/>
    <w:rsid w:val="005645A7"/>
    <w:rsid w:val="005649EE"/>
    <w:rsid w:val="00565C71"/>
    <w:rsid w:val="005664EC"/>
    <w:rsid w:val="005666C7"/>
    <w:rsid w:val="00566C2D"/>
    <w:rsid w:val="005675F2"/>
    <w:rsid w:val="00567F34"/>
    <w:rsid w:val="00570FF5"/>
    <w:rsid w:val="00571D18"/>
    <w:rsid w:val="005729B0"/>
    <w:rsid w:val="005733ED"/>
    <w:rsid w:val="00573C27"/>
    <w:rsid w:val="00574470"/>
    <w:rsid w:val="0057492E"/>
    <w:rsid w:val="00574E2C"/>
    <w:rsid w:val="0057519C"/>
    <w:rsid w:val="00575876"/>
    <w:rsid w:val="0057620D"/>
    <w:rsid w:val="005764E6"/>
    <w:rsid w:val="005764ED"/>
    <w:rsid w:val="00577A1B"/>
    <w:rsid w:val="00577DA2"/>
    <w:rsid w:val="00580980"/>
    <w:rsid w:val="00581D77"/>
    <w:rsid w:val="00583B21"/>
    <w:rsid w:val="0058404E"/>
    <w:rsid w:val="005850FF"/>
    <w:rsid w:val="005855A8"/>
    <w:rsid w:val="005857F4"/>
    <w:rsid w:val="00585DE9"/>
    <w:rsid w:val="00586219"/>
    <w:rsid w:val="005864F6"/>
    <w:rsid w:val="0058656F"/>
    <w:rsid w:val="005900B9"/>
    <w:rsid w:val="00590CFA"/>
    <w:rsid w:val="00590E39"/>
    <w:rsid w:val="00591424"/>
    <w:rsid w:val="005917B7"/>
    <w:rsid w:val="00591A15"/>
    <w:rsid w:val="00592037"/>
    <w:rsid w:val="00592B90"/>
    <w:rsid w:val="00595174"/>
    <w:rsid w:val="00595EA8"/>
    <w:rsid w:val="005973B7"/>
    <w:rsid w:val="0059742E"/>
    <w:rsid w:val="00597C9E"/>
    <w:rsid w:val="00597D5A"/>
    <w:rsid w:val="005A076E"/>
    <w:rsid w:val="005A1A6C"/>
    <w:rsid w:val="005A29B7"/>
    <w:rsid w:val="005A3C11"/>
    <w:rsid w:val="005A3FA1"/>
    <w:rsid w:val="005A4507"/>
    <w:rsid w:val="005A46BD"/>
    <w:rsid w:val="005A4948"/>
    <w:rsid w:val="005A5198"/>
    <w:rsid w:val="005B0264"/>
    <w:rsid w:val="005B1737"/>
    <w:rsid w:val="005B4768"/>
    <w:rsid w:val="005B79AF"/>
    <w:rsid w:val="005C033A"/>
    <w:rsid w:val="005C066C"/>
    <w:rsid w:val="005C0760"/>
    <w:rsid w:val="005C1423"/>
    <w:rsid w:val="005C262D"/>
    <w:rsid w:val="005C2A8B"/>
    <w:rsid w:val="005C39DE"/>
    <w:rsid w:val="005C3E37"/>
    <w:rsid w:val="005C3FCB"/>
    <w:rsid w:val="005C410F"/>
    <w:rsid w:val="005C54C3"/>
    <w:rsid w:val="005C7169"/>
    <w:rsid w:val="005C7623"/>
    <w:rsid w:val="005D082A"/>
    <w:rsid w:val="005D0D04"/>
    <w:rsid w:val="005D1D53"/>
    <w:rsid w:val="005D495D"/>
    <w:rsid w:val="005E02FB"/>
    <w:rsid w:val="005E0B6F"/>
    <w:rsid w:val="005E0C08"/>
    <w:rsid w:val="005E2A81"/>
    <w:rsid w:val="005E337F"/>
    <w:rsid w:val="005E4A0B"/>
    <w:rsid w:val="005E64E7"/>
    <w:rsid w:val="005E6846"/>
    <w:rsid w:val="005E6B80"/>
    <w:rsid w:val="005E74B2"/>
    <w:rsid w:val="005E7C94"/>
    <w:rsid w:val="005F1349"/>
    <w:rsid w:val="005F21BB"/>
    <w:rsid w:val="005F4089"/>
    <w:rsid w:val="005F4BB5"/>
    <w:rsid w:val="005F68EE"/>
    <w:rsid w:val="005F76A1"/>
    <w:rsid w:val="00601A99"/>
    <w:rsid w:val="00601B63"/>
    <w:rsid w:val="006047A2"/>
    <w:rsid w:val="00604BBF"/>
    <w:rsid w:val="00604CE5"/>
    <w:rsid w:val="006100A7"/>
    <w:rsid w:val="00610609"/>
    <w:rsid w:val="00610AC0"/>
    <w:rsid w:val="00610D81"/>
    <w:rsid w:val="006122A7"/>
    <w:rsid w:val="00612A33"/>
    <w:rsid w:val="00612AEA"/>
    <w:rsid w:val="00612C6C"/>
    <w:rsid w:val="006136A6"/>
    <w:rsid w:val="00613994"/>
    <w:rsid w:val="00613B4F"/>
    <w:rsid w:val="0061654D"/>
    <w:rsid w:val="0061750F"/>
    <w:rsid w:val="00617E28"/>
    <w:rsid w:val="00622B75"/>
    <w:rsid w:val="00625958"/>
    <w:rsid w:val="00631595"/>
    <w:rsid w:val="00633D1E"/>
    <w:rsid w:val="006341E8"/>
    <w:rsid w:val="00634CFC"/>
    <w:rsid w:val="00635105"/>
    <w:rsid w:val="0063519F"/>
    <w:rsid w:val="00635ECA"/>
    <w:rsid w:val="006364A8"/>
    <w:rsid w:val="006366E2"/>
    <w:rsid w:val="00636A0D"/>
    <w:rsid w:val="0064140F"/>
    <w:rsid w:val="00642BC1"/>
    <w:rsid w:val="00645061"/>
    <w:rsid w:val="00645735"/>
    <w:rsid w:val="0064704A"/>
    <w:rsid w:val="006477E1"/>
    <w:rsid w:val="00647C59"/>
    <w:rsid w:val="00650969"/>
    <w:rsid w:val="00650C44"/>
    <w:rsid w:val="00651E32"/>
    <w:rsid w:val="00651EB7"/>
    <w:rsid w:val="00652BDD"/>
    <w:rsid w:val="00653B37"/>
    <w:rsid w:val="006547EA"/>
    <w:rsid w:val="006559FF"/>
    <w:rsid w:val="00656EEB"/>
    <w:rsid w:val="0065719E"/>
    <w:rsid w:val="0065757D"/>
    <w:rsid w:val="00657EA2"/>
    <w:rsid w:val="00660D06"/>
    <w:rsid w:val="00661324"/>
    <w:rsid w:val="006631D6"/>
    <w:rsid w:val="00663C8B"/>
    <w:rsid w:val="00664090"/>
    <w:rsid w:val="00665A6E"/>
    <w:rsid w:val="00665D03"/>
    <w:rsid w:val="00667524"/>
    <w:rsid w:val="00667717"/>
    <w:rsid w:val="0066790E"/>
    <w:rsid w:val="00667989"/>
    <w:rsid w:val="0067001A"/>
    <w:rsid w:val="00671693"/>
    <w:rsid w:val="00674DF6"/>
    <w:rsid w:val="0067632B"/>
    <w:rsid w:val="00676435"/>
    <w:rsid w:val="00676523"/>
    <w:rsid w:val="00676727"/>
    <w:rsid w:val="00676EF9"/>
    <w:rsid w:val="00677719"/>
    <w:rsid w:val="00677CE6"/>
    <w:rsid w:val="006805EA"/>
    <w:rsid w:val="006808CE"/>
    <w:rsid w:val="00681363"/>
    <w:rsid w:val="006825E0"/>
    <w:rsid w:val="006830D0"/>
    <w:rsid w:val="006831EF"/>
    <w:rsid w:val="0068361F"/>
    <w:rsid w:val="0068464B"/>
    <w:rsid w:val="006846A1"/>
    <w:rsid w:val="00684806"/>
    <w:rsid w:val="006863FE"/>
    <w:rsid w:val="006877D0"/>
    <w:rsid w:val="006904E8"/>
    <w:rsid w:val="0069103E"/>
    <w:rsid w:val="0069126A"/>
    <w:rsid w:val="0069148C"/>
    <w:rsid w:val="0069319A"/>
    <w:rsid w:val="00693638"/>
    <w:rsid w:val="00693DB0"/>
    <w:rsid w:val="00694DC4"/>
    <w:rsid w:val="0069503C"/>
    <w:rsid w:val="006952D9"/>
    <w:rsid w:val="006953FC"/>
    <w:rsid w:val="006969B5"/>
    <w:rsid w:val="0069722F"/>
    <w:rsid w:val="006A0098"/>
    <w:rsid w:val="006A0B98"/>
    <w:rsid w:val="006A19D2"/>
    <w:rsid w:val="006A1E17"/>
    <w:rsid w:val="006A2185"/>
    <w:rsid w:val="006A28C1"/>
    <w:rsid w:val="006A442B"/>
    <w:rsid w:val="006A4887"/>
    <w:rsid w:val="006A48D6"/>
    <w:rsid w:val="006A6673"/>
    <w:rsid w:val="006A73DE"/>
    <w:rsid w:val="006A7D2F"/>
    <w:rsid w:val="006B13A7"/>
    <w:rsid w:val="006B2D15"/>
    <w:rsid w:val="006B448C"/>
    <w:rsid w:val="006B5372"/>
    <w:rsid w:val="006B5AC3"/>
    <w:rsid w:val="006B5B64"/>
    <w:rsid w:val="006B60FA"/>
    <w:rsid w:val="006B746B"/>
    <w:rsid w:val="006B7CFF"/>
    <w:rsid w:val="006C002F"/>
    <w:rsid w:val="006C1A33"/>
    <w:rsid w:val="006C216A"/>
    <w:rsid w:val="006C2ADA"/>
    <w:rsid w:val="006C2BEA"/>
    <w:rsid w:val="006C3CB0"/>
    <w:rsid w:val="006C4331"/>
    <w:rsid w:val="006C4BC9"/>
    <w:rsid w:val="006C5C86"/>
    <w:rsid w:val="006C7749"/>
    <w:rsid w:val="006C7E3B"/>
    <w:rsid w:val="006D1C81"/>
    <w:rsid w:val="006D1DD6"/>
    <w:rsid w:val="006D1DE0"/>
    <w:rsid w:val="006D290F"/>
    <w:rsid w:val="006D2D08"/>
    <w:rsid w:val="006D3A23"/>
    <w:rsid w:val="006D4E80"/>
    <w:rsid w:val="006D7688"/>
    <w:rsid w:val="006D78FA"/>
    <w:rsid w:val="006E15A0"/>
    <w:rsid w:val="006E1767"/>
    <w:rsid w:val="006E1BB8"/>
    <w:rsid w:val="006E20C9"/>
    <w:rsid w:val="006E57B9"/>
    <w:rsid w:val="006E5FAB"/>
    <w:rsid w:val="006E6E56"/>
    <w:rsid w:val="006E7E06"/>
    <w:rsid w:val="006F06A6"/>
    <w:rsid w:val="006F1F52"/>
    <w:rsid w:val="006F1F8A"/>
    <w:rsid w:val="006F2337"/>
    <w:rsid w:val="006F30DD"/>
    <w:rsid w:val="006F3139"/>
    <w:rsid w:val="006F331F"/>
    <w:rsid w:val="006F3B70"/>
    <w:rsid w:val="006F41C4"/>
    <w:rsid w:val="006F5647"/>
    <w:rsid w:val="006F5EB8"/>
    <w:rsid w:val="006F6267"/>
    <w:rsid w:val="006F680E"/>
    <w:rsid w:val="006F7DC5"/>
    <w:rsid w:val="007003B1"/>
    <w:rsid w:val="00700C78"/>
    <w:rsid w:val="00701948"/>
    <w:rsid w:val="0070379B"/>
    <w:rsid w:val="00703AC9"/>
    <w:rsid w:val="0070770C"/>
    <w:rsid w:val="007107F2"/>
    <w:rsid w:val="007111AE"/>
    <w:rsid w:val="007114CE"/>
    <w:rsid w:val="00712934"/>
    <w:rsid w:val="00713AC9"/>
    <w:rsid w:val="00715D9E"/>
    <w:rsid w:val="0071665F"/>
    <w:rsid w:val="007208B6"/>
    <w:rsid w:val="00722447"/>
    <w:rsid w:val="00724382"/>
    <w:rsid w:val="00725070"/>
    <w:rsid w:val="00725E78"/>
    <w:rsid w:val="00725EDA"/>
    <w:rsid w:val="00726876"/>
    <w:rsid w:val="00726F6D"/>
    <w:rsid w:val="00727100"/>
    <w:rsid w:val="00730F3D"/>
    <w:rsid w:val="00730F5D"/>
    <w:rsid w:val="0073105B"/>
    <w:rsid w:val="007311A0"/>
    <w:rsid w:val="0073240B"/>
    <w:rsid w:val="00732F53"/>
    <w:rsid w:val="00733125"/>
    <w:rsid w:val="00734DE6"/>
    <w:rsid w:val="007359F5"/>
    <w:rsid w:val="0073707E"/>
    <w:rsid w:val="0073772C"/>
    <w:rsid w:val="00737BF1"/>
    <w:rsid w:val="0074191F"/>
    <w:rsid w:val="00742ADC"/>
    <w:rsid w:val="00743759"/>
    <w:rsid w:val="00743766"/>
    <w:rsid w:val="007444CA"/>
    <w:rsid w:val="00746488"/>
    <w:rsid w:val="00746C2E"/>
    <w:rsid w:val="0075032C"/>
    <w:rsid w:val="0075046F"/>
    <w:rsid w:val="00751873"/>
    <w:rsid w:val="007530F5"/>
    <w:rsid w:val="0075369F"/>
    <w:rsid w:val="00754448"/>
    <w:rsid w:val="00754DB9"/>
    <w:rsid w:val="0075589B"/>
    <w:rsid w:val="00756700"/>
    <w:rsid w:val="00756959"/>
    <w:rsid w:val="00757308"/>
    <w:rsid w:val="00757411"/>
    <w:rsid w:val="0076109A"/>
    <w:rsid w:val="007647F8"/>
    <w:rsid w:val="007649F4"/>
    <w:rsid w:val="00764C15"/>
    <w:rsid w:val="0076568D"/>
    <w:rsid w:val="00766046"/>
    <w:rsid w:val="0076639E"/>
    <w:rsid w:val="00766510"/>
    <w:rsid w:val="0077339B"/>
    <w:rsid w:val="007736C0"/>
    <w:rsid w:val="00773F84"/>
    <w:rsid w:val="00774BF3"/>
    <w:rsid w:val="00775A74"/>
    <w:rsid w:val="00776E2D"/>
    <w:rsid w:val="007779B6"/>
    <w:rsid w:val="0078025A"/>
    <w:rsid w:val="007804AD"/>
    <w:rsid w:val="0078177E"/>
    <w:rsid w:val="007817DB"/>
    <w:rsid w:val="0078318E"/>
    <w:rsid w:val="00783962"/>
    <w:rsid w:val="00784DE6"/>
    <w:rsid w:val="00785272"/>
    <w:rsid w:val="007862E3"/>
    <w:rsid w:val="00787ECD"/>
    <w:rsid w:val="00790934"/>
    <w:rsid w:val="00791DDD"/>
    <w:rsid w:val="00793A2D"/>
    <w:rsid w:val="00793BEE"/>
    <w:rsid w:val="007943BE"/>
    <w:rsid w:val="00795A51"/>
    <w:rsid w:val="00797286"/>
    <w:rsid w:val="007972D3"/>
    <w:rsid w:val="0079798E"/>
    <w:rsid w:val="00797D9A"/>
    <w:rsid w:val="00797FD5"/>
    <w:rsid w:val="007A08A5"/>
    <w:rsid w:val="007A0B99"/>
    <w:rsid w:val="007A0BFD"/>
    <w:rsid w:val="007A1CF9"/>
    <w:rsid w:val="007A26AC"/>
    <w:rsid w:val="007A2DAF"/>
    <w:rsid w:val="007A3D8D"/>
    <w:rsid w:val="007A3E2D"/>
    <w:rsid w:val="007A507A"/>
    <w:rsid w:val="007A509A"/>
    <w:rsid w:val="007A53C5"/>
    <w:rsid w:val="007A558E"/>
    <w:rsid w:val="007A69C8"/>
    <w:rsid w:val="007A7A80"/>
    <w:rsid w:val="007A7D84"/>
    <w:rsid w:val="007B01F8"/>
    <w:rsid w:val="007B02CB"/>
    <w:rsid w:val="007B05EE"/>
    <w:rsid w:val="007B090B"/>
    <w:rsid w:val="007B0918"/>
    <w:rsid w:val="007B162C"/>
    <w:rsid w:val="007B3BE6"/>
    <w:rsid w:val="007B4003"/>
    <w:rsid w:val="007B4336"/>
    <w:rsid w:val="007B5AB3"/>
    <w:rsid w:val="007B6EDE"/>
    <w:rsid w:val="007B7792"/>
    <w:rsid w:val="007B7BBA"/>
    <w:rsid w:val="007C037E"/>
    <w:rsid w:val="007C0797"/>
    <w:rsid w:val="007C092F"/>
    <w:rsid w:val="007C0EDF"/>
    <w:rsid w:val="007C2061"/>
    <w:rsid w:val="007C2A2E"/>
    <w:rsid w:val="007C30D3"/>
    <w:rsid w:val="007C44E2"/>
    <w:rsid w:val="007C4752"/>
    <w:rsid w:val="007C5175"/>
    <w:rsid w:val="007C5359"/>
    <w:rsid w:val="007D05F8"/>
    <w:rsid w:val="007D0957"/>
    <w:rsid w:val="007D1312"/>
    <w:rsid w:val="007D1415"/>
    <w:rsid w:val="007D1E41"/>
    <w:rsid w:val="007D2A5C"/>
    <w:rsid w:val="007D31BF"/>
    <w:rsid w:val="007D353E"/>
    <w:rsid w:val="007D3AE3"/>
    <w:rsid w:val="007D42AD"/>
    <w:rsid w:val="007D629A"/>
    <w:rsid w:val="007D63F1"/>
    <w:rsid w:val="007D6535"/>
    <w:rsid w:val="007D7448"/>
    <w:rsid w:val="007E104F"/>
    <w:rsid w:val="007E124C"/>
    <w:rsid w:val="007E15A6"/>
    <w:rsid w:val="007E1B7E"/>
    <w:rsid w:val="007E1EDC"/>
    <w:rsid w:val="007E1FD3"/>
    <w:rsid w:val="007E2082"/>
    <w:rsid w:val="007E2A46"/>
    <w:rsid w:val="007E3DD9"/>
    <w:rsid w:val="007E3F24"/>
    <w:rsid w:val="007E4DA1"/>
    <w:rsid w:val="007E5A13"/>
    <w:rsid w:val="007E71C7"/>
    <w:rsid w:val="007E7544"/>
    <w:rsid w:val="007F0338"/>
    <w:rsid w:val="007F0AA6"/>
    <w:rsid w:val="007F0C1D"/>
    <w:rsid w:val="007F328A"/>
    <w:rsid w:val="007F5E4F"/>
    <w:rsid w:val="007F669E"/>
    <w:rsid w:val="007F73FB"/>
    <w:rsid w:val="007F7D7A"/>
    <w:rsid w:val="008000C6"/>
    <w:rsid w:val="00800138"/>
    <w:rsid w:val="008009FF"/>
    <w:rsid w:val="00802AD1"/>
    <w:rsid w:val="0080314A"/>
    <w:rsid w:val="008045BD"/>
    <w:rsid w:val="00804D45"/>
    <w:rsid w:val="008052DA"/>
    <w:rsid w:val="00805EC4"/>
    <w:rsid w:val="008067B2"/>
    <w:rsid w:val="00806EB5"/>
    <w:rsid w:val="008120D1"/>
    <w:rsid w:val="00812EAF"/>
    <w:rsid w:val="00813092"/>
    <w:rsid w:val="0081358D"/>
    <w:rsid w:val="00813DB8"/>
    <w:rsid w:val="0081429D"/>
    <w:rsid w:val="00815369"/>
    <w:rsid w:val="00815724"/>
    <w:rsid w:val="0081577C"/>
    <w:rsid w:val="0081662E"/>
    <w:rsid w:val="0081704F"/>
    <w:rsid w:val="008179FB"/>
    <w:rsid w:val="00820300"/>
    <w:rsid w:val="00820E7F"/>
    <w:rsid w:val="008225C5"/>
    <w:rsid w:val="00822653"/>
    <w:rsid w:val="0082601B"/>
    <w:rsid w:val="008269C1"/>
    <w:rsid w:val="00826A29"/>
    <w:rsid w:val="008276A0"/>
    <w:rsid w:val="00827AC4"/>
    <w:rsid w:val="00830077"/>
    <w:rsid w:val="00830D90"/>
    <w:rsid w:val="00831676"/>
    <w:rsid w:val="008323B6"/>
    <w:rsid w:val="0083262E"/>
    <w:rsid w:val="008330D8"/>
    <w:rsid w:val="00834A4D"/>
    <w:rsid w:val="008352F3"/>
    <w:rsid w:val="008354AD"/>
    <w:rsid w:val="008365E2"/>
    <w:rsid w:val="00840569"/>
    <w:rsid w:val="008410A0"/>
    <w:rsid w:val="00841BEC"/>
    <w:rsid w:val="00842022"/>
    <w:rsid w:val="008425A4"/>
    <w:rsid w:val="00842E6E"/>
    <w:rsid w:val="0084372E"/>
    <w:rsid w:val="008458A6"/>
    <w:rsid w:val="00845AB7"/>
    <w:rsid w:val="00847318"/>
    <w:rsid w:val="0085019F"/>
    <w:rsid w:val="00850250"/>
    <w:rsid w:val="0085065A"/>
    <w:rsid w:val="00850692"/>
    <w:rsid w:val="00852261"/>
    <w:rsid w:val="008527D7"/>
    <w:rsid w:val="00852F5E"/>
    <w:rsid w:val="00853704"/>
    <w:rsid w:val="008539FB"/>
    <w:rsid w:val="00853B0A"/>
    <w:rsid w:val="008545D1"/>
    <w:rsid w:val="0085557C"/>
    <w:rsid w:val="00856069"/>
    <w:rsid w:val="008568A0"/>
    <w:rsid w:val="00857B69"/>
    <w:rsid w:val="00857C6A"/>
    <w:rsid w:val="008604BA"/>
    <w:rsid w:val="008604F4"/>
    <w:rsid w:val="0086126F"/>
    <w:rsid w:val="00861A10"/>
    <w:rsid w:val="00861B7B"/>
    <w:rsid w:val="008641E2"/>
    <w:rsid w:val="008646C4"/>
    <w:rsid w:val="0086491A"/>
    <w:rsid w:val="0086538F"/>
    <w:rsid w:val="0086577B"/>
    <w:rsid w:val="00866279"/>
    <w:rsid w:val="008666D8"/>
    <w:rsid w:val="008676D0"/>
    <w:rsid w:val="008708D6"/>
    <w:rsid w:val="00870ACC"/>
    <w:rsid w:val="00870CF1"/>
    <w:rsid w:val="00870D88"/>
    <w:rsid w:val="00871AC5"/>
    <w:rsid w:val="00873E0F"/>
    <w:rsid w:val="0087449A"/>
    <w:rsid w:val="00875C2E"/>
    <w:rsid w:val="00875E99"/>
    <w:rsid w:val="00877B73"/>
    <w:rsid w:val="0088093C"/>
    <w:rsid w:val="00880977"/>
    <w:rsid w:val="00881F16"/>
    <w:rsid w:val="00882CA0"/>
    <w:rsid w:val="00882FB3"/>
    <w:rsid w:val="00882FBE"/>
    <w:rsid w:val="00883904"/>
    <w:rsid w:val="008847C0"/>
    <w:rsid w:val="0088496F"/>
    <w:rsid w:val="008860F3"/>
    <w:rsid w:val="00886615"/>
    <w:rsid w:val="00886677"/>
    <w:rsid w:val="00890F1B"/>
    <w:rsid w:val="00891F36"/>
    <w:rsid w:val="008932C0"/>
    <w:rsid w:val="008958B0"/>
    <w:rsid w:val="00895F7D"/>
    <w:rsid w:val="008A00D6"/>
    <w:rsid w:val="008A0E84"/>
    <w:rsid w:val="008A2391"/>
    <w:rsid w:val="008A2D39"/>
    <w:rsid w:val="008A33D1"/>
    <w:rsid w:val="008A355C"/>
    <w:rsid w:val="008A6521"/>
    <w:rsid w:val="008A6ACE"/>
    <w:rsid w:val="008A7F4C"/>
    <w:rsid w:val="008B014F"/>
    <w:rsid w:val="008B0D0A"/>
    <w:rsid w:val="008B0FD7"/>
    <w:rsid w:val="008B1779"/>
    <w:rsid w:val="008B1ADB"/>
    <w:rsid w:val="008B1C4C"/>
    <w:rsid w:val="008B2018"/>
    <w:rsid w:val="008B2480"/>
    <w:rsid w:val="008B2B60"/>
    <w:rsid w:val="008B526C"/>
    <w:rsid w:val="008B566B"/>
    <w:rsid w:val="008B5B2B"/>
    <w:rsid w:val="008B656D"/>
    <w:rsid w:val="008B6FC3"/>
    <w:rsid w:val="008B7113"/>
    <w:rsid w:val="008C25D8"/>
    <w:rsid w:val="008C30B6"/>
    <w:rsid w:val="008C3259"/>
    <w:rsid w:val="008C3632"/>
    <w:rsid w:val="008C5012"/>
    <w:rsid w:val="008C5CD0"/>
    <w:rsid w:val="008C69F4"/>
    <w:rsid w:val="008C6AA1"/>
    <w:rsid w:val="008C6AEA"/>
    <w:rsid w:val="008C7D05"/>
    <w:rsid w:val="008D040C"/>
    <w:rsid w:val="008D0E2B"/>
    <w:rsid w:val="008D2310"/>
    <w:rsid w:val="008D2E16"/>
    <w:rsid w:val="008D2FA1"/>
    <w:rsid w:val="008D370F"/>
    <w:rsid w:val="008D3B3E"/>
    <w:rsid w:val="008D3D9E"/>
    <w:rsid w:val="008D4920"/>
    <w:rsid w:val="008D5074"/>
    <w:rsid w:val="008D53D2"/>
    <w:rsid w:val="008D573A"/>
    <w:rsid w:val="008D5D5C"/>
    <w:rsid w:val="008D6973"/>
    <w:rsid w:val="008D6C67"/>
    <w:rsid w:val="008D6E03"/>
    <w:rsid w:val="008D778F"/>
    <w:rsid w:val="008D7983"/>
    <w:rsid w:val="008E0464"/>
    <w:rsid w:val="008E113B"/>
    <w:rsid w:val="008E171A"/>
    <w:rsid w:val="008E19E4"/>
    <w:rsid w:val="008E1CBD"/>
    <w:rsid w:val="008E28E4"/>
    <w:rsid w:val="008E56BD"/>
    <w:rsid w:val="008E5D9F"/>
    <w:rsid w:val="008E75F5"/>
    <w:rsid w:val="008E7B70"/>
    <w:rsid w:val="008F02BC"/>
    <w:rsid w:val="008F140A"/>
    <w:rsid w:val="008F2189"/>
    <w:rsid w:val="008F290C"/>
    <w:rsid w:val="008F36BC"/>
    <w:rsid w:val="008F3C1E"/>
    <w:rsid w:val="008F418C"/>
    <w:rsid w:val="008F41D6"/>
    <w:rsid w:val="008F5AA8"/>
    <w:rsid w:val="008F5ACE"/>
    <w:rsid w:val="008F5B0A"/>
    <w:rsid w:val="008F62F4"/>
    <w:rsid w:val="008F66A7"/>
    <w:rsid w:val="008F6884"/>
    <w:rsid w:val="008F68C2"/>
    <w:rsid w:val="008F6B18"/>
    <w:rsid w:val="008F6B95"/>
    <w:rsid w:val="008F70DE"/>
    <w:rsid w:val="00900196"/>
    <w:rsid w:val="0090062B"/>
    <w:rsid w:val="00900D25"/>
    <w:rsid w:val="00901438"/>
    <w:rsid w:val="00903C46"/>
    <w:rsid w:val="009041CF"/>
    <w:rsid w:val="00905C84"/>
    <w:rsid w:val="009064AF"/>
    <w:rsid w:val="00906EB5"/>
    <w:rsid w:val="009072EB"/>
    <w:rsid w:val="009104DB"/>
    <w:rsid w:val="0091181A"/>
    <w:rsid w:val="009119AB"/>
    <w:rsid w:val="009122A6"/>
    <w:rsid w:val="00912DEA"/>
    <w:rsid w:val="00914100"/>
    <w:rsid w:val="00914EE6"/>
    <w:rsid w:val="009168ED"/>
    <w:rsid w:val="00920343"/>
    <w:rsid w:val="009214D7"/>
    <w:rsid w:val="009220AE"/>
    <w:rsid w:val="0092242F"/>
    <w:rsid w:val="00922496"/>
    <w:rsid w:val="009226E9"/>
    <w:rsid w:val="00922CCC"/>
    <w:rsid w:val="00922E14"/>
    <w:rsid w:val="009233A3"/>
    <w:rsid w:val="00923918"/>
    <w:rsid w:val="00923DAB"/>
    <w:rsid w:val="009241B1"/>
    <w:rsid w:val="00924B99"/>
    <w:rsid w:val="00924CB9"/>
    <w:rsid w:val="009250D6"/>
    <w:rsid w:val="009276D6"/>
    <w:rsid w:val="00927AB1"/>
    <w:rsid w:val="00927C3C"/>
    <w:rsid w:val="00927F34"/>
    <w:rsid w:val="009304CD"/>
    <w:rsid w:val="00930768"/>
    <w:rsid w:val="00930971"/>
    <w:rsid w:val="00930DD6"/>
    <w:rsid w:val="0093143C"/>
    <w:rsid w:val="00931B39"/>
    <w:rsid w:val="00931B48"/>
    <w:rsid w:val="00932DA3"/>
    <w:rsid w:val="00932DFF"/>
    <w:rsid w:val="0093345E"/>
    <w:rsid w:val="0093555D"/>
    <w:rsid w:val="009363C6"/>
    <w:rsid w:val="009370FE"/>
    <w:rsid w:val="00937498"/>
    <w:rsid w:val="00940B62"/>
    <w:rsid w:val="00941E29"/>
    <w:rsid w:val="009427AE"/>
    <w:rsid w:val="00943372"/>
    <w:rsid w:val="00943AF9"/>
    <w:rsid w:val="009441F5"/>
    <w:rsid w:val="00945F80"/>
    <w:rsid w:val="009471C6"/>
    <w:rsid w:val="009504FC"/>
    <w:rsid w:val="00951975"/>
    <w:rsid w:val="00951A0E"/>
    <w:rsid w:val="00951AE1"/>
    <w:rsid w:val="00951CB5"/>
    <w:rsid w:val="0095244B"/>
    <w:rsid w:val="00953943"/>
    <w:rsid w:val="0095397C"/>
    <w:rsid w:val="009552B5"/>
    <w:rsid w:val="00956B59"/>
    <w:rsid w:val="00956E2E"/>
    <w:rsid w:val="00956FC1"/>
    <w:rsid w:val="00957449"/>
    <w:rsid w:val="00960675"/>
    <w:rsid w:val="00961B64"/>
    <w:rsid w:val="00961CB4"/>
    <w:rsid w:val="0096213C"/>
    <w:rsid w:val="00964659"/>
    <w:rsid w:val="00964834"/>
    <w:rsid w:val="009660AE"/>
    <w:rsid w:val="00966710"/>
    <w:rsid w:val="00970323"/>
    <w:rsid w:val="00970FA0"/>
    <w:rsid w:val="00972373"/>
    <w:rsid w:val="00972B04"/>
    <w:rsid w:val="00973196"/>
    <w:rsid w:val="00975399"/>
    <w:rsid w:val="009756BB"/>
    <w:rsid w:val="00975E55"/>
    <w:rsid w:val="00976C40"/>
    <w:rsid w:val="009809A7"/>
    <w:rsid w:val="00980BD1"/>
    <w:rsid w:val="0098101C"/>
    <w:rsid w:val="009817E9"/>
    <w:rsid w:val="009825DF"/>
    <w:rsid w:val="009834C7"/>
    <w:rsid w:val="00983AF6"/>
    <w:rsid w:val="00984A9D"/>
    <w:rsid w:val="0098511E"/>
    <w:rsid w:val="00985475"/>
    <w:rsid w:val="00985D1F"/>
    <w:rsid w:val="00986E33"/>
    <w:rsid w:val="0098750A"/>
    <w:rsid w:val="009877EF"/>
    <w:rsid w:val="00987877"/>
    <w:rsid w:val="00990EA3"/>
    <w:rsid w:val="009919CC"/>
    <w:rsid w:val="00991DD7"/>
    <w:rsid w:val="0099255F"/>
    <w:rsid w:val="00993839"/>
    <w:rsid w:val="00993A28"/>
    <w:rsid w:val="00997182"/>
    <w:rsid w:val="0099768F"/>
    <w:rsid w:val="009A03A5"/>
    <w:rsid w:val="009A29E6"/>
    <w:rsid w:val="009A2AF6"/>
    <w:rsid w:val="009A3127"/>
    <w:rsid w:val="009A3539"/>
    <w:rsid w:val="009A3812"/>
    <w:rsid w:val="009A3AB3"/>
    <w:rsid w:val="009A4375"/>
    <w:rsid w:val="009A5647"/>
    <w:rsid w:val="009A56CE"/>
    <w:rsid w:val="009A5877"/>
    <w:rsid w:val="009A667B"/>
    <w:rsid w:val="009A687E"/>
    <w:rsid w:val="009A697A"/>
    <w:rsid w:val="009B05F4"/>
    <w:rsid w:val="009B1001"/>
    <w:rsid w:val="009B34B5"/>
    <w:rsid w:val="009B3840"/>
    <w:rsid w:val="009B38E8"/>
    <w:rsid w:val="009B4DD5"/>
    <w:rsid w:val="009B54E3"/>
    <w:rsid w:val="009B552C"/>
    <w:rsid w:val="009B5877"/>
    <w:rsid w:val="009B5A5C"/>
    <w:rsid w:val="009B5C45"/>
    <w:rsid w:val="009B75D7"/>
    <w:rsid w:val="009B7AD7"/>
    <w:rsid w:val="009C03D7"/>
    <w:rsid w:val="009C056F"/>
    <w:rsid w:val="009C057D"/>
    <w:rsid w:val="009C08E7"/>
    <w:rsid w:val="009C1599"/>
    <w:rsid w:val="009C2EB3"/>
    <w:rsid w:val="009C528B"/>
    <w:rsid w:val="009C54FA"/>
    <w:rsid w:val="009C61EE"/>
    <w:rsid w:val="009C6C06"/>
    <w:rsid w:val="009C6D9B"/>
    <w:rsid w:val="009D0213"/>
    <w:rsid w:val="009D14D0"/>
    <w:rsid w:val="009D3AA0"/>
    <w:rsid w:val="009D3B68"/>
    <w:rsid w:val="009D3B9F"/>
    <w:rsid w:val="009D3D58"/>
    <w:rsid w:val="009D4249"/>
    <w:rsid w:val="009D4BFD"/>
    <w:rsid w:val="009D55F5"/>
    <w:rsid w:val="009D5D20"/>
    <w:rsid w:val="009D6DC5"/>
    <w:rsid w:val="009D6F88"/>
    <w:rsid w:val="009E074F"/>
    <w:rsid w:val="009E0C0E"/>
    <w:rsid w:val="009E1F2B"/>
    <w:rsid w:val="009E3F4E"/>
    <w:rsid w:val="009E415F"/>
    <w:rsid w:val="009E4332"/>
    <w:rsid w:val="009E464C"/>
    <w:rsid w:val="009E4EE2"/>
    <w:rsid w:val="009E5B6B"/>
    <w:rsid w:val="009E5B7C"/>
    <w:rsid w:val="009E7051"/>
    <w:rsid w:val="009E73E7"/>
    <w:rsid w:val="009E76A5"/>
    <w:rsid w:val="009E7703"/>
    <w:rsid w:val="009E786F"/>
    <w:rsid w:val="009E7B6E"/>
    <w:rsid w:val="009F156D"/>
    <w:rsid w:val="009F26B9"/>
    <w:rsid w:val="009F2BEE"/>
    <w:rsid w:val="009F3B02"/>
    <w:rsid w:val="009F415C"/>
    <w:rsid w:val="009F5040"/>
    <w:rsid w:val="009F51CB"/>
    <w:rsid w:val="009F533D"/>
    <w:rsid w:val="009F68F2"/>
    <w:rsid w:val="009F6E7E"/>
    <w:rsid w:val="009F7064"/>
    <w:rsid w:val="009F76BC"/>
    <w:rsid w:val="00A00A07"/>
    <w:rsid w:val="00A00BC5"/>
    <w:rsid w:val="00A00E17"/>
    <w:rsid w:val="00A026E5"/>
    <w:rsid w:val="00A0635A"/>
    <w:rsid w:val="00A06939"/>
    <w:rsid w:val="00A06B02"/>
    <w:rsid w:val="00A06EE5"/>
    <w:rsid w:val="00A07B34"/>
    <w:rsid w:val="00A11D42"/>
    <w:rsid w:val="00A129A4"/>
    <w:rsid w:val="00A1308D"/>
    <w:rsid w:val="00A13549"/>
    <w:rsid w:val="00A16682"/>
    <w:rsid w:val="00A2179F"/>
    <w:rsid w:val="00A22B3A"/>
    <w:rsid w:val="00A232E0"/>
    <w:rsid w:val="00A233BB"/>
    <w:rsid w:val="00A24769"/>
    <w:rsid w:val="00A24AA4"/>
    <w:rsid w:val="00A25A07"/>
    <w:rsid w:val="00A2628E"/>
    <w:rsid w:val="00A26E9B"/>
    <w:rsid w:val="00A2717F"/>
    <w:rsid w:val="00A2754D"/>
    <w:rsid w:val="00A27D39"/>
    <w:rsid w:val="00A27D75"/>
    <w:rsid w:val="00A27E5E"/>
    <w:rsid w:val="00A31D13"/>
    <w:rsid w:val="00A32526"/>
    <w:rsid w:val="00A332BC"/>
    <w:rsid w:val="00A3342F"/>
    <w:rsid w:val="00A3578C"/>
    <w:rsid w:val="00A35DE2"/>
    <w:rsid w:val="00A368C0"/>
    <w:rsid w:val="00A37CFE"/>
    <w:rsid w:val="00A4048E"/>
    <w:rsid w:val="00A40575"/>
    <w:rsid w:val="00A40868"/>
    <w:rsid w:val="00A42D4E"/>
    <w:rsid w:val="00A43511"/>
    <w:rsid w:val="00A444B1"/>
    <w:rsid w:val="00A44A41"/>
    <w:rsid w:val="00A46158"/>
    <w:rsid w:val="00A50D47"/>
    <w:rsid w:val="00A51A7F"/>
    <w:rsid w:val="00A520ED"/>
    <w:rsid w:val="00A52775"/>
    <w:rsid w:val="00A54ED5"/>
    <w:rsid w:val="00A55A24"/>
    <w:rsid w:val="00A57665"/>
    <w:rsid w:val="00A57F28"/>
    <w:rsid w:val="00A61F9B"/>
    <w:rsid w:val="00A6230D"/>
    <w:rsid w:val="00A6271E"/>
    <w:rsid w:val="00A62AFB"/>
    <w:rsid w:val="00A634AF"/>
    <w:rsid w:val="00A6356E"/>
    <w:rsid w:val="00A63DF2"/>
    <w:rsid w:val="00A646EE"/>
    <w:rsid w:val="00A66A0F"/>
    <w:rsid w:val="00A66B44"/>
    <w:rsid w:val="00A70AB7"/>
    <w:rsid w:val="00A710AA"/>
    <w:rsid w:val="00A718E5"/>
    <w:rsid w:val="00A71F9F"/>
    <w:rsid w:val="00A726EC"/>
    <w:rsid w:val="00A7316C"/>
    <w:rsid w:val="00A73404"/>
    <w:rsid w:val="00A738EA"/>
    <w:rsid w:val="00A74410"/>
    <w:rsid w:val="00A75DBF"/>
    <w:rsid w:val="00A76B2B"/>
    <w:rsid w:val="00A77CE0"/>
    <w:rsid w:val="00A8148A"/>
    <w:rsid w:val="00A84A31"/>
    <w:rsid w:val="00A85229"/>
    <w:rsid w:val="00A861D2"/>
    <w:rsid w:val="00A876AD"/>
    <w:rsid w:val="00A90BE6"/>
    <w:rsid w:val="00A91CE4"/>
    <w:rsid w:val="00A91F68"/>
    <w:rsid w:val="00A927D2"/>
    <w:rsid w:val="00A9353D"/>
    <w:rsid w:val="00A93CED"/>
    <w:rsid w:val="00A94C35"/>
    <w:rsid w:val="00A94FEB"/>
    <w:rsid w:val="00A96132"/>
    <w:rsid w:val="00A96743"/>
    <w:rsid w:val="00AA0529"/>
    <w:rsid w:val="00AA0575"/>
    <w:rsid w:val="00AA117C"/>
    <w:rsid w:val="00AA1C41"/>
    <w:rsid w:val="00AA2A2B"/>
    <w:rsid w:val="00AA2BF4"/>
    <w:rsid w:val="00AA53B9"/>
    <w:rsid w:val="00AA581D"/>
    <w:rsid w:val="00AA6CFD"/>
    <w:rsid w:val="00AA7731"/>
    <w:rsid w:val="00AB0264"/>
    <w:rsid w:val="00AB1053"/>
    <w:rsid w:val="00AB18CE"/>
    <w:rsid w:val="00AB2464"/>
    <w:rsid w:val="00AB3C29"/>
    <w:rsid w:val="00AB5229"/>
    <w:rsid w:val="00AB525C"/>
    <w:rsid w:val="00AB5D12"/>
    <w:rsid w:val="00AB6103"/>
    <w:rsid w:val="00AB6283"/>
    <w:rsid w:val="00AB68CA"/>
    <w:rsid w:val="00AB7794"/>
    <w:rsid w:val="00AC03B4"/>
    <w:rsid w:val="00AC0752"/>
    <w:rsid w:val="00AC1347"/>
    <w:rsid w:val="00AC1EC3"/>
    <w:rsid w:val="00AC27D4"/>
    <w:rsid w:val="00AC33D2"/>
    <w:rsid w:val="00AC3B87"/>
    <w:rsid w:val="00AC3C0E"/>
    <w:rsid w:val="00AC4586"/>
    <w:rsid w:val="00AC51B8"/>
    <w:rsid w:val="00AC564B"/>
    <w:rsid w:val="00AC639A"/>
    <w:rsid w:val="00AC6DC0"/>
    <w:rsid w:val="00AC74CF"/>
    <w:rsid w:val="00AD0A2E"/>
    <w:rsid w:val="00AD0A2F"/>
    <w:rsid w:val="00AD1136"/>
    <w:rsid w:val="00AD13A4"/>
    <w:rsid w:val="00AD25C8"/>
    <w:rsid w:val="00AD28BB"/>
    <w:rsid w:val="00AD4824"/>
    <w:rsid w:val="00AD6414"/>
    <w:rsid w:val="00AD7FAD"/>
    <w:rsid w:val="00AE045E"/>
    <w:rsid w:val="00AE053C"/>
    <w:rsid w:val="00AE05F8"/>
    <w:rsid w:val="00AE295B"/>
    <w:rsid w:val="00AE414F"/>
    <w:rsid w:val="00AE5261"/>
    <w:rsid w:val="00AE6450"/>
    <w:rsid w:val="00AE679C"/>
    <w:rsid w:val="00AF0815"/>
    <w:rsid w:val="00AF12D0"/>
    <w:rsid w:val="00AF1AE3"/>
    <w:rsid w:val="00AF1DAC"/>
    <w:rsid w:val="00AF2227"/>
    <w:rsid w:val="00AF37B1"/>
    <w:rsid w:val="00AF4BD8"/>
    <w:rsid w:val="00AF4C0B"/>
    <w:rsid w:val="00AF5E71"/>
    <w:rsid w:val="00AF5F69"/>
    <w:rsid w:val="00AF6404"/>
    <w:rsid w:val="00AF715B"/>
    <w:rsid w:val="00B0227F"/>
    <w:rsid w:val="00B02623"/>
    <w:rsid w:val="00B02FFF"/>
    <w:rsid w:val="00B03B5C"/>
    <w:rsid w:val="00B04CD7"/>
    <w:rsid w:val="00B0526E"/>
    <w:rsid w:val="00B1091C"/>
    <w:rsid w:val="00B10A9C"/>
    <w:rsid w:val="00B11B60"/>
    <w:rsid w:val="00B125DF"/>
    <w:rsid w:val="00B1342F"/>
    <w:rsid w:val="00B15953"/>
    <w:rsid w:val="00B161D0"/>
    <w:rsid w:val="00B1654C"/>
    <w:rsid w:val="00B17033"/>
    <w:rsid w:val="00B17E30"/>
    <w:rsid w:val="00B20795"/>
    <w:rsid w:val="00B20BD0"/>
    <w:rsid w:val="00B21C7B"/>
    <w:rsid w:val="00B2230C"/>
    <w:rsid w:val="00B225E7"/>
    <w:rsid w:val="00B22916"/>
    <w:rsid w:val="00B23997"/>
    <w:rsid w:val="00B24A50"/>
    <w:rsid w:val="00B25428"/>
    <w:rsid w:val="00B2719B"/>
    <w:rsid w:val="00B31281"/>
    <w:rsid w:val="00B31430"/>
    <w:rsid w:val="00B322DA"/>
    <w:rsid w:val="00B327DD"/>
    <w:rsid w:val="00B3301A"/>
    <w:rsid w:val="00B3425D"/>
    <w:rsid w:val="00B34719"/>
    <w:rsid w:val="00B3578C"/>
    <w:rsid w:val="00B35901"/>
    <w:rsid w:val="00B361F5"/>
    <w:rsid w:val="00B40C8B"/>
    <w:rsid w:val="00B41238"/>
    <w:rsid w:val="00B416F4"/>
    <w:rsid w:val="00B417B4"/>
    <w:rsid w:val="00B4281A"/>
    <w:rsid w:val="00B443EF"/>
    <w:rsid w:val="00B44667"/>
    <w:rsid w:val="00B45637"/>
    <w:rsid w:val="00B45B6D"/>
    <w:rsid w:val="00B4667C"/>
    <w:rsid w:val="00B47358"/>
    <w:rsid w:val="00B50E51"/>
    <w:rsid w:val="00B50EF8"/>
    <w:rsid w:val="00B51AF6"/>
    <w:rsid w:val="00B5246F"/>
    <w:rsid w:val="00B524CD"/>
    <w:rsid w:val="00B52A21"/>
    <w:rsid w:val="00B53711"/>
    <w:rsid w:val="00B579A1"/>
    <w:rsid w:val="00B61679"/>
    <w:rsid w:val="00B61AA7"/>
    <w:rsid w:val="00B61F76"/>
    <w:rsid w:val="00B6248B"/>
    <w:rsid w:val="00B62AFD"/>
    <w:rsid w:val="00B62B81"/>
    <w:rsid w:val="00B635E2"/>
    <w:rsid w:val="00B63CC5"/>
    <w:rsid w:val="00B64798"/>
    <w:rsid w:val="00B66CA1"/>
    <w:rsid w:val="00B674D6"/>
    <w:rsid w:val="00B67AAF"/>
    <w:rsid w:val="00B7066F"/>
    <w:rsid w:val="00B70C91"/>
    <w:rsid w:val="00B71EB2"/>
    <w:rsid w:val="00B72DBD"/>
    <w:rsid w:val="00B72FEB"/>
    <w:rsid w:val="00B73257"/>
    <w:rsid w:val="00B747C8"/>
    <w:rsid w:val="00B7493D"/>
    <w:rsid w:val="00B7498F"/>
    <w:rsid w:val="00B74A77"/>
    <w:rsid w:val="00B74BFA"/>
    <w:rsid w:val="00B7661F"/>
    <w:rsid w:val="00B7717D"/>
    <w:rsid w:val="00B8004E"/>
    <w:rsid w:val="00B80712"/>
    <w:rsid w:val="00B80D6D"/>
    <w:rsid w:val="00B819D8"/>
    <w:rsid w:val="00B82835"/>
    <w:rsid w:val="00B833F1"/>
    <w:rsid w:val="00B83851"/>
    <w:rsid w:val="00B83C0D"/>
    <w:rsid w:val="00B84608"/>
    <w:rsid w:val="00B8655C"/>
    <w:rsid w:val="00B87676"/>
    <w:rsid w:val="00B8794F"/>
    <w:rsid w:val="00B900A7"/>
    <w:rsid w:val="00B9125A"/>
    <w:rsid w:val="00B91569"/>
    <w:rsid w:val="00B91AC1"/>
    <w:rsid w:val="00B91E89"/>
    <w:rsid w:val="00B9226A"/>
    <w:rsid w:val="00B9308F"/>
    <w:rsid w:val="00B9329E"/>
    <w:rsid w:val="00B9345E"/>
    <w:rsid w:val="00B9361F"/>
    <w:rsid w:val="00B93987"/>
    <w:rsid w:val="00B93A7E"/>
    <w:rsid w:val="00B93D87"/>
    <w:rsid w:val="00B94457"/>
    <w:rsid w:val="00B95317"/>
    <w:rsid w:val="00B960F9"/>
    <w:rsid w:val="00BA1E3E"/>
    <w:rsid w:val="00BA2779"/>
    <w:rsid w:val="00BA4818"/>
    <w:rsid w:val="00BA6C38"/>
    <w:rsid w:val="00BB0562"/>
    <w:rsid w:val="00BB09F0"/>
    <w:rsid w:val="00BB0B24"/>
    <w:rsid w:val="00BB1E11"/>
    <w:rsid w:val="00BB2BAF"/>
    <w:rsid w:val="00BB3601"/>
    <w:rsid w:val="00BB376E"/>
    <w:rsid w:val="00BB3A09"/>
    <w:rsid w:val="00BB40A3"/>
    <w:rsid w:val="00BB4508"/>
    <w:rsid w:val="00BB5EFD"/>
    <w:rsid w:val="00BB6349"/>
    <w:rsid w:val="00BB670F"/>
    <w:rsid w:val="00BB6763"/>
    <w:rsid w:val="00BB7156"/>
    <w:rsid w:val="00BC0D34"/>
    <w:rsid w:val="00BC1BB6"/>
    <w:rsid w:val="00BC26E2"/>
    <w:rsid w:val="00BC3B99"/>
    <w:rsid w:val="00BC3DC0"/>
    <w:rsid w:val="00BC3EE7"/>
    <w:rsid w:val="00BC4434"/>
    <w:rsid w:val="00BC599F"/>
    <w:rsid w:val="00BC5B0E"/>
    <w:rsid w:val="00BC669F"/>
    <w:rsid w:val="00BC713B"/>
    <w:rsid w:val="00BC7210"/>
    <w:rsid w:val="00BD034B"/>
    <w:rsid w:val="00BD0391"/>
    <w:rsid w:val="00BD0772"/>
    <w:rsid w:val="00BD0BFB"/>
    <w:rsid w:val="00BD19FD"/>
    <w:rsid w:val="00BD28DE"/>
    <w:rsid w:val="00BD2DFA"/>
    <w:rsid w:val="00BD3224"/>
    <w:rsid w:val="00BD32B9"/>
    <w:rsid w:val="00BD3A65"/>
    <w:rsid w:val="00BD45D2"/>
    <w:rsid w:val="00BD600E"/>
    <w:rsid w:val="00BD6C18"/>
    <w:rsid w:val="00BD7966"/>
    <w:rsid w:val="00BD7A1E"/>
    <w:rsid w:val="00BD7A9E"/>
    <w:rsid w:val="00BD7F20"/>
    <w:rsid w:val="00BE0210"/>
    <w:rsid w:val="00BE07EB"/>
    <w:rsid w:val="00BE097F"/>
    <w:rsid w:val="00BE0A8A"/>
    <w:rsid w:val="00BE15B5"/>
    <w:rsid w:val="00BE199C"/>
    <w:rsid w:val="00BE28FF"/>
    <w:rsid w:val="00BE3699"/>
    <w:rsid w:val="00BE3F83"/>
    <w:rsid w:val="00BE412F"/>
    <w:rsid w:val="00BE62CC"/>
    <w:rsid w:val="00BE6B8A"/>
    <w:rsid w:val="00BF0462"/>
    <w:rsid w:val="00BF0C03"/>
    <w:rsid w:val="00BF0D72"/>
    <w:rsid w:val="00BF2ED8"/>
    <w:rsid w:val="00BF3939"/>
    <w:rsid w:val="00BF5872"/>
    <w:rsid w:val="00BF6A13"/>
    <w:rsid w:val="00BF6C43"/>
    <w:rsid w:val="00C0057E"/>
    <w:rsid w:val="00C0120D"/>
    <w:rsid w:val="00C01FCF"/>
    <w:rsid w:val="00C02036"/>
    <w:rsid w:val="00C032FD"/>
    <w:rsid w:val="00C0473A"/>
    <w:rsid w:val="00C04F31"/>
    <w:rsid w:val="00C04F50"/>
    <w:rsid w:val="00C050EC"/>
    <w:rsid w:val="00C05366"/>
    <w:rsid w:val="00C06B13"/>
    <w:rsid w:val="00C06EFA"/>
    <w:rsid w:val="00C1079A"/>
    <w:rsid w:val="00C10A80"/>
    <w:rsid w:val="00C10F02"/>
    <w:rsid w:val="00C11047"/>
    <w:rsid w:val="00C11FA9"/>
    <w:rsid w:val="00C13F54"/>
    <w:rsid w:val="00C16D1F"/>
    <w:rsid w:val="00C17ED7"/>
    <w:rsid w:val="00C2132B"/>
    <w:rsid w:val="00C21F32"/>
    <w:rsid w:val="00C230F9"/>
    <w:rsid w:val="00C252BD"/>
    <w:rsid w:val="00C2618E"/>
    <w:rsid w:val="00C26716"/>
    <w:rsid w:val="00C26857"/>
    <w:rsid w:val="00C26B35"/>
    <w:rsid w:val="00C3024F"/>
    <w:rsid w:val="00C31FBB"/>
    <w:rsid w:val="00C323B6"/>
    <w:rsid w:val="00C32C2C"/>
    <w:rsid w:val="00C337C5"/>
    <w:rsid w:val="00C339D4"/>
    <w:rsid w:val="00C3489B"/>
    <w:rsid w:val="00C34956"/>
    <w:rsid w:val="00C34962"/>
    <w:rsid w:val="00C35B1E"/>
    <w:rsid w:val="00C36188"/>
    <w:rsid w:val="00C37305"/>
    <w:rsid w:val="00C40250"/>
    <w:rsid w:val="00C40558"/>
    <w:rsid w:val="00C406D9"/>
    <w:rsid w:val="00C41889"/>
    <w:rsid w:val="00C43199"/>
    <w:rsid w:val="00C44808"/>
    <w:rsid w:val="00C46006"/>
    <w:rsid w:val="00C46973"/>
    <w:rsid w:val="00C46D9B"/>
    <w:rsid w:val="00C50009"/>
    <w:rsid w:val="00C5015F"/>
    <w:rsid w:val="00C507C2"/>
    <w:rsid w:val="00C50C30"/>
    <w:rsid w:val="00C512F8"/>
    <w:rsid w:val="00C524E7"/>
    <w:rsid w:val="00C5298F"/>
    <w:rsid w:val="00C52D77"/>
    <w:rsid w:val="00C53023"/>
    <w:rsid w:val="00C55C9D"/>
    <w:rsid w:val="00C57624"/>
    <w:rsid w:val="00C57AA7"/>
    <w:rsid w:val="00C61167"/>
    <w:rsid w:val="00C615ED"/>
    <w:rsid w:val="00C62B35"/>
    <w:rsid w:val="00C6354C"/>
    <w:rsid w:val="00C667DC"/>
    <w:rsid w:val="00C6697D"/>
    <w:rsid w:val="00C675A5"/>
    <w:rsid w:val="00C67A64"/>
    <w:rsid w:val="00C67D2C"/>
    <w:rsid w:val="00C70CF3"/>
    <w:rsid w:val="00C72082"/>
    <w:rsid w:val="00C7276D"/>
    <w:rsid w:val="00C73062"/>
    <w:rsid w:val="00C733E2"/>
    <w:rsid w:val="00C74054"/>
    <w:rsid w:val="00C75D8D"/>
    <w:rsid w:val="00C7630D"/>
    <w:rsid w:val="00C7660C"/>
    <w:rsid w:val="00C77060"/>
    <w:rsid w:val="00C77B81"/>
    <w:rsid w:val="00C80CB9"/>
    <w:rsid w:val="00C81103"/>
    <w:rsid w:val="00C825D0"/>
    <w:rsid w:val="00C825D5"/>
    <w:rsid w:val="00C825FB"/>
    <w:rsid w:val="00C845F9"/>
    <w:rsid w:val="00C85D59"/>
    <w:rsid w:val="00C8662D"/>
    <w:rsid w:val="00C92B71"/>
    <w:rsid w:val="00C956D5"/>
    <w:rsid w:val="00C958E1"/>
    <w:rsid w:val="00C961CB"/>
    <w:rsid w:val="00CA002C"/>
    <w:rsid w:val="00CA01D6"/>
    <w:rsid w:val="00CA0C4D"/>
    <w:rsid w:val="00CA0D45"/>
    <w:rsid w:val="00CA182B"/>
    <w:rsid w:val="00CA1917"/>
    <w:rsid w:val="00CA1CF7"/>
    <w:rsid w:val="00CA3AD6"/>
    <w:rsid w:val="00CA43E2"/>
    <w:rsid w:val="00CA58A2"/>
    <w:rsid w:val="00CA58E8"/>
    <w:rsid w:val="00CA5FA0"/>
    <w:rsid w:val="00CA7E4F"/>
    <w:rsid w:val="00CB0A6E"/>
    <w:rsid w:val="00CB21A5"/>
    <w:rsid w:val="00CB2316"/>
    <w:rsid w:val="00CB256C"/>
    <w:rsid w:val="00CB3613"/>
    <w:rsid w:val="00CB43B0"/>
    <w:rsid w:val="00CB5886"/>
    <w:rsid w:val="00CC01AE"/>
    <w:rsid w:val="00CC1238"/>
    <w:rsid w:val="00CC18E1"/>
    <w:rsid w:val="00CC231A"/>
    <w:rsid w:val="00CC2989"/>
    <w:rsid w:val="00CC363D"/>
    <w:rsid w:val="00CC38DF"/>
    <w:rsid w:val="00CC41AF"/>
    <w:rsid w:val="00CC4866"/>
    <w:rsid w:val="00CC59EA"/>
    <w:rsid w:val="00CC60B6"/>
    <w:rsid w:val="00CC647E"/>
    <w:rsid w:val="00CC6678"/>
    <w:rsid w:val="00CC6742"/>
    <w:rsid w:val="00CC6ACE"/>
    <w:rsid w:val="00CC72CD"/>
    <w:rsid w:val="00CC7B13"/>
    <w:rsid w:val="00CC7DDD"/>
    <w:rsid w:val="00CD055B"/>
    <w:rsid w:val="00CD0605"/>
    <w:rsid w:val="00CD1AFF"/>
    <w:rsid w:val="00CD4CAD"/>
    <w:rsid w:val="00CD5021"/>
    <w:rsid w:val="00CD6933"/>
    <w:rsid w:val="00CD6DF1"/>
    <w:rsid w:val="00CD6EDB"/>
    <w:rsid w:val="00CE078B"/>
    <w:rsid w:val="00CE0A0F"/>
    <w:rsid w:val="00CE0DF9"/>
    <w:rsid w:val="00CE2177"/>
    <w:rsid w:val="00CE2B3D"/>
    <w:rsid w:val="00CE3C8B"/>
    <w:rsid w:val="00CE4500"/>
    <w:rsid w:val="00CE4663"/>
    <w:rsid w:val="00CE4974"/>
    <w:rsid w:val="00CE7C3B"/>
    <w:rsid w:val="00CE7EFD"/>
    <w:rsid w:val="00CF08B4"/>
    <w:rsid w:val="00CF0A4F"/>
    <w:rsid w:val="00CF162C"/>
    <w:rsid w:val="00CF1B8D"/>
    <w:rsid w:val="00CF3D5E"/>
    <w:rsid w:val="00CF758D"/>
    <w:rsid w:val="00CF76EF"/>
    <w:rsid w:val="00D0031E"/>
    <w:rsid w:val="00D021DA"/>
    <w:rsid w:val="00D02CE4"/>
    <w:rsid w:val="00D04C53"/>
    <w:rsid w:val="00D051DE"/>
    <w:rsid w:val="00D056D6"/>
    <w:rsid w:val="00D06046"/>
    <w:rsid w:val="00D07072"/>
    <w:rsid w:val="00D075AB"/>
    <w:rsid w:val="00D07A69"/>
    <w:rsid w:val="00D10871"/>
    <w:rsid w:val="00D10EC8"/>
    <w:rsid w:val="00D127E9"/>
    <w:rsid w:val="00D130A4"/>
    <w:rsid w:val="00D1455A"/>
    <w:rsid w:val="00D14680"/>
    <w:rsid w:val="00D14AB7"/>
    <w:rsid w:val="00D15962"/>
    <w:rsid w:val="00D16A20"/>
    <w:rsid w:val="00D21B7D"/>
    <w:rsid w:val="00D223C8"/>
    <w:rsid w:val="00D225BD"/>
    <w:rsid w:val="00D25104"/>
    <w:rsid w:val="00D2579A"/>
    <w:rsid w:val="00D25BE6"/>
    <w:rsid w:val="00D25E7E"/>
    <w:rsid w:val="00D263F2"/>
    <w:rsid w:val="00D26521"/>
    <w:rsid w:val="00D269D1"/>
    <w:rsid w:val="00D26FEA"/>
    <w:rsid w:val="00D271A6"/>
    <w:rsid w:val="00D27410"/>
    <w:rsid w:val="00D27715"/>
    <w:rsid w:val="00D31BC8"/>
    <w:rsid w:val="00D32277"/>
    <w:rsid w:val="00D32471"/>
    <w:rsid w:val="00D34507"/>
    <w:rsid w:val="00D35353"/>
    <w:rsid w:val="00D357EC"/>
    <w:rsid w:val="00D3589C"/>
    <w:rsid w:val="00D35C28"/>
    <w:rsid w:val="00D35E2D"/>
    <w:rsid w:val="00D35FA2"/>
    <w:rsid w:val="00D37F4C"/>
    <w:rsid w:val="00D40245"/>
    <w:rsid w:val="00D410A6"/>
    <w:rsid w:val="00D410EB"/>
    <w:rsid w:val="00D412E1"/>
    <w:rsid w:val="00D41A77"/>
    <w:rsid w:val="00D42C55"/>
    <w:rsid w:val="00D444DA"/>
    <w:rsid w:val="00D44D0B"/>
    <w:rsid w:val="00D46E82"/>
    <w:rsid w:val="00D505C6"/>
    <w:rsid w:val="00D50AA7"/>
    <w:rsid w:val="00D5246B"/>
    <w:rsid w:val="00D52833"/>
    <w:rsid w:val="00D53847"/>
    <w:rsid w:val="00D5465F"/>
    <w:rsid w:val="00D54E0D"/>
    <w:rsid w:val="00D57315"/>
    <w:rsid w:val="00D60FA4"/>
    <w:rsid w:val="00D6145B"/>
    <w:rsid w:val="00D61B38"/>
    <w:rsid w:val="00D61B83"/>
    <w:rsid w:val="00D61C5E"/>
    <w:rsid w:val="00D623DA"/>
    <w:rsid w:val="00D6252F"/>
    <w:rsid w:val="00D626D9"/>
    <w:rsid w:val="00D6388E"/>
    <w:rsid w:val="00D63D10"/>
    <w:rsid w:val="00D63EC3"/>
    <w:rsid w:val="00D64624"/>
    <w:rsid w:val="00D648E3"/>
    <w:rsid w:val="00D64A42"/>
    <w:rsid w:val="00D65DA3"/>
    <w:rsid w:val="00D662A8"/>
    <w:rsid w:val="00D66478"/>
    <w:rsid w:val="00D6754E"/>
    <w:rsid w:val="00D7076A"/>
    <w:rsid w:val="00D72173"/>
    <w:rsid w:val="00D74022"/>
    <w:rsid w:val="00D74517"/>
    <w:rsid w:val="00D747F6"/>
    <w:rsid w:val="00D75CB5"/>
    <w:rsid w:val="00D76F5E"/>
    <w:rsid w:val="00D81E0E"/>
    <w:rsid w:val="00D82225"/>
    <w:rsid w:val="00D83D31"/>
    <w:rsid w:val="00D847E5"/>
    <w:rsid w:val="00D86196"/>
    <w:rsid w:val="00D86B65"/>
    <w:rsid w:val="00D8725F"/>
    <w:rsid w:val="00D87972"/>
    <w:rsid w:val="00D87979"/>
    <w:rsid w:val="00D87F0D"/>
    <w:rsid w:val="00D91336"/>
    <w:rsid w:val="00D938FC"/>
    <w:rsid w:val="00D9409A"/>
    <w:rsid w:val="00D940B0"/>
    <w:rsid w:val="00D94FAA"/>
    <w:rsid w:val="00D96FA6"/>
    <w:rsid w:val="00D97523"/>
    <w:rsid w:val="00DA059A"/>
    <w:rsid w:val="00DA06B7"/>
    <w:rsid w:val="00DA1312"/>
    <w:rsid w:val="00DA1629"/>
    <w:rsid w:val="00DA206B"/>
    <w:rsid w:val="00DA3F50"/>
    <w:rsid w:val="00DA62B4"/>
    <w:rsid w:val="00DA650C"/>
    <w:rsid w:val="00DA662E"/>
    <w:rsid w:val="00DA7497"/>
    <w:rsid w:val="00DA7CED"/>
    <w:rsid w:val="00DB1325"/>
    <w:rsid w:val="00DB1963"/>
    <w:rsid w:val="00DB1D4E"/>
    <w:rsid w:val="00DB1F54"/>
    <w:rsid w:val="00DB25AA"/>
    <w:rsid w:val="00DB2F02"/>
    <w:rsid w:val="00DB3133"/>
    <w:rsid w:val="00DB32F6"/>
    <w:rsid w:val="00DB444C"/>
    <w:rsid w:val="00DB6416"/>
    <w:rsid w:val="00DB7FAD"/>
    <w:rsid w:val="00DC23B9"/>
    <w:rsid w:val="00DC2B7F"/>
    <w:rsid w:val="00DC30BC"/>
    <w:rsid w:val="00DC3831"/>
    <w:rsid w:val="00DC57E4"/>
    <w:rsid w:val="00DC6614"/>
    <w:rsid w:val="00DD0404"/>
    <w:rsid w:val="00DD08AD"/>
    <w:rsid w:val="00DD137B"/>
    <w:rsid w:val="00DD1568"/>
    <w:rsid w:val="00DD15DF"/>
    <w:rsid w:val="00DD1D07"/>
    <w:rsid w:val="00DD2211"/>
    <w:rsid w:val="00DD2579"/>
    <w:rsid w:val="00DD36DE"/>
    <w:rsid w:val="00DD3DB9"/>
    <w:rsid w:val="00DD4840"/>
    <w:rsid w:val="00DD6244"/>
    <w:rsid w:val="00DE040F"/>
    <w:rsid w:val="00DE1BB6"/>
    <w:rsid w:val="00DE2048"/>
    <w:rsid w:val="00DE32F4"/>
    <w:rsid w:val="00DE631F"/>
    <w:rsid w:val="00DE649F"/>
    <w:rsid w:val="00DE706A"/>
    <w:rsid w:val="00DE7148"/>
    <w:rsid w:val="00DF0644"/>
    <w:rsid w:val="00DF0782"/>
    <w:rsid w:val="00DF0B83"/>
    <w:rsid w:val="00DF2E30"/>
    <w:rsid w:val="00DF3878"/>
    <w:rsid w:val="00DF3E97"/>
    <w:rsid w:val="00DF5277"/>
    <w:rsid w:val="00DF5C4F"/>
    <w:rsid w:val="00DF6D3F"/>
    <w:rsid w:val="00DF7A95"/>
    <w:rsid w:val="00E0037A"/>
    <w:rsid w:val="00E00C01"/>
    <w:rsid w:val="00E01386"/>
    <w:rsid w:val="00E01913"/>
    <w:rsid w:val="00E01E13"/>
    <w:rsid w:val="00E01F24"/>
    <w:rsid w:val="00E047A1"/>
    <w:rsid w:val="00E05479"/>
    <w:rsid w:val="00E0582B"/>
    <w:rsid w:val="00E0729A"/>
    <w:rsid w:val="00E07780"/>
    <w:rsid w:val="00E07A86"/>
    <w:rsid w:val="00E07E9C"/>
    <w:rsid w:val="00E104E0"/>
    <w:rsid w:val="00E109D2"/>
    <w:rsid w:val="00E12934"/>
    <w:rsid w:val="00E14015"/>
    <w:rsid w:val="00E14873"/>
    <w:rsid w:val="00E148D8"/>
    <w:rsid w:val="00E14BD4"/>
    <w:rsid w:val="00E16EA5"/>
    <w:rsid w:val="00E1730E"/>
    <w:rsid w:val="00E22122"/>
    <w:rsid w:val="00E22F53"/>
    <w:rsid w:val="00E235E2"/>
    <w:rsid w:val="00E241BE"/>
    <w:rsid w:val="00E25140"/>
    <w:rsid w:val="00E2633D"/>
    <w:rsid w:val="00E26F96"/>
    <w:rsid w:val="00E277AC"/>
    <w:rsid w:val="00E302BB"/>
    <w:rsid w:val="00E30F1F"/>
    <w:rsid w:val="00E32023"/>
    <w:rsid w:val="00E33272"/>
    <w:rsid w:val="00E33DAB"/>
    <w:rsid w:val="00E342D1"/>
    <w:rsid w:val="00E345E7"/>
    <w:rsid w:val="00E3672C"/>
    <w:rsid w:val="00E36E7C"/>
    <w:rsid w:val="00E4042B"/>
    <w:rsid w:val="00E40BBA"/>
    <w:rsid w:val="00E43EE6"/>
    <w:rsid w:val="00E4455A"/>
    <w:rsid w:val="00E472D9"/>
    <w:rsid w:val="00E478C3"/>
    <w:rsid w:val="00E47BFA"/>
    <w:rsid w:val="00E47EAE"/>
    <w:rsid w:val="00E5069D"/>
    <w:rsid w:val="00E5193C"/>
    <w:rsid w:val="00E51CF6"/>
    <w:rsid w:val="00E529A1"/>
    <w:rsid w:val="00E53F33"/>
    <w:rsid w:val="00E55EA8"/>
    <w:rsid w:val="00E561B8"/>
    <w:rsid w:val="00E5666E"/>
    <w:rsid w:val="00E5748A"/>
    <w:rsid w:val="00E60462"/>
    <w:rsid w:val="00E60509"/>
    <w:rsid w:val="00E606F9"/>
    <w:rsid w:val="00E60A85"/>
    <w:rsid w:val="00E62F12"/>
    <w:rsid w:val="00E63496"/>
    <w:rsid w:val="00E667E9"/>
    <w:rsid w:val="00E6740D"/>
    <w:rsid w:val="00E70E7D"/>
    <w:rsid w:val="00E7119E"/>
    <w:rsid w:val="00E71632"/>
    <w:rsid w:val="00E73BDD"/>
    <w:rsid w:val="00E747CA"/>
    <w:rsid w:val="00E80485"/>
    <w:rsid w:val="00E81D81"/>
    <w:rsid w:val="00E82007"/>
    <w:rsid w:val="00E82056"/>
    <w:rsid w:val="00E82181"/>
    <w:rsid w:val="00E83286"/>
    <w:rsid w:val="00E8461C"/>
    <w:rsid w:val="00E8505E"/>
    <w:rsid w:val="00E85094"/>
    <w:rsid w:val="00E85420"/>
    <w:rsid w:val="00E85593"/>
    <w:rsid w:val="00E86347"/>
    <w:rsid w:val="00E86556"/>
    <w:rsid w:val="00E878D9"/>
    <w:rsid w:val="00E901D4"/>
    <w:rsid w:val="00E909FE"/>
    <w:rsid w:val="00E91225"/>
    <w:rsid w:val="00E9136D"/>
    <w:rsid w:val="00E92AA9"/>
    <w:rsid w:val="00E92CC6"/>
    <w:rsid w:val="00E92F26"/>
    <w:rsid w:val="00E935C4"/>
    <w:rsid w:val="00E93ABC"/>
    <w:rsid w:val="00E962E1"/>
    <w:rsid w:val="00E963E5"/>
    <w:rsid w:val="00E9790D"/>
    <w:rsid w:val="00EA11A9"/>
    <w:rsid w:val="00EA13B0"/>
    <w:rsid w:val="00EA1A12"/>
    <w:rsid w:val="00EA20CA"/>
    <w:rsid w:val="00EA399D"/>
    <w:rsid w:val="00EA4003"/>
    <w:rsid w:val="00EA4DA9"/>
    <w:rsid w:val="00EA59B0"/>
    <w:rsid w:val="00EA5AAA"/>
    <w:rsid w:val="00EA7601"/>
    <w:rsid w:val="00EA7C39"/>
    <w:rsid w:val="00EA7D8C"/>
    <w:rsid w:val="00EB34FD"/>
    <w:rsid w:val="00EB3662"/>
    <w:rsid w:val="00EB4378"/>
    <w:rsid w:val="00EB44CD"/>
    <w:rsid w:val="00EB44E7"/>
    <w:rsid w:val="00EB4797"/>
    <w:rsid w:val="00EB51C4"/>
    <w:rsid w:val="00EB63D3"/>
    <w:rsid w:val="00EB6DEC"/>
    <w:rsid w:val="00EC15E6"/>
    <w:rsid w:val="00EC21C9"/>
    <w:rsid w:val="00EC23D0"/>
    <w:rsid w:val="00EC2D10"/>
    <w:rsid w:val="00EC2F4A"/>
    <w:rsid w:val="00EC3BE8"/>
    <w:rsid w:val="00EC3DAA"/>
    <w:rsid w:val="00EC5E73"/>
    <w:rsid w:val="00EC6C1F"/>
    <w:rsid w:val="00EC7D34"/>
    <w:rsid w:val="00ED03F1"/>
    <w:rsid w:val="00ED15B5"/>
    <w:rsid w:val="00ED3466"/>
    <w:rsid w:val="00ED35A1"/>
    <w:rsid w:val="00ED4E81"/>
    <w:rsid w:val="00ED5C63"/>
    <w:rsid w:val="00ED7C2B"/>
    <w:rsid w:val="00EE005E"/>
    <w:rsid w:val="00EE0AC8"/>
    <w:rsid w:val="00EE1123"/>
    <w:rsid w:val="00EE16B7"/>
    <w:rsid w:val="00EE2914"/>
    <w:rsid w:val="00EE3180"/>
    <w:rsid w:val="00EE7143"/>
    <w:rsid w:val="00EE78FB"/>
    <w:rsid w:val="00EE7D21"/>
    <w:rsid w:val="00EE7F9F"/>
    <w:rsid w:val="00EF0E1E"/>
    <w:rsid w:val="00EF214B"/>
    <w:rsid w:val="00EF3A2D"/>
    <w:rsid w:val="00EF46AE"/>
    <w:rsid w:val="00EF5101"/>
    <w:rsid w:val="00EF5D5E"/>
    <w:rsid w:val="00EF627A"/>
    <w:rsid w:val="00EF74B0"/>
    <w:rsid w:val="00EF7F4C"/>
    <w:rsid w:val="00EF7F89"/>
    <w:rsid w:val="00F00515"/>
    <w:rsid w:val="00F01E63"/>
    <w:rsid w:val="00F042EE"/>
    <w:rsid w:val="00F048F8"/>
    <w:rsid w:val="00F04B95"/>
    <w:rsid w:val="00F055BA"/>
    <w:rsid w:val="00F066D1"/>
    <w:rsid w:val="00F067F4"/>
    <w:rsid w:val="00F06C5C"/>
    <w:rsid w:val="00F06D4A"/>
    <w:rsid w:val="00F0713A"/>
    <w:rsid w:val="00F07DCF"/>
    <w:rsid w:val="00F07E3C"/>
    <w:rsid w:val="00F109E9"/>
    <w:rsid w:val="00F11DC0"/>
    <w:rsid w:val="00F135E1"/>
    <w:rsid w:val="00F14CB6"/>
    <w:rsid w:val="00F167E2"/>
    <w:rsid w:val="00F1685B"/>
    <w:rsid w:val="00F20BB9"/>
    <w:rsid w:val="00F21F74"/>
    <w:rsid w:val="00F22107"/>
    <w:rsid w:val="00F2235C"/>
    <w:rsid w:val="00F223B8"/>
    <w:rsid w:val="00F22EFA"/>
    <w:rsid w:val="00F237C3"/>
    <w:rsid w:val="00F23DA7"/>
    <w:rsid w:val="00F24FB4"/>
    <w:rsid w:val="00F25E46"/>
    <w:rsid w:val="00F25E4D"/>
    <w:rsid w:val="00F26635"/>
    <w:rsid w:val="00F27589"/>
    <w:rsid w:val="00F27D2A"/>
    <w:rsid w:val="00F3131F"/>
    <w:rsid w:val="00F323A3"/>
    <w:rsid w:val="00F32CC6"/>
    <w:rsid w:val="00F32FF6"/>
    <w:rsid w:val="00F334EA"/>
    <w:rsid w:val="00F348F5"/>
    <w:rsid w:val="00F40A7D"/>
    <w:rsid w:val="00F4133C"/>
    <w:rsid w:val="00F413AB"/>
    <w:rsid w:val="00F42AEB"/>
    <w:rsid w:val="00F42F2A"/>
    <w:rsid w:val="00F43945"/>
    <w:rsid w:val="00F441B7"/>
    <w:rsid w:val="00F44742"/>
    <w:rsid w:val="00F44F8D"/>
    <w:rsid w:val="00F46651"/>
    <w:rsid w:val="00F4793F"/>
    <w:rsid w:val="00F47BEC"/>
    <w:rsid w:val="00F47E59"/>
    <w:rsid w:val="00F500B2"/>
    <w:rsid w:val="00F50375"/>
    <w:rsid w:val="00F5056F"/>
    <w:rsid w:val="00F51388"/>
    <w:rsid w:val="00F51E15"/>
    <w:rsid w:val="00F5219B"/>
    <w:rsid w:val="00F52E38"/>
    <w:rsid w:val="00F5301F"/>
    <w:rsid w:val="00F53971"/>
    <w:rsid w:val="00F53F19"/>
    <w:rsid w:val="00F5445D"/>
    <w:rsid w:val="00F54646"/>
    <w:rsid w:val="00F547A6"/>
    <w:rsid w:val="00F55E9A"/>
    <w:rsid w:val="00F56280"/>
    <w:rsid w:val="00F563EE"/>
    <w:rsid w:val="00F56DB8"/>
    <w:rsid w:val="00F57226"/>
    <w:rsid w:val="00F57F1E"/>
    <w:rsid w:val="00F60B9F"/>
    <w:rsid w:val="00F6196D"/>
    <w:rsid w:val="00F619DF"/>
    <w:rsid w:val="00F61E3E"/>
    <w:rsid w:val="00F627D2"/>
    <w:rsid w:val="00F62B1B"/>
    <w:rsid w:val="00F6334C"/>
    <w:rsid w:val="00F63C91"/>
    <w:rsid w:val="00F64127"/>
    <w:rsid w:val="00F658EB"/>
    <w:rsid w:val="00F66436"/>
    <w:rsid w:val="00F671DF"/>
    <w:rsid w:val="00F678E9"/>
    <w:rsid w:val="00F733D4"/>
    <w:rsid w:val="00F76537"/>
    <w:rsid w:val="00F76A92"/>
    <w:rsid w:val="00F76DC5"/>
    <w:rsid w:val="00F774C7"/>
    <w:rsid w:val="00F80AA8"/>
    <w:rsid w:val="00F80ADC"/>
    <w:rsid w:val="00F80FDA"/>
    <w:rsid w:val="00F80FF6"/>
    <w:rsid w:val="00F81DB3"/>
    <w:rsid w:val="00F81EA1"/>
    <w:rsid w:val="00F822C3"/>
    <w:rsid w:val="00F84714"/>
    <w:rsid w:val="00F8542D"/>
    <w:rsid w:val="00F86477"/>
    <w:rsid w:val="00F86902"/>
    <w:rsid w:val="00F86CD8"/>
    <w:rsid w:val="00F87360"/>
    <w:rsid w:val="00F87C7D"/>
    <w:rsid w:val="00F87D49"/>
    <w:rsid w:val="00F91BF9"/>
    <w:rsid w:val="00F9229B"/>
    <w:rsid w:val="00F92D52"/>
    <w:rsid w:val="00F93426"/>
    <w:rsid w:val="00F9413E"/>
    <w:rsid w:val="00F958BE"/>
    <w:rsid w:val="00F960AE"/>
    <w:rsid w:val="00F968D1"/>
    <w:rsid w:val="00F96A82"/>
    <w:rsid w:val="00FA0149"/>
    <w:rsid w:val="00FA0802"/>
    <w:rsid w:val="00FA2C90"/>
    <w:rsid w:val="00FA2DD3"/>
    <w:rsid w:val="00FA39DA"/>
    <w:rsid w:val="00FA3B6B"/>
    <w:rsid w:val="00FA4211"/>
    <w:rsid w:val="00FA446E"/>
    <w:rsid w:val="00FA4900"/>
    <w:rsid w:val="00FA4EA2"/>
    <w:rsid w:val="00FA5127"/>
    <w:rsid w:val="00FA5AF9"/>
    <w:rsid w:val="00FA5CDB"/>
    <w:rsid w:val="00FA5E8B"/>
    <w:rsid w:val="00FA6ABD"/>
    <w:rsid w:val="00FB1187"/>
    <w:rsid w:val="00FB2254"/>
    <w:rsid w:val="00FB22CE"/>
    <w:rsid w:val="00FB3D0E"/>
    <w:rsid w:val="00FB430A"/>
    <w:rsid w:val="00FB5506"/>
    <w:rsid w:val="00FB7D07"/>
    <w:rsid w:val="00FB7D9D"/>
    <w:rsid w:val="00FC03DC"/>
    <w:rsid w:val="00FC0782"/>
    <w:rsid w:val="00FC07A8"/>
    <w:rsid w:val="00FC1070"/>
    <w:rsid w:val="00FC2078"/>
    <w:rsid w:val="00FC31CB"/>
    <w:rsid w:val="00FC3358"/>
    <w:rsid w:val="00FC357C"/>
    <w:rsid w:val="00FC3B33"/>
    <w:rsid w:val="00FC5AFB"/>
    <w:rsid w:val="00FC6E03"/>
    <w:rsid w:val="00FC7695"/>
    <w:rsid w:val="00FD0083"/>
    <w:rsid w:val="00FD00B4"/>
    <w:rsid w:val="00FD01D5"/>
    <w:rsid w:val="00FD04B9"/>
    <w:rsid w:val="00FD06EE"/>
    <w:rsid w:val="00FD08AC"/>
    <w:rsid w:val="00FD0943"/>
    <w:rsid w:val="00FD1599"/>
    <w:rsid w:val="00FD2972"/>
    <w:rsid w:val="00FD2A87"/>
    <w:rsid w:val="00FD415B"/>
    <w:rsid w:val="00FD4673"/>
    <w:rsid w:val="00FD4C85"/>
    <w:rsid w:val="00FD577A"/>
    <w:rsid w:val="00FE0ED0"/>
    <w:rsid w:val="00FE14AF"/>
    <w:rsid w:val="00FE2A44"/>
    <w:rsid w:val="00FE2CBE"/>
    <w:rsid w:val="00FE38F6"/>
    <w:rsid w:val="00FE3AB7"/>
    <w:rsid w:val="00FE4F86"/>
    <w:rsid w:val="00FE55CF"/>
    <w:rsid w:val="00FE5F32"/>
    <w:rsid w:val="00FE7BF6"/>
    <w:rsid w:val="00FF0069"/>
    <w:rsid w:val="00FF0B77"/>
    <w:rsid w:val="00FF1B67"/>
    <w:rsid w:val="00FF2320"/>
    <w:rsid w:val="00FF4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45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Heading1">
    <w:name w:val="heading 1"/>
    <w:basedOn w:val="Normal"/>
    <w:next w:val="Normal"/>
    <w:link w:val="Heading1Char"/>
    <w:uiPriority w:val="99"/>
    <w:qFormat/>
    <w:rsid w:val="00110DA4"/>
    <w:pPr>
      <w:keepNext/>
      <w:numPr>
        <w:numId w:val="4"/>
      </w:numPr>
      <w:spacing w:before="360" w:after="240"/>
      <w:outlineLvl w:val="0"/>
    </w:pPr>
    <w:rPr>
      <w:b/>
      <w:kern w:val="28"/>
      <w:sz w:val="24"/>
      <w:u w:val="single"/>
      <w:lang w:eastAsia="en-GB"/>
    </w:rPr>
  </w:style>
  <w:style w:type="paragraph" w:styleId="Heading2">
    <w:name w:val="heading 2"/>
    <w:aliases w:val="TSBTWO"/>
    <w:basedOn w:val="Normal"/>
    <w:next w:val="BlockText"/>
    <w:link w:val="Heading2Char1"/>
    <w:qFormat/>
    <w:rsid w:val="00AC3C0E"/>
    <w:pPr>
      <w:keepNext/>
      <w:numPr>
        <w:numId w:val="8"/>
      </w:numPr>
      <w:spacing w:before="240"/>
      <w:jc w:val="both"/>
      <w:outlineLvl w:val="1"/>
    </w:pPr>
    <w:rPr>
      <w:b/>
      <w:color w:val="000000"/>
      <w:u w:val="single"/>
    </w:rPr>
  </w:style>
  <w:style w:type="paragraph" w:styleId="Heading3">
    <w:name w:val="heading 3"/>
    <w:aliases w:val="TSBTHREE"/>
    <w:basedOn w:val="Normal"/>
    <w:next w:val="Normal"/>
    <w:link w:val="Heading3Char"/>
    <w:uiPriority w:val="9"/>
    <w:qFormat/>
    <w:rsid w:val="009F5040"/>
    <w:pPr>
      <w:keepNext/>
      <w:numPr>
        <w:ilvl w:val="2"/>
        <w:numId w:val="1"/>
      </w:numPr>
      <w:spacing w:before="200" w:after="60"/>
      <w:jc w:val="both"/>
      <w:outlineLvl w:val="2"/>
    </w:pPr>
    <w:rPr>
      <w:sz w:val="22"/>
      <w:u w:val="single"/>
      <w:lang w:val="en-GB"/>
    </w:rPr>
  </w:style>
  <w:style w:type="paragraph" w:styleId="Heading4">
    <w:name w:val="heading 4"/>
    <w:aliases w:val="TSBFOUR"/>
    <w:basedOn w:val="Normal"/>
    <w:next w:val="Normal"/>
    <w:link w:val="Heading4Char"/>
    <w:uiPriority w:val="9"/>
    <w:qFormat/>
    <w:rsid w:val="009F5040"/>
    <w:pPr>
      <w:keepNext/>
      <w:spacing w:before="80"/>
      <w:outlineLvl w:val="3"/>
    </w:pPr>
    <w:rPr>
      <w:b/>
      <w:i/>
      <w:sz w:val="22"/>
      <w:lang w:val="en-GB"/>
    </w:rPr>
  </w:style>
  <w:style w:type="paragraph" w:styleId="Heading5">
    <w:name w:val="heading 5"/>
    <w:basedOn w:val="Normal"/>
    <w:next w:val="Normal"/>
    <w:link w:val="Heading5Char"/>
    <w:uiPriority w:val="99"/>
    <w:qFormat/>
    <w:rsid w:val="009F5040"/>
    <w:pPr>
      <w:spacing w:before="240" w:after="60"/>
      <w:jc w:val="both"/>
      <w:outlineLvl w:val="4"/>
    </w:pPr>
    <w:rPr>
      <w:sz w:val="22"/>
    </w:rPr>
  </w:style>
  <w:style w:type="paragraph" w:styleId="Heading6">
    <w:name w:val="heading 6"/>
    <w:basedOn w:val="Normal"/>
    <w:next w:val="Normal"/>
    <w:link w:val="Heading6Char"/>
    <w:uiPriority w:val="99"/>
    <w:qFormat/>
    <w:rsid w:val="009F5040"/>
    <w:pPr>
      <w:spacing w:before="240" w:after="60"/>
      <w:jc w:val="both"/>
      <w:outlineLvl w:val="5"/>
    </w:pPr>
    <w:rPr>
      <w:i/>
      <w:sz w:val="22"/>
    </w:rPr>
  </w:style>
  <w:style w:type="paragraph" w:styleId="Heading7">
    <w:name w:val="heading 7"/>
    <w:basedOn w:val="Normal"/>
    <w:next w:val="Normal"/>
    <w:link w:val="Heading7Char"/>
    <w:uiPriority w:val="99"/>
    <w:qFormat/>
    <w:rsid w:val="009F5040"/>
    <w:pPr>
      <w:spacing w:before="240" w:after="60"/>
      <w:jc w:val="both"/>
      <w:outlineLvl w:val="6"/>
    </w:pPr>
    <w:rPr>
      <w:sz w:val="22"/>
    </w:rPr>
  </w:style>
  <w:style w:type="paragraph" w:styleId="Heading8">
    <w:name w:val="heading 8"/>
    <w:basedOn w:val="Normal"/>
    <w:next w:val="Normal"/>
    <w:link w:val="Heading8Char"/>
    <w:uiPriority w:val="99"/>
    <w:qFormat/>
    <w:rsid w:val="009F5040"/>
    <w:pPr>
      <w:keepNext/>
      <w:spacing w:after="60"/>
      <w:jc w:val="center"/>
      <w:outlineLvl w:val="7"/>
    </w:pPr>
    <w:rPr>
      <w:color w:val="FFFFFF"/>
      <w:sz w:val="22"/>
      <w:u w:val="single"/>
      <w:lang w:val="es-ES"/>
    </w:rPr>
  </w:style>
  <w:style w:type="paragraph" w:styleId="Heading9">
    <w:name w:val="heading 9"/>
    <w:basedOn w:val="Normal"/>
    <w:next w:val="Normal"/>
    <w:link w:val="Heading9Char"/>
    <w:uiPriority w:val="99"/>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DA4"/>
    <w:rPr>
      <w:rFonts w:ascii="Arial" w:hAnsi="Arial" w:cs="Arial"/>
      <w:b/>
      <w:kern w:val="28"/>
      <w:sz w:val="24"/>
      <w:szCs w:val="20"/>
      <w:u w:val="single"/>
      <w:lang w:eastAsia="en-GB"/>
    </w:rPr>
  </w:style>
  <w:style w:type="character" w:customStyle="1" w:styleId="Heading2Char1">
    <w:name w:val="Heading 2 Char1"/>
    <w:aliases w:val="TSBTWO Char"/>
    <w:basedOn w:val="DefaultParagraphFont"/>
    <w:link w:val="Heading2"/>
    <w:rsid w:val="00AC3C0E"/>
    <w:rPr>
      <w:rFonts w:ascii="Arial" w:hAnsi="Arial" w:cs="Arial"/>
      <w:b/>
      <w:color w:val="000000"/>
      <w:sz w:val="20"/>
      <w:szCs w:val="20"/>
      <w:u w:val="single"/>
    </w:rPr>
  </w:style>
  <w:style w:type="character" w:customStyle="1" w:styleId="Heading3Char">
    <w:name w:val="Heading 3 Char"/>
    <w:aliases w:val="TSBTHREE Char"/>
    <w:basedOn w:val="DefaultParagraphFont"/>
    <w:link w:val="Heading3"/>
    <w:uiPriority w:val="9"/>
    <w:rsid w:val="005977A0"/>
    <w:rPr>
      <w:rFonts w:ascii="Arial" w:hAnsi="Arial" w:cs="Arial"/>
      <w:szCs w:val="20"/>
      <w:u w:val="single"/>
      <w:lang w:val="en-GB"/>
    </w:rPr>
  </w:style>
  <w:style w:type="character" w:customStyle="1" w:styleId="Heading4Char">
    <w:name w:val="Heading 4 Char"/>
    <w:aliases w:val="TSBFOUR Char"/>
    <w:basedOn w:val="DefaultParagraphFont"/>
    <w:link w:val="Heading4"/>
    <w:uiPriority w:val="9"/>
    <w:semiHidden/>
    <w:rsid w:val="005977A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977A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977A0"/>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977A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977A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5977A0"/>
    <w:rPr>
      <w:rFonts w:asciiTheme="majorHAnsi" w:eastAsiaTheme="majorEastAsia" w:hAnsiTheme="majorHAnsi" w:cstheme="majorBidi"/>
    </w:rPr>
  </w:style>
  <w:style w:type="paragraph" w:styleId="CommentText">
    <w:name w:val="annotation text"/>
    <w:basedOn w:val="Normal"/>
    <w:link w:val="CommentTextChar"/>
    <w:uiPriority w:val="99"/>
    <w:semiHidden/>
    <w:rsid w:val="009F5040"/>
  </w:style>
  <w:style w:type="character" w:customStyle="1" w:styleId="CommentTextChar">
    <w:name w:val="Comment Text Char"/>
    <w:basedOn w:val="DefaultParagraphFont"/>
    <w:link w:val="CommentText"/>
    <w:uiPriority w:val="99"/>
    <w:semiHidden/>
    <w:rsid w:val="005977A0"/>
    <w:rPr>
      <w:rFonts w:ascii="Arial" w:hAnsi="Arial" w:cs="Arial"/>
      <w:sz w:val="20"/>
      <w:szCs w:val="20"/>
    </w:rPr>
  </w:style>
  <w:style w:type="paragraph" w:styleId="Header">
    <w:name w:val="header"/>
    <w:basedOn w:val="Normal"/>
    <w:link w:val="HeaderCh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HeaderChar">
    <w:name w:val="Header Char"/>
    <w:basedOn w:val="DefaultParagraphFont"/>
    <w:link w:val="Header"/>
    <w:uiPriority w:val="99"/>
    <w:locked/>
    <w:rsid w:val="00BF0462"/>
    <w:rPr>
      <w:rFonts w:ascii="Arial" w:hAnsi="Arial" w:cs="Arial"/>
      <w:sz w:val="56"/>
      <w:shd w:val="pct15" w:color="auto" w:fill="auto"/>
      <w:lang w:val="en-US" w:eastAsia="en-US"/>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link w:val="BodyTextChar"/>
    <w:uiPriority w:val="99"/>
    <w:rsid w:val="009F5040"/>
    <w:pPr>
      <w:tabs>
        <w:tab w:val="left" w:pos="540"/>
        <w:tab w:val="left" w:pos="1800"/>
      </w:tabs>
      <w:outlineLvl w:val="0"/>
    </w:pPr>
    <w:rPr>
      <w:color w:val="0000FF"/>
    </w:rPr>
  </w:style>
  <w:style w:type="character" w:customStyle="1" w:styleId="BodyTextChar">
    <w:name w:val="Body Text Char"/>
    <w:basedOn w:val="DefaultParagraphFont"/>
    <w:link w:val="BodyText"/>
    <w:uiPriority w:val="99"/>
    <w:semiHidden/>
    <w:rsid w:val="005977A0"/>
    <w:rPr>
      <w:rFonts w:ascii="Arial" w:hAnsi="Arial" w:cs="Arial"/>
      <w:sz w:val="20"/>
      <w:szCs w:val="20"/>
    </w:rPr>
  </w:style>
  <w:style w:type="paragraph" w:styleId="BodyTextIndent">
    <w:name w:val="Body Text Indent"/>
    <w:basedOn w:val="Normal"/>
    <w:link w:val="BodyTextIndentChar"/>
    <w:uiPriority w:val="99"/>
    <w:rsid w:val="009F5040"/>
    <w:pPr>
      <w:ind w:left="720"/>
    </w:pPr>
    <w:rPr>
      <w:sz w:val="22"/>
    </w:rPr>
  </w:style>
  <w:style w:type="character" w:customStyle="1" w:styleId="BodyTextIndentChar">
    <w:name w:val="Body Text Indent Char"/>
    <w:basedOn w:val="DefaultParagraphFont"/>
    <w:link w:val="BodyTextIndent"/>
    <w:uiPriority w:val="99"/>
    <w:semiHidden/>
    <w:rsid w:val="005977A0"/>
    <w:rPr>
      <w:rFonts w:ascii="Arial" w:hAnsi="Arial" w:cs="Arial"/>
      <w:sz w:val="20"/>
      <w:szCs w:val="20"/>
    </w:rPr>
  </w:style>
  <w:style w:type="paragraph" w:styleId="BodyText2">
    <w:name w:val="Body Text 2"/>
    <w:basedOn w:val="Normal"/>
    <w:link w:val="BodyText2Char"/>
    <w:uiPriority w:val="99"/>
    <w:rsid w:val="009F5040"/>
    <w:rPr>
      <w:color w:val="FF0000"/>
      <w:sz w:val="22"/>
    </w:rPr>
  </w:style>
  <w:style w:type="character" w:customStyle="1" w:styleId="BodyText2Char">
    <w:name w:val="Body Text 2 Char"/>
    <w:basedOn w:val="DefaultParagraphFont"/>
    <w:link w:val="BodyText2"/>
    <w:uiPriority w:val="99"/>
    <w:semiHidden/>
    <w:rsid w:val="005977A0"/>
    <w:rPr>
      <w:rFonts w:ascii="Arial" w:hAnsi="Arial" w:cs="Arial"/>
      <w:sz w:val="20"/>
      <w:szCs w:val="20"/>
    </w:rPr>
  </w:style>
  <w:style w:type="paragraph" w:styleId="BodyTextIndent2">
    <w:name w:val="Body Text Indent 2"/>
    <w:basedOn w:val="Normal"/>
    <w:link w:val="BodyTextIndent2Char"/>
    <w:uiPriority w:val="99"/>
    <w:rsid w:val="009F5040"/>
    <w:pPr>
      <w:ind w:left="720"/>
    </w:pPr>
  </w:style>
  <w:style w:type="character" w:customStyle="1" w:styleId="BodyTextIndent2Char">
    <w:name w:val="Body Text Indent 2 Char"/>
    <w:basedOn w:val="DefaultParagraphFont"/>
    <w:link w:val="BodyTextIndent2"/>
    <w:uiPriority w:val="99"/>
    <w:semiHidden/>
    <w:rsid w:val="005977A0"/>
    <w:rPr>
      <w:rFonts w:ascii="Arial" w:hAnsi="Arial" w:cs="Arial"/>
      <w:sz w:val="20"/>
      <w:szCs w:val="20"/>
    </w:r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customStyle="1" w:styleId="FooterChar">
    <w:name w:val="Footer Char"/>
    <w:basedOn w:val="DefaultParagraphFont"/>
    <w:link w:val="Footer"/>
    <w:uiPriority w:val="99"/>
    <w:locked/>
    <w:rsid w:val="003549AC"/>
    <w:rPr>
      <w:rFonts w:ascii="Arial" w:hAnsi="Arial" w:cs="Arial"/>
      <w:sz w:val="22"/>
      <w:szCs w:val="22"/>
      <w:lang w:val="en-US" w:eastAsia="en-US"/>
    </w:rPr>
  </w:style>
  <w:style w:type="character" w:styleId="PageNumber">
    <w:name w:val="page number"/>
    <w:basedOn w:val="DefaultParagraphFont"/>
    <w:uiPriority w:val="99"/>
    <w:rsid w:val="009F5040"/>
    <w:rPr>
      <w:rFonts w:cs="Times New Roman"/>
    </w:rPr>
  </w:style>
  <w:style w:type="paragraph" w:styleId="BodyTextIndent3">
    <w:name w:val="Body Text Indent 3"/>
    <w:basedOn w:val="Normal"/>
    <w:link w:val="BodyTextIndent3Char"/>
    <w:uiPriority w:val="99"/>
    <w:rsid w:val="009F5040"/>
    <w:pPr>
      <w:ind w:left="720"/>
    </w:pPr>
    <w:rPr>
      <w:color w:val="0000FF"/>
    </w:rPr>
  </w:style>
  <w:style w:type="character" w:customStyle="1" w:styleId="BodyTextIndent3Char">
    <w:name w:val="Body Text Indent 3 Char"/>
    <w:basedOn w:val="DefaultParagraphFont"/>
    <w:link w:val="BodyTextIndent3"/>
    <w:uiPriority w:val="99"/>
    <w:semiHidden/>
    <w:rsid w:val="005977A0"/>
    <w:rPr>
      <w:rFonts w:ascii="Arial" w:hAnsi="Arial" w:cs="Arial"/>
      <w:sz w:val="16"/>
      <w:szCs w:val="16"/>
    </w:rPr>
  </w:style>
  <w:style w:type="paragraph" w:styleId="FootnoteText">
    <w:name w:val="footnote text"/>
    <w:basedOn w:val="Normal"/>
    <w:link w:val="FootnoteTextChar"/>
    <w:uiPriority w:val="99"/>
    <w:semiHidden/>
    <w:rsid w:val="009F5040"/>
    <w:pPr>
      <w:jc w:val="both"/>
    </w:pPr>
    <w:rPr>
      <w:sz w:val="22"/>
    </w:rPr>
  </w:style>
  <w:style w:type="character" w:customStyle="1" w:styleId="FootnoteTextChar">
    <w:name w:val="Footnote Text Char"/>
    <w:basedOn w:val="DefaultParagraphFont"/>
    <w:link w:val="FootnoteText"/>
    <w:uiPriority w:val="99"/>
    <w:semiHidden/>
    <w:rsid w:val="005977A0"/>
    <w:rPr>
      <w:rFonts w:ascii="Arial" w:hAnsi="Arial" w:cs="Arial"/>
      <w:sz w:val="20"/>
      <w:szCs w:val="20"/>
    </w:rPr>
  </w:style>
  <w:style w:type="character" w:styleId="Hyperlink">
    <w:name w:val="Hyperlink"/>
    <w:basedOn w:val="DefaultParagraphFont"/>
    <w:uiPriority w:val="99"/>
    <w:rsid w:val="009F5040"/>
    <w:rPr>
      <w:rFonts w:cs="Times New Roman"/>
      <w:color w:val="0000FF"/>
      <w:u w:val="single"/>
    </w:rPr>
  </w:style>
  <w:style w:type="character" w:styleId="Strong">
    <w:name w:val="Strong"/>
    <w:basedOn w:val="DefaultParagraphFont"/>
    <w:uiPriority w:val="99"/>
    <w:qFormat/>
    <w:rsid w:val="009F5040"/>
    <w:rPr>
      <w:rFonts w:cs="Times New Roman"/>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uiPriority w:val="99"/>
    <w:semiHidden/>
    <w:rsid w:val="009F5040"/>
    <w:pPr>
      <w:ind w:left="480"/>
    </w:pPr>
  </w:style>
  <w:style w:type="paragraph" w:styleId="TOC5">
    <w:name w:val="toc 5"/>
    <w:basedOn w:val="Normal"/>
    <w:next w:val="Normal"/>
    <w:autoRedefine/>
    <w:uiPriority w:val="99"/>
    <w:semiHidden/>
    <w:rsid w:val="009F5040"/>
    <w:pPr>
      <w:ind w:left="720"/>
    </w:pPr>
  </w:style>
  <w:style w:type="paragraph" w:styleId="TOC6">
    <w:name w:val="toc 6"/>
    <w:basedOn w:val="Normal"/>
    <w:next w:val="Normal"/>
    <w:autoRedefine/>
    <w:uiPriority w:val="99"/>
    <w:semiHidden/>
    <w:rsid w:val="009F5040"/>
    <w:pPr>
      <w:ind w:left="960"/>
    </w:pPr>
  </w:style>
  <w:style w:type="paragraph" w:styleId="TOC7">
    <w:name w:val="toc 7"/>
    <w:basedOn w:val="Normal"/>
    <w:next w:val="Normal"/>
    <w:autoRedefine/>
    <w:uiPriority w:val="99"/>
    <w:semiHidden/>
    <w:rsid w:val="009F5040"/>
    <w:pPr>
      <w:ind w:left="1200"/>
    </w:pPr>
  </w:style>
  <w:style w:type="paragraph" w:styleId="TOC8">
    <w:name w:val="toc 8"/>
    <w:basedOn w:val="Normal"/>
    <w:next w:val="Normal"/>
    <w:autoRedefine/>
    <w:uiPriority w:val="99"/>
    <w:semiHidden/>
    <w:rsid w:val="009F5040"/>
    <w:pPr>
      <w:ind w:left="1440"/>
    </w:pPr>
  </w:style>
  <w:style w:type="paragraph" w:styleId="TOC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BodyText3">
    <w:name w:val="Body Text 3"/>
    <w:basedOn w:val="Normal"/>
    <w:link w:val="BodyText3Char"/>
    <w:uiPriority w:val="99"/>
    <w:rsid w:val="009F5040"/>
    <w:rPr>
      <w:sz w:val="16"/>
      <w:szCs w:val="16"/>
    </w:rPr>
  </w:style>
  <w:style w:type="character" w:customStyle="1" w:styleId="BodyText3Char">
    <w:name w:val="Body Text 3 Char"/>
    <w:basedOn w:val="DefaultParagraphFont"/>
    <w:link w:val="BodyText3"/>
    <w:uiPriority w:val="99"/>
    <w:semiHidden/>
    <w:rsid w:val="005977A0"/>
    <w:rPr>
      <w:rFonts w:ascii="Arial" w:hAnsi="Arial" w:cs="Arial"/>
      <w:sz w:val="16"/>
      <w:szCs w:val="16"/>
    </w:rPr>
  </w:style>
  <w:style w:type="character" w:styleId="FootnoteReference">
    <w:name w:val="footnote reference"/>
    <w:basedOn w:val="DefaultParagraphFont"/>
    <w:uiPriority w:val="99"/>
    <w:semiHidden/>
    <w:rsid w:val="009F5040"/>
    <w:rPr>
      <w:rFonts w:cs="Times New Roman"/>
      <w:vertAlign w:val="superscript"/>
    </w:rPr>
  </w:style>
  <w:style w:type="paragraph" w:styleId="Title">
    <w:name w:val="Title"/>
    <w:basedOn w:val="Normal"/>
    <w:next w:val="Normal"/>
    <w:link w:val="TitleChar"/>
    <w:uiPriority w:val="99"/>
    <w:qFormat/>
    <w:rsid w:val="009F5040"/>
    <w:pPr>
      <w:spacing w:before="120" w:after="240"/>
      <w:jc w:val="center"/>
    </w:pPr>
    <w:rPr>
      <w:sz w:val="56"/>
      <w:u w:val="double"/>
      <w:lang w:val="en-GB"/>
    </w:rPr>
  </w:style>
  <w:style w:type="character" w:customStyle="1" w:styleId="TitleChar">
    <w:name w:val="Title Char"/>
    <w:basedOn w:val="DefaultParagraphFont"/>
    <w:link w:val="Title"/>
    <w:uiPriority w:val="99"/>
    <w:locked/>
    <w:rsid w:val="00BF0462"/>
    <w:rPr>
      <w:rFonts w:ascii="Arial" w:hAnsi="Arial" w:cs="Arial"/>
      <w:sz w:val="56"/>
      <w:u w:val="double"/>
      <w:lang w:eastAsia="en-US"/>
    </w:rPr>
  </w:style>
  <w:style w:type="character" w:customStyle="1" w:styleId="searchtextresume1">
    <w:name w:val="searchtextresume1"/>
    <w:basedOn w:val="DefaultParagraphFont"/>
    <w:uiPriority w:val="99"/>
    <w:rsid w:val="009F5040"/>
    <w:rPr>
      <w:rFonts w:ascii="Arial" w:hAnsi="Arial" w:cs="Arial"/>
      <w:color w:val="000000"/>
      <w:sz w:val="18"/>
      <w:szCs w:val="18"/>
      <w:u w:val="none"/>
      <w:effect w:val="none"/>
    </w:rPr>
  </w:style>
  <w:style w:type="paragraph" w:styleId="ListBullet">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DefaultParagraphFon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Emphasis">
    <w:name w:val="Emphasis"/>
    <w:basedOn w:val="DefaultParagraphFont"/>
    <w:uiPriority w:val="99"/>
    <w:qFormat/>
    <w:rsid w:val="009F5040"/>
    <w:rPr>
      <w:rFonts w:cs="Times New Roman"/>
      <w:i/>
      <w:iCs/>
    </w:rPr>
  </w:style>
  <w:style w:type="table" w:styleId="TableGrid">
    <w:name w:val="Table Grid"/>
    <w:basedOn w:val="Table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uiPriority w:val="99"/>
    <w:rsid w:val="000D3E94"/>
    <w:rPr>
      <w:rFonts w:cs="Times New Roman"/>
      <w:color w:val="800080"/>
      <w:u w:val="single"/>
    </w:rPr>
  </w:style>
  <w:style w:type="character" w:customStyle="1" w:styleId="messagetypecontextfrom">
    <w:name w:val="messagetypecontextfrom"/>
    <w:basedOn w:val="DefaultParagraphFont"/>
    <w:uiPriority w:val="99"/>
    <w:rsid w:val="000D4C85"/>
    <w:rPr>
      <w:rFonts w:cs="Times New Roman"/>
    </w:rPr>
  </w:style>
  <w:style w:type="character" w:customStyle="1" w:styleId="messagetypecontextto">
    <w:name w:val="messagetypecontextto"/>
    <w:basedOn w:val="DefaultParagraphFont"/>
    <w:uiPriority w:val="99"/>
    <w:rsid w:val="000D4C85"/>
    <w:rPr>
      <w:rFonts w:cs="Times New Roman"/>
    </w:rPr>
  </w:style>
  <w:style w:type="paragraph" w:styleId="BalloonText">
    <w:name w:val="Balloon Text"/>
    <w:basedOn w:val="Normal"/>
    <w:link w:val="BalloonTextChar"/>
    <w:uiPriority w:val="99"/>
    <w:semiHidden/>
    <w:rsid w:val="0052689B"/>
    <w:rPr>
      <w:rFonts w:ascii="Tahoma" w:hAnsi="Tahoma" w:cs="Tahoma"/>
      <w:sz w:val="16"/>
      <w:szCs w:val="16"/>
    </w:rPr>
  </w:style>
  <w:style w:type="character" w:customStyle="1" w:styleId="BalloonTextChar">
    <w:name w:val="Balloon Text Char"/>
    <w:basedOn w:val="DefaultParagraphFont"/>
    <w:link w:val="BalloonText"/>
    <w:uiPriority w:val="99"/>
    <w:semiHidden/>
    <w:rsid w:val="005977A0"/>
    <w:rPr>
      <w:rFonts w:cs="Arial"/>
      <w:sz w:val="0"/>
      <w:szCs w:val="0"/>
    </w:rPr>
  </w:style>
  <w:style w:type="paragraph" w:styleId="Caption">
    <w:name w:val="caption"/>
    <w:basedOn w:val="Normal"/>
    <w:next w:val="Normal"/>
    <w:uiPriority w:val="99"/>
    <w:qFormat/>
    <w:rsid w:val="00B1091C"/>
    <w:rPr>
      <w:b/>
      <w:bCs/>
    </w:rPr>
  </w:style>
  <w:style w:type="paragraph" w:styleId="PlainText">
    <w:name w:val="Plain Text"/>
    <w:basedOn w:val="Normal"/>
    <w:link w:val="PlainTextChar"/>
    <w:uiPriority w:val="99"/>
    <w:rsid w:val="00C67D2C"/>
    <w:rPr>
      <w:rFonts w:ascii="Consolas" w:hAnsi="Consolas"/>
      <w:lang w:val="en-GB" w:eastAsia="en-GB"/>
    </w:rPr>
  </w:style>
  <w:style w:type="character" w:customStyle="1" w:styleId="PlainTextChar">
    <w:name w:val="Plain Text Char"/>
    <w:basedOn w:val="DefaultParagraphFont"/>
    <w:link w:val="PlainTex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BlockText"/>
    <w:link w:val="DecisionsChar"/>
    <w:qFormat/>
    <w:rsid w:val="000A0FAC"/>
    <w:rPr>
      <w:color w:val="008000"/>
      <w:sz w:val="20"/>
      <w:lang w:val="en-GB"/>
    </w:rPr>
  </w:style>
  <w:style w:type="character" w:customStyle="1" w:styleId="Title1Char">
    <w:name w:val="Title1 Char"/>
    <w:basedOn w:val="DefaultParagraphFont"/>
    <w:link w:val="Title1"/>
    <w:uiPriority w:val="99"/>
    <w:locked/>
    <w:rsid w:val="00E07780"/>
    <w:rPr>
      <w:rFonts w:ascii="Arial" w:hAnsi="Arial" w:cs="Arial"/>
      <w:b/>
      <w:sz w:val="32"/>
      <w:szCs w:val="32"/>
      <w:u w:val="single"/>
      <w:lang w:eastAsia="en-US"/>
    </w:rPr>
  </w:style>
  <w:style w:type="paragraph" w:customStyle="1" w:styleId="Actions">
    <w:name w:val="Actions"/>
    <w:basedOn w:val="BlockText"/>
    <w:link w:val="ActionsChar"/>
    <w:uiPriority w:val="99"/>
    <w:rsid w:val="008F2189"/>
    <w:pPr>
      <w:spacing w:before="120"/>
    </w:pPr>
    <w:rPr>
      <w:color w:val="FF0000"/>
      <w:sz w:val="20"/>
      <w:lang w:val="en-GB"/>
    </w:rPr>
  </w:style>
  <w:style w:type="character" w:customStyle="1" w:styleId="BlockTextChar">
    <w:name w:val="Block Text Char"/>
    <w:basedOn w:val="DefaultParagraphFont"/>
    <w:link w:val="BlockText"/>
    <w:uiPriority w:val="99"/>
    <w:locked/>
    <w:rsid w:val="00B80712"/>
    <w:rPr>
      <w:rFonts w:ascii="Arial" w:hAnsi="Arial" w:cs="Arial"/>
      <w:sz w:val="22"/>
      <w:lang w:val="en-US" w:eastAsia="en-US"/>
    </w:rPr>
  </w:style>
  <w:style w:type="character" w:customStyle="1" w:styleId="DecisionsChar">
    <w:name w:val="Decisions Char"/>
    <w:basedOn w:val="BlockTextChar"/>
    <w:link w:val="Decisions"/>
    <w:locked/>
    <w:rsid w:val="000A0FAC"/>
    <w:rPr>
      <w:rFonts w:ascii="Arial" w:hAnsi="Arial" w:cs="Arial"/>
      <w:color w:val="008000"/>
      <w:sz w:val="22"/>
      <w:lang w:val="en-US" w:eastAsia="en-US"/>
    </w:rPr>
  </w:style>
  <w:style w:type="character" w:customStyle="1" w:styleId="ActionsChar">
    <w:name w:val="Actions Char"/>
    <w:basedOn w:val="BlockTextChar"/>
    <w:link w:val="Actions"/>
    <w:uiPriority w:val="99"/>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ListParagraph">
    <w:name w:val="List Paragraph"/>
    <w:basedOn w:val="Normal"/>
    <w:link w:val="ListParagraphChar"/>
    <w:uiPriority w:val="34"/>
    <w:qFormat/>
    <w:rsid w:val="001E78CC"/>
    <w:pPr>
      <w:spacing w:after="0"/>
      <w:ind w:left="720"/>
    </w:pPr>
    <w:rPr>
      <w:rFonts w:cs="Times New Roman"/>
      <w:sz w:val="24"/>
      <w:lang w:val="en-GB" w:eastAsia="en-GB"/>
    </w:rPr>
  </w:style>
  <w:style w:type="character" w:customStyle="1" w:styleId="BulletedtextChar">
    <w:name w:val="Bulleted text Char"/>
    <w:basedOn w:val="DefaultParagraphFon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TOCHeading">
    <w:name w:val="TOC Heading"/>
    <w:basedOn w:val="Heading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DefaultParagraphFon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 w:type="paragraph" w:styleId="Subtitle">
    <w:name w:val="Subtitle"/>
    <w:basedOn w:val="Normal"/>
    <w:next w:val="Normal"/>
    <w:link w:val="SubtitleChar"/>
    <w:qFormat/>
    <w:locked/>
    <w:rsid w:val="008157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1577C"/>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790934"/>
    <w:rPr>
      <w:sz w:val="16"/>
      <w:szCs w:val="16"/>
    </w:rPr>
  </w:style>
  <w:style w:type="paragraph" w:styleId="CommentSubject">
    <w:name w:val="annotation subject"/>
    <w:basedOn w:val="CommentText"/>
    <w:next w:val="CommentText"/>
    <w:link w:val="CommentSubjectChar"/>
    <w:uiPriority w:val="99"/>
    <w:semiHidden/>
    <w:unhideWhenUsed/>
    <w:rsid w:val="00790934"/>
    <w:rPr>
      <w:b/>
      <w:bCs/>
    </w:rPr>
  </w:style>
  <w:style w:type="character" w:customStyle="1" w:styleId="CommentSubjectChar">
    <w:name w:val="Comment Subject Char"/>
    <w:basedOn w:val="CommentTextChar"/>
    <w:link w:val="CommentSubject"/>
    <w:uiPriority w:val="99"/>
    <w:semiHidden/>
    <w:rsid w:val="00790934"/>
    <w:rPr>
      <w:rFonts w:ascii="Arial" w:hAnsi="Arial" w:cs="Arial"/>
      <w:b/>
      <w:bCs/>
      <w:sz w:val="20"/>
      <w:szCs w:val="20"/>
    </w:rPr>
  </w:style>
  <w:style w:type="character" w:customStyle="1" w:styleId="shorttext">
    <w:name w:val="short_text"/>
    <w:basedOn w:val="DefaultParagraphFont"/>
    <w:rsid w:val="00561405"/>
  </w:style>
  <w:style w:type="paragraph" w:customStyle="1" w:styleId="StyleHeading4TSBFOUR11ptNotBold">
    <w:name w:val="Style Heading 4TSBFOUR + 11 pt Not Bold"/>
    <w:basedOn w:val="Normal"/>
    <w:rsid w:val="002264BA"/>
    <w:pPr>
      <w:keepNext/>
      <w:tabs>
        <w:tab w:val="num" w:pos="2880"/>
      </w:tabs>
      <w:spacing w:before="240" w:after="60"/>
      <w:ind w:left="2880" w:hanging="360"/>
      <w:jc w:val="both"/>
    </w:pPr>
    <w:rPr>
      <w:rFonts w:eastAsiaTheme="minorHAnsi"/>
      <w:sz w:val="22"/>
      <w:szCs w:val="22"/>
      <w:u w:val="single"/>
      <w:lang w:val="en-GB"/>
    </w:rPr>
  </w:style>
  <w:style w:type="character" w:customStyle="1" w:styleId="ListParagraphChar">
    <w:name w:val="List Paragraph Char"/>
    <w:basedOn w:val="DefaultParagraphFont"/>
    <w:link w:val="ListParagraph"/>
    <w:uiPriority w:val="34"/>
    <w:locked/>
    <w:rsid w:val="002264BA"/>
    <w:rPr>
      <w:rFonts w:ascii="Arial" w:hAnsi="Arial"/>
      <w:sz w:val="24"/>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Heading1">
    <w:name w:val="heading 1"/>
    <w:basedOn w:val="Normal"/>
    <w:next w:val="Normal"/>
    <w:link w:val="Heading1Char"/>
    <w:uiPriority w:val="99"/>
    <w:qFormat/>
    <w:rsid w:val="00110DA4"/>
    <w:pPr>
      <w:keepNext/>
      <w:numPr>
        <w:numId w:val="4"/>
      </w:numPr>
      <w:spacing w:before="360" w:after="240"/>
      <w:outlineLvl w:val="0"/>
    </w:pPr>
    <w:rPr>
      <w:b/>
      <w:kern w:val="28"/>
      <w:sz w:val="24"/>
      <w:u w:val="single"/>
      <w:lang w:eastAsia="en-GB"/>
    </w:rPr>
  </w:style>
  <w:style w:type="paragraph" w:styleId="Heading2">
    <w:name w:val="heading 2"/>
    <w:aliases w:val="TSBTWO"/>
    <w:basedOn w:val="Normal"/>
    <w:next w:val="BlockText"/>
    <w:link w:val="Heading2Char1"/>
    <w:qFormat/>
    <w:rsid w:val="00AC3C0E"/>
    <w:pPr>
      <w:keepNext/>
      <w:numPr>
        <w:numId w:val="8"/>
      </w:numPr>
      <w:spacing w:before="240"/>
      <w:jc w:val="both"/>
      <w:outlineLvl w:val="1"/>
    </w:pPr>
    <w:rPr>
      <w:b/>
      <w:color w:val="000000"/>
      <w:u w:val="single"/>
    </w:rPr>
  </w:style>
  <w:style w:type="paragraph" w:styleId="Heading3">
    <w:name w:val="heading 3"/>
    <w:aliases w:val="TSBTHREE"/>
    <w:basedOn w:val="Normal"/>
    <w:next w:val="Normal"/>
    <w:link w:val="Heading3Char"/>
    <w:uiPriority w:val="9"/>
    <w:qFormat/>
    <w:rsid w:val="009F5040"/>
    <w:pPr>
      <w:keepNext/>
      <w:numPr>
        <w:ilvl w:val="2"/>
        <w:numId w:val="1"/>
      </w:numPr>
      <w:spacing w:before="200" w:after="60"/>
      <w:jc w:val="both"/>
      <w:outlineLvl w:val="2"/>
    </w:pPr>
    <w:rPr>
      <w:sz w:val="22"/>
      <w:u w:val="single"/>
      <w:lang w:val="en-GB"/>
    </w:rPr>
  </w:style>
  <w:style w:type="paragraph" w:styleId="Heading4">
    <w:name w:val="heading 4"/>
    <w:aliases w:val="TSBFOUR"/>
    <w:basedOn w:val="Normal"/>
    <w:next w:val="Normal"/>
    <w:link w:val="Heading4Char"/>
    <w:uiPriority w:val="9"/>
    <w:qFormat/>
    <w:rsid w:val="009F5040"/>
    <w:pPr>
      <w:keepNext/>
      <w:spacing w:before="80"/>
      <w:outlineLvl w:val="3"/>
    </w:pPr>
    <w:rPr>
      <w:b/>
      <w:i/>
      <w:sz w:val="22"/>
      <w:lang w:val="en-GB"/>
    </w:rPr>
  </w:style>
  <w:style w:type="paragraph" w:styleId="Heading5">
    <w:name w:val="heading 5"/>
    <w:basedOn w:val="Normal"/>
    <w:next w:val="Normal"/>
    <w:link w:val="Heading5Char"/>
    <w:uiPriority w:val="99"/>
    <w:qFormat/>
    <w:rsid w:val="009F5040"/>
    <w:pPr>
      <w:spacing w:before="240" w:after="60"/>
      <w:jc w:val="both"/>
      <w:outlineLvl w:val="4"/>
    </w:pPr>
    <w:rPr>
      <w:sz w:val="22"/>
    </w:rPr>
  </w:style>
  <w:style w:type="paragraph" w:styleId="Heading6">
    <w:name w:val="heading 6"/>
    <w:basedOn w:val="Normal"/>
    <w:next w:val="Normal"/>
    <w:link w:val="Heading6Char"/>
    <w:uiPriority w:val="99"/>
    <w:qFormat/>
    <w:rsid w:val="009F5040"/>
    <w:pPr>
      <w:spacing w:before="240" w:after="60"/>
      <w:jc w:val="both"/>
      <w:outlineLvl w:val="5"/>
    </w:pPr>
    <w:rPr>
      <w:i/>
      <w:sz w:val="22"/>
    </w:rPr>
  </w:style>
  <w:style w:type="paragraph" w:styleId="Heading7">
    <w:name w:val="heading 7"/>
    <w:basedOn w:val="Normal"/>
    <w:next w:val="Normal"/>
    <w:link w:val="Heading7Char"/>
    <w:uiPriority w:val="99"/>
    <w:qFormat/>
    <w:rsid w:val="009F5040"/>
    <w:pPr>
      <w:spacing w:before="240" w:after="60"/>
      <w:jc w:val="both"/>
      <w:outlineLvl w:val="6"/>
    </w:pPr>
    <w:rPr>
      <w:sz w:val="22"/>
    </w:rPr>
  </w:style>
  <w:style w:type="paragraph" w:styleId="Heading8">
    <w:name w:val="heading 8"/>
    <w:basedOn w:val="Normal"/>
    <w:next w:val="Normal"/>
    <w:link w:val="Heading8Char"/>
    <w:uiPriority w:val="99"/>
    <w:qFormat/>
    <w:rsid w:val="009F5040"/>
    <w:pPr>
      <w:keepNext/>
      <w:spacing w:after="60"/>
      <w:jc w:val="center"/>
      <w:outlineLvl w:val="7"/>
    </w:pPr>
    <w:rPr>
      <w:color w:val="FFFFFF"/>
      <w:sz w:val="22"/>
      <w:u w:val="single"/>
      <w:lang w:val="es-ES"/>
    </w:rPr>
  </w:style>
  <w:style w:type="paragraph" w:styleId="Heading9">
    <w:name w:val="heading 9"/>
    <w:basedOn w:val="Normal"/>
    <w:next w:val="Normal"/>
    <w:link w:val="Heading9Char"/>
    <w:uiPriority w:val="99"/>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DA4"/>
    <w:rPr>
      <w:rFonts w:ascii="Arial" w:hAnsi="Arial" w:cs="Arial"/>
      <w:b/>
      <w:kern w:val="28"/>
      <w:sz w:val="24"/>
      <w:szCs w:val="20"/>
      <w:u w:val="single"/>
      <w:lang w:eastAsia="en-GB"/>
    </w:rPr>
  </w:style>
  <w:style w:type="character" w:customStyle="1" w:styleId="Heading2Char1">
    <w:name w:val="Heading 2 Char1"/>
    <w:aliases w:val="TSBTWO Char"/>
    <w:basedOn w:val="DefaultParagraphFont"/>
    <w:link w:val="Heading2"/>
    <w:rsid w:val="00AC3C0E"/>
    <w:rPr>
      <w:rFonts w:ascii="Arial" w:hAnsi="Arial" w:cs="Arial"/>
      <w:b/>
      <w:color w:val="000000"/>
      <w:sz w:val="20"/>
      <w:szCs w:val="20"/>
      <w:u w:val="single"/>
    </w:rPr>
  </w:style>
  <w:style w:type="character" w:customStyle="1" w:styleId="Heading3Char">
    <w:name w:val="Heading 3 Char"/>
    <w:aliases w:val="TSBTHREE Char"/>
    <w:basedOn w:val="DefaultParagraphFont"/>
    <w:link w:val="Heading3"/>
    <w:uiPriority w:val="9"/>
    <w:rsid w:val="005977A0"/>
    <w:rPr>
      <w:rFonts w:ascii="Arial" w:hAnsi="Arial" w:cs="Arial"/>
      <w:szCs w:val="20"/>
      <w:u w:val="single"/>
      <w:lang w:val="en-GB"/>
    </w:rPr>
  </w:style>
  <w:style w:type="character" w:customStyle="1" w:styleId="Heading4Char">
    <w:name w:val="Heading 4 Char"/>
    <w:aliases w:val="TSBFOUR Char"/>
    <w:basedOn w:val="DefaultParagraphFont"/>
    <w:link w:val="Heading4"/>
    <w:uiPriority w:val="9"/>
    <w:semiHidden/>
    <w:rsid w:val="005977A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977A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977A0"/>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977A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977A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5977A0"/>
    <w:rPr>
      <w:rFonts w:asciiTheme="majorHAnsi" w:eastAsiaTheme="majorEastAsia" w:hAnsiTheme="majorHAnsi" w:cstheme="majorBidi"/>
    </w:rPr>
  </w:style>
  <w:style w:type="paragraph" w:styleId="CommentText">
    <w:name w:val="annotation text"/>
    <w:basedOn w:val="Normal"/>
    <w:link w:val="CommentTextChar"/>
    <w:uiPriority w:val="99"/>
    <w:semiHidden/>
    <w:rsid w:val="009F5040"/>
  </w:style>
  <w:style w:type="character" w:customStyle="1" w:styleId="CommentTextChar">
    <w:name w:val="Comment Text Char"/>
    <w:basedOn w:val="DefaultParagraphFont"/>
    <w:link w:val="CommentText"/>
    <w:uiPriority w:val="99"/>
    <w:semiHidden/>
    <w:rsid w:val="005977A0"/>
    <w:rPr>
      <w:rFonts w:ascii="Arial" w:hAnsi="Arial" w:cs="Arial"/>
      <w:sz w:val="20"/>
      <w:szCs w:val="20"/>
    </w:rPr>
  </w:style>
  <w:style w:type="paragraph" w:styleId="Header">
    <w:name w:val="header"/>
    <w:basedOn w:val="Normal"/>
    <w:link w:val="HeaderCh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HeaderChar">
    <w:name w:val="Header Char"/>
    <w:basedOn w:val="DefaultParagraphFont"/>
    <w:link w:val="Header"/>
    <w:uiPriority w:val="99"/>
    <w:locked/>
    <w:rsid w:val="00BF0462"/>
    <w:rPr>
      <w:rFonts w:ascii="Arial" w:hAnsi="Arial" w:cs="Arial"/>
      <w:sz w:val="56"/>
      <w:shd w:val="pct15" w:color="auto" w:fill="auto"/>
      <w:lang w:val="en-US" w:eastAsia="en-US"/>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link w:val="BodyTextChar"/>
    <w:uiPriority w:val="99"/>
    <w:rsid w:val="009F5040"/>
    <w:pPr>
      <w:tabs>
        <w:tab w:val="left" w:pos="540"/>
        <w:tab w:val="left" w:pos="1800"/>
      </w:tabs>
      <w:outlineLvl w:val="0"/>
    </w:pPr>
    <w:rPr>
      <w:color w:val="0000FF"/>
    </w:rPr>
  </w:style>
  <w:style w:type="character" w:customStyle="1" w:styleId="BodyTextChar">
    <w:name w:val="Body Text Char"/>
    <w:basedOn w:val="DefaultParagraphFont"/>
    <w:link w:val="BodyText"/>
    <w:uiPriority w:val="99"/>
    <w:semiHidden/>
    <w:rsid w:val="005977A0"/>
    <w:rPr>
      <w:rFonts w:ascii="Arial" w:hAnsi="Arial" w:cs="Arial"/>
      <w:sz w:val="20"/>
      <w:szCs w:val="20"/>
    </w:rPr>
  </w:style>
  <w:style w:type="paragraph" w:styleId="BodyTextIndent">
    <w:name w:val="Body Text Indent"/>
    <w:basedOn w:val="Normal"/>
    <w:link w:val="BodyTextIndentChar"/>
    <w:uiPriority w:val="99"/>
    <w:rsid w:val="009F5040"/>
    <w:pPr>
      <w:ind w:left="720"/>
    </w:pPr>
    <w:rPr>
      <w:sz w:val="22"/>
    </w:rPr>
  </w:style>
  <w:style w:type="character" w:customStyle="1" w:styleId="BodyTextIndentChar">
    <w:name w:val="Body Text Indent Char"/>
    <w:basedOn w:val="DefaultParagraphFont"/>
    <w:link w:val="BodyTextIndent"/>
    <w:uiPriority w:val="99"/>
    <w:semiHidden/>
    <w:rsid w:val="005977A0"/>
    <w:rPr>
      <w:rFonts w:ascii="Arial" w:hAnsi="Arial" w:cs="Arial"/>
      <w:sz w:val="20"/>
      <w:szCs w:val="20"/>
    </w:rPr>
  </w:style>
  <w:style w:type="paragraph" w:styleId="BodyText2">
    <w:name w:val="Body Text 2"/>
    <w:basedOn w:val="Normal"/>
    <w:link w:val="BodyText2Char"/>
    <w:uiPriority w:val="99"/>
    <w:rsid w:val="009F5040"/>
    <w:rPr>
      <w:color w:val="FF0000"/>
      <w:sz w:val="22"/>
    </w:rPr>
  </w:style>
  <w:style w:type="character" w:customStyle="1" w:styleId="BodyText2Char">
    <w:name w:val="Body Text 2 Char"/>
    <w:basedOn w:val="DefaultParagraphFont"/>
    <w:link w:val="BodyText2"/>
    <w:uiPriority w:val="99"/>
    <w:semiHidden/>
    <w:rsid w:val="005977A0"/>
    <w:rPr>
      <w:rFonts w:ascii="Arial" w:hAnsi="Arial" w:cs="Arial"/>
      <w:sz w:val="20"/>
      <w:szCs w:val="20"/>
    </w:rPr>
  </w:style>
  <w:style w:type="paragraph" w:styleId="BodyTextIndent2">
    <w:name w:val="Body Text Indent 2"/>
    <w:basedOn w:val="Normal"/>
    <w:link w:val="BodyTextIndent2Char"/>
    <w:uiPriority w:val="99"/>
    <w:rsid w:val="009F5040"/>
    <w:pPr>
      <w:ind w:left="720"/>
    </w:pPr>
  </w:style>
  <w:style w:type="character" w:customStyle="1" w:styleId="BodyTextIndent2Char">
    <w:name w:val="Body Text Indent 2 Char"/>
    <w:basedOn w:val="DefaultParagraphFont"/>
    <w:link w:val="BodyTextIndent2"/>
    <w:uiPriority w:val="99"/>
    <w:semiHidden/>
    <w:rsid w:val="005977A0"/>
    <w:rPr>
      <w:rFonts w:ascii="Arial" w:hAnsi="Arial" w:cs="Arial"/>
      <w:sz w:val="20"/>
      <w:szCs w:val="20"/>
    </w:r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customStyle="1" w:styleId="FooterChar">
    <w:name w:val="Footer Char"/>
    <w:basedOn w:val="DefaultParagraphFont"/>
    <w:link w:val="Footer"/>
    <w:uiPriority w:val="99"/>
    <w:locked/>
    <w:rsid w:val="003549AC"/>
    <w:rPr>
      <w:rFonts w:ascii="Arial" w:hAnsi="Arial" w:cs="Arial"/>
      <w:sz w:val="22"/>
      <w:szCs w:val="22"/>
      <w:lang w:val="en-US" w:eastAsia="en-US"/>
    </w:rPr>
  </w:style>
  <w:style w:type="character" w:styleId="PageNumber">
    <w:name w:val="page number"/>
    <w:basedOn w:val="DefaultParagraphFont"/>
    <w:uiPriority w:val="99"/>
    <w:rsid w:val="009F5040"/>
    <w:rPr>
      <w:rFonts w:cs="Times New Roman"/>
    </w:rPr>
  </w:style>
  <w:style w:type="paragraph" w:styleId="BodyTextIndent3">
    <w:name w:val="Body Text Indent 3"/>
    <w:basedOn w:val="Normal"/>
    <w:link w:val="BodyTextIndent3Char"/>
    <w:uiPriority w:val="99"/>
    <w:rsid w:val="009F5040"/>
    <w:pPr>
      <w:ind w:left="720"/>
    </w:pPr>
    <w:rPr>
      <w:color w:val="0000FF"/>
    </w:rPr>
  </w:style>
  <w:style w:type="character" w:customStyle="1" w:styleId="BodyTextIndent3Char">
    <w:name w:val="Body Text Indent 3 Char"/>
    <w:basedOn w:val="DefaultParagraphFont"/>
    <w:link w:val="BodyTextIndent3"/>
    <w:uiPriority w:val="99"/>
    <w:semiHidden/>
    <w:rsid w:val="005977A0"/>
    <w:rPr>
      <w:rFonts w:ascii="Arial" w:hAnsi="Arial" w:cs="Arial"/>
      <w:sz w:val="16"/>
      <w:szCs w:val="16"/>
    </w:rPr>
  </w:style>
  <w:style w:type="paragraph" w:styleId="FootnoteText">
    <w:name w:val="footnote text"/>
    <w:basedOn w:val="Normal"/>
    <w:link w:val="FootnoteTextChar"/>
    <w:uiPriority w:val="99"/>
    <w:semiHidden/>
    <w:rsid w:val="009F5040"/>
    <w:pPr>
      <w:jc w:val="both"/>
    </w:pPr>
    <w:rPr>
      <w:sz w:val="22"/>
    </w:rPr>
  </w:style>
  <w:style w:type="character" w:customStyle="1" w:styleId="FootnoteTextChar">
    <w:name w:val="Footnote Text Char"/>
    <w:basedOn w:val="DefaultParagraphFont"/>
    <w:link w:val="FootnoteText"/>
    <w:uiPriority w:val="99"/>
    <w:semiHidden/>
    <w:rsid w:val="005977A0"/>
    <w:rPr>
      <w:rFonts w:ascii="Arial" w:hAnsi="Arial" w:cs="Arial"/>
      <w:sz w:val="20"/>
      <w:szCs w:val="20"/>
    </w:rPr>
  </w:style>
  <w:style w:type="character" w:styleId="Hyperlink">
    <w:name w:val="Hyperlink"/>
    <w:basedOn w:val="DefaultParagraphFont"/>
    <w:uiPriority w:val="99"/>
    <w:rsid w:val="009F5040"/>
    <w:rPr>
      <w:rFonts w:cs="Times New Roman"/>
      <w:color w:val="0000FF"/>
      <w:u w:val="single"/>
    </w:rPr>
  </w:style>
  <w:style w:type="character" w:styleId="Strong">
    <w:name w:val="Strong"/>
    <w:basedOn w:val="DefaultParagraphFont"/>
    <w:uiPriority w:val="99"/>
    <w:qFormat/>
    <w:rsid w:val="009F5040"/>
    <w:rPr>
      <w:rFonts w:cs="Times New Roman"/>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uiPriority w:val="99"/>
    <w:semiHidden/>
    <w:rsid w:val="009F5040"/>
    <w:pPr>
      <w:ind w:left="480"/>
    </w:pPr>
  </w:style>
  <w:style w:type="paragraph" w:styleId="TOC5">
    <w:name w:val="toc 5"/>
    <w:basedOn w:val="Normal"/>
    <w:next w:val="Normal"/>
    <w:autoRedefine/>
    <w:uiPriority w:val="99"/>
    <w:semiHidden/>
    <w:rsid w:val="009F5040"/>
    <w:pPr>
      <w:ind w:left="720"/>
    </w:pPr>
  </w:style>
  <w:style w:type="paragraph" w:styleId="TOC6">
    <w:name w:val="toc 6"/>
    <w:basedOn w:val="Normal"/>
    <w:next w:val="Normal"/>
    <w:autoRedefine/>
    <w:uiPriority w:val="99"/>
    <w:semiHidden/>
    <w:rsid w:val="009F5040"/>
    <w:pPr>
      <w:ind w:left="960"/>
    </w:pPr>
  </w:style>
  <w:style w:type="paragraph" w:styleId="TOC7">
    <w:name w:val="toc 7"/>
    <w:basedOn w:val="Normal"/>
    <w:next w:val="Normal"/>
    <w:autoRedefine/>
    <w:uiPriority w:val="99"/>
    <w:semiHidden/>
    <w:rsid w:val="009F5040"/>
    <w:pPr>
      <w:ind w:left="1200"/>
    </w:pPr>
  </w:style>
  <w:style w:type="paragraph" w:styleId="TOC8">
    <w:name w:val="toc 8"/>
    <w:basedOn w:val="Normal"/>
    <w:next w:val="Normal"/>
    <w:autoRedefine/>
    <w:uiPriority w:val="99"/>
    <w:semiHidden/>
    <w:rsid w:val="009F5040"/>
    <w:pPr>
      <w:ind w:left="1440"/>
    </w:pPr>
  </w:style>
  <w:style w:type="paragraph" w:styleId="TOC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BodyText3">
    <w:name w:val="Body Text 3"/>
    <w:basedOn w:val="Normal"/>
    <w:link w:val="BodyText3Char"/>
    <w:uiPriority w:val="99"/>
    <w:rsid w:val="009F5040"/>
    <w:rPr>
      <w:sz w:val="16"/>
      <w:szCs w:val="16"/>
    </w:rPr>
  </w:style>
  <w:style w:type="character" w:customStyle="1" w:styleId="BodyText3Char">
    <w:name w:val="Body Text 3 Char"/>
    <w:basedOn w:val="DefaultParagraphFont"/>
    <w:link w:val="BodyText3"/>
    <w:uiPriority w:val="99"/>
    <w:semiHidden/>
    <w:rsid w:val="005977A0"/>
    <w:rPr>
      <w:rFonts w:ascii="Arial" w:hAnsi="Arial" w:cs="Arial"/>
      <w:sz w:val="16"/>
      <w:szCs w:val="16"/>
    </w:rPr>
  </w:style>
  <w:style w:type="character" w:styleId="FootnoteReference">
    <w:name w:val="footnote reference"/>
    <w:basedOn w:val="DefaultParagraphFont"/>
    <w:uiPriority w:val="99"/>
    <w:semiHidden/>
    <w:rsid w:val="009F5040"/>
    <w:rPr>
      <w:rFonts w:cs="Times New Roman"/>
      <w:vertAlign w:val="superscript"/>
    </w:rPr>
  </w:style>
  <w:style w:type="paragraph" w:styleId="Title">
    <w:name w:val="Title"/>
    <w:basedOn w:val="Normal"/>
    <w:next w:val="Normal"/>
    <w:link w:val="TitleChar"/>
    <w:uiPriority w:val="99"/>
    <w:qFormat/>
    <w:rsid w:val="009F5040"/>
    <w:pPr>
      <w:spacing w:before="120" w:after="240"/>
      <w:jc w:val="center"/>
    </w:pPr>
    <w:rPr>
      <w:sz w:val="56"/>
      <w:u w:val="double"/>
      <w:lang w:val="en-GB"/>
    </w:rPr>
  </w:style>
  <w:style w:type="character" w:customStyle="1" w:styleId="TitleChar">
    <w:name w:val="Title Char"/>
    <w:basedOn w:val="DefaultParagraphFont"/>
    <w:link w:val="Title"/>
    <w:uiPriority w:val="99"/>
    <w:locked/>
    <w:rsid w:val="00BF0462"/>
    <w:rPr>
      <w:rFonts w:ascii="Arial" w:hAnsi="Arial" w:cs="Arial"/>
      <w:sz w:val="56"/>
      <w:u w:val="double"/>
      <w:lang w:eastAsia="en-US"/>
    </w:rPr>
  </w:style>
  <w:style w:type="character" w:customStyle="1" w:styleId="searchtextresume1">
    <w:name w:val="searchtextresume1"/>
    <w:basedOn w:val="DefaultParagraphFont"/>
    <w:uiPriority w:val="99"/>
    <w:rsid w:val="009F5040"/>
    <w:rPr>
      <w:rFonts w:ascii="Arial" w:hAnsi="Arial" w:cs="Arial"/>
      <w:color w:val="000000"/>
      <w:sz w:val="18"/>
      <w:szCs w:val="18"/>
      <w:u w:val="none"/>
      <w:effect w:val="none"/>
    </w:rPr>
  </w:style>
  <w:style w:type="paragraph" w:styleId="ListBullet">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DefaultParagraphFon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Emphasis">
    <w:name w:val="Emphasis"/>
    <w:basedOn w:val="DefaultParagraphFont"/>
    <w:uiPriority w:val="99"/>
    <w:qFormat/>
    <w:rsid w:val="009F5040"/>
    <w:rPr>
      <w:rFonts w:cs="Times New Roman"/>
      <w:i/>
      <w:iCs/>
    </w:rPr>
  </w:style>
  <w:style w:type="table" w:styleId="TableGrid">
    <w:name w:val="Table Grid"/>
    <w:basedOn w:val="Table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uiPriority w:val="99"/>
    <w:rsid w:val="000D3E94"/>
    <w:rPr>
      <w:rFonts w:cs="Times New Roman"/>
      <w:color w:val="800080"/>
      <w:u w:val="single"/>
    </w:rPr>
  </w:style>
  <w:style w:type="character" w:customStyle="1" w:styleId="messagetypecontextfrom">
    <w:name w:val="messagetypecontextfrom"/>
    <w:basedOn w:val="DefaultParagraphFont"/>
    <w:uiPriority w:val="99"/>
    <w:rsid w:val="000D4C85"/>
    <w:rPr>
      <w:rFonts w:cs="Times New Roman"/>
    </w:rPr>
  </w:style>
  <w:style w:type="character" w:customStyle="1" w:styleId="messagetypecontextto">
    <w:name w:val="messagetypecontextto"/>
    <w:basedOn w:val="DefaultParagraphFont"/>
    <w:uiPriority w:val="99"/>
    <w:rsid w:val="000D4C85"/>
    <w:rPr>
      <w:rFonts w:cs="Times New Roman"/>
    </w:rPr>
  </w:style>
  <w:style w:type="paragraph" w:styleId="BalloonText">
    <w:name w:val="Balloon Text"/>
    <w:basedOn w:val="Normal"/>
    <w:link w:val="BalloonTextChar"/>
    <w:uiPriority w:val="99"/>
    <w:semiHidden/>
    <w:rsid w:val="0052689B"/>
    <w:rPr>
      <w:rFonts w:ascii="Tahoma" w:hAnsi="Tahoma" w:cs="Tahoma"/>
      <w:sz w:val="16"/>
      <w:szCs w:val="16"/>
    </w:rPr>
  </w:style>
  <w:style w:type="character" w:customStyle="1" w:styleId="BalloonTextChar">
    <w:name w:val="Balloon Text Char"/>
    <w:basedOn w:val="DefaultParagraphFont"/>
    <w:link w:val="BalloonText"/>
    <w:uiPriority w:val="99"/>
    <w:semiHidden/>
    <w:rsid w:val="005977A0"/>
    <w:rPr>
      <w:rFonts w:cs="Arial"/>
      <w:sz w:val="0"/>
      <w:szCs w:val="0"/>
    </w:rPr>
  </w:style>
  <w:style w:type="paragraph" w:styleId="Caption">
    <w:name w:val="caption"/>
    <w:basedOn w:val="Normal"/>
    <w:next w:val="Normal"/>
    <w:uiPriority w:val="99"/>
    <w:qFormat/>
    <w:rsid w:val="00B1091C"/>
    <w:rPr>
      <w:b/>
      <w:bCs/>
    </w:rPr>
  </w:style>
  <w:style w:type="paragraph" w:styleId="PlainText">
    <w:name w:val="Plain Text"/>
    <w:basedOn w:val="Normal"/>
    <w:link w:val="PlainTextChar"/>
    <w:uiPriority w:val="99"/>
    <w:rsid w:val="00C67D2C"/>
    <w:rPr>
      <w:rFonts w:ascii="Consolas" w:hAnsi="Consolas"/>
      <w:lang w:val="en-GB" w:eastAsia="en-GB"/>
    </w:rPr>
  </w:style>
  <w:style w:type="character" w:customStyle="1" w:styleId="PlainTextChar">
    <w:name w:val="Plain Text Char"/>
    <w:basedOn w:val="DefaultParagraphFont"/>
    <w:link w:val="PlainTex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BlockText"/>
    <w:link w:val="DecisionsChar"/>
    <w:qFormat/>
    <w:rsid w:val="000A0FAC"/>
    <w:rPr>
      <w:color w:val="008000"/>
      <w:sz w:val="20"/>
      <w:lang w:val="en-GB"/>
    </w:rPr>
  </w:style>
  <w:style w:type="character" w:customStyle="1" w:styleId="Title1Char">
    <w:name w:val="Title1 Char"/>
    <w:basedOn w:val="DefaultParagraphFont"/>
    <w:link w:val="Title1"/>
    <w:uiPriority w:val="99"/>
    <w:locked/>
    <w:rsid w:val="00E07780"/>
    <w:rPr>
      <w:rFonts w:ascii="Arial" w:hAnsi="Arial" w:cs="Arial"/>
      <w:b/>
      <w:sz w:val="32"/>
      <w:szCs w:val="32"/>
      <w:u w:val="single"/>
      <w:lang w:eastAsia="en-US"/>
    </w:rPr>
  </w:style>
  <w:style w:type="paragraph" w:customStyle="1" w:styleId="Actions">
    <w:name w:val="Actions"/>
    <w:basedOn w:val="BlockText"/>
    <w:link w:val="ActionsChar"/>
    <w:uiPriority w:val="99"/>
    <w:rsid w:val="008F2189"/>
    <w:pPr>
      <w:spacing w:before="120"/>
    </w:pPr>
    <w:rPr>
      <w:color w:val="FF0000"/>
      <w:sz w:val="20"/>
      <w:lang w:val="en-GB"/>
    </w:rPr>
  </w:style>
  <w:style w:type="character" w:customStyle="1" w:styleId="BlockTextChar">
    <w:name w:val="Block Text Char"/>
    <w:basedOn w:val="DefaultParagraphFont"/>
    <w:link w:val="BlockText"/>
    <w:uiPriority w:val="99"/>
    <w:locked/>
    <w:rsid w:val="00B80712"/>
    <w:rPr>
      <w:rFonts w:ascii="Arial" w:hAnsi="Arial" w:cs="Arial"/>
      <w:sz w:val="22"/>
      <w:lang w:val="en-US" w:eastAsia="en-US"/>
    </w:rPr>
  </w:style>
  <w:style w:type="character" w:customStyle="1" w:styleId="DecisionsChar">
    <w:name w:val="Decisions Char"/>
    <w:basedOn w:val="BlockTextChar"/>
    <w:link w:val="Decisions"/>
    <w:locked/>
    <w:rsid w:val="000A0FAC"/>
    <w:rPr>
      <w:rFonts w:ascii="Arial" w:hAnsi="Arial" w:cs="Arial"/>
      <w:color w:val="008000"/>
      <w:sz w:val="22"/>
      <w:lang w:val="en-US" w:eastAsia="en-US"/>
    </w:rPr>
  </w:style>
  <w:style w:type="character" w:customStyle="1" w:styleId="ActionsChar">
    <w:name w:val="Actions Char"/>
    <w:basedOn w:val="BlockTextChar"/>
    <w:link w:val="Actions"/>
    <w:uiPriority w:val="99"/>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ListParagraph">
    <w:name w:val="List Paragraph"/>
    <w:basedOn w:val="Normal"/>
    <w:link w:val="ListParagraphChar"/>
    <w:uiPriority w:val="34"/>
    <w:qFormat/>
    <w:rsid w:val="001E78CC"/>
    <w:pPr>
      <w:spacing w:after="0"/>
      <w:ind w:left="720"/>
    </w:pPr>
    <w:rPr>
      <w:rFonts w:cs="Times New Roman"/>
      <w:sz w:val="24"/>
      <w:lang w:val="en-GB" w:eastAsia="en-GB"/>
    </w:rPr>
  </w:style>
  <w:style w:type="character" w:customStyle="1" w:styleId="BulletedtextChar">
    <w:name w:val="Bulleted text Char"/>
    <w:basedOn w:val="DefaultParagraphFon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TOCHeading">
    <w:name w:val="TOC Heading"/>
    <w:basedOn w:val="Heading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DefaultParagraphFon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 w:type="paragraph" w:styleId="Subtitle">
    <w:name w:val="Subtitle"/>
    <w:basedOn w:val="Normal"/>
    <w:next w:val="Normal"/>
    <w:link w:val="SubtitleChar"/>
    <w:qFormat/>
    <w:locked/>
    <w:rsid w:val="008157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1577C"/>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790934"/>
    <w:rPr>
      <w:sz w:val="16"/>
      <w:szCs w:val="16"/>
    </w:rPr>
  </w:style>
  <w:style w:type="paragraph" w:styleId="CommentSubject">
    <w:name w:val="annotation subject"/>
    <w:basedOn w:val="CommentText"/>
    <w:next w:val="CommentText"/>
    <w:link w:val="CommentSubjectChar"/>
    <w:uiPriority w:val="99"/>
    <w:semiHidden/>
    <w:unhideWhenUsed/>
    <w:rsid w:val="00790934"/>
    <w:rPr>
      <w:b/>
      <w:bCs/>
    </w:rPr>
  </w:style>
  <w:style w:type="character" w:customStyle="1" w:styleId="CommentSubjectChar">
    <w:name w:val="Comment Subject Char"/>
    <w:basedOn w:val="CommentTextChar"/>
    <w:link w:val="CommentSubject"/>
    <w:uiPriority w:val="99"/>
    <w:semiHidden/>
    <w:rsid w:val="00790934"/>
    <w:rPr>
      <w:rFonts w:ascii="Arial" w:hAnsi="Arial" w:cs="Arial"/>
      <w:b/>
      <w:bCs/>
      <w:sz w:val="20"/>
      <w:szCs w:val="20"/>
    </w:rPr>
  </w:style>
  <w:style w:type="character" w:customStyle="1" w:styleId="shorttext">
    <w:name w:val="short_text"/>
    <w:basedOn w:val="DefaultParagraphFont"/>
    <w:rsid w:val="00561405"/>
  </w:style>
  <w:style w:type="paragraph" w:customStyle="1" w:styleId="StyleHeading4TSBFOUR11ptNotBold">
    <w:name w:val="Style Heading 4TSBFOUR + 11 pt Not Bold"/>
    <w:basedOn w:val="Normal"/>
    <w:rsid w:val="002264BA"/>
    <w:pPr>
      <w:keepNext/>
      <w:tabs>
        <w:tab w:val="num" w:pos="2880"/>
      </w:tabs>
      <w:spacing w:before="240" w:after="60"/>
      <w:ind w:left="2880" w:hanging="360"/>
      <w:jc w:val="both"/>
    </w:pPr>
    <w:rPr>
      <w:rFonts w:eastAsiaTheme="minorHAnsi"/>
      <w:sz w:val="22"/>
      <w:szCs w:val="22"/>
      <w:u w:val="single"/>
      <w:lang w:val="en-GB"/>
    </w:rPr>
  </w:style>
  <w:style w:type="character" w:customStyle="1" w:styleId="ListParagraphChar">
    <w:name w:val="List Paragraph Char"/>
    <w:basedOn w:val="DefaultParagraphFont"/>
    <w:link w:val="ListParagraph"/>
    <w:uiPriority w:val="34"/>
    <w:locked/>
    <w:rsid w:val="002264BA"/>
    <w:rPr>
      <w:rFonts w:ascii="Arial" w:hAnsi="Arial"/>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0393">
      <w:bodyDiv w:val="1"/>
      <w:marLeft w:val="0"/>
      <w:marRight w:val="0"/>
      <w:marTop w:val="0"/>
      <w:marBottom w:val="0"/>
      <w:divBdr>
        <w:top w:val="none" w:sz="0" w:space="0" w:color="auto"/>
        <w:left w:val="none" w:sz="0" w:space="0" w:color="auto"/>
        <w:bottom w:val="none" w:sz="0" w:space="0" w:color="auto"/>
        <w:right w:val="none" w:sz="0" w:space="0" w:color="auto"/>
      </w:divBdr>
    </w:div>
    <w:div w:id="25452504">
      <w:bodyDiv w:val="1"/>
      <w:marLeft w:val="0"/>
      <w:marRight w:val="0"/>
      <w:marTop w:val="0"/>
      <w:marBottom w:val="300"/>
      <w:divBdr>
        <w:top w:val="none" w:sz="0" w:space="0" w:color="auto"/>
        <w:left w:val="none" w:sz="0" w:space="0" w:color="auto"/>
        <w:bottom w:val="none" w:sz="0" w:space="0" w:color="auto"/>
        <w:right w:val="none" w:sz="0" w:space="0" w:color="auto"/>
      </w:divBdr>
      <w:divsChild>
        <w:div w:id="720204525">
          <w:marLeft w:val="450"/>
          <w:marRight w:val="225"/>
          <w:marTop w:val="0"/>
          <w:marBottom w:val="0"/>
          <w:divBdr>
            <w:top w:val="none" w:sz="0" w:space="0" w:color="auto"/>
            <w:left w:val="none" w:sz="0" w:space="0" w:color="auto"/>
            <w:bottom w:val="none" w:sz="0" w:space="0" w:color="auto"/>
            <w:right w:val="none" w:sz="0" w:space="0" w:color="auto"/>
          </w:divBdr>
          <w:divsChild>
            <w:div w:id="3162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2472">
      <w:bodyDiv w:val="1"/>
      <w:marLeft w:val="0"/>
      <w:marRight w:val="0"/>
      <w:marTop w:val="0"/>
      <w:marBottom w:val="0"/>
      <w:divBdr>
        <w:top w:val="none" w:sz="0" w:space="0" w:color="auto"/>
        <w:left w:val="none" w:sz="0" w:space="0" w:color="auto"/>
        <w:bottom w:val="none" w:sz="0" w:space="0" w:color="auto"/>
        <w:right w:val="none" w:sz="0" w:space="0" w:color="auto"/>
      </w:divBdr>
    </w:div>
    <w:div w:id="71657418">
      <w:bodyDiv w:val="1"/>
      <w:marLeft w:val="0"/>
      <w:marRight w:val="0"/>
      <w:marTop w:val="0"/>
      <w:marBottom w:val="0"/>
      <w:divBdr>
        <w:top w:val="none" w:sz="0" w:space="0" w:color="auto"/>
        <w:left w:val="none" w:sz="0" w:space="0" w:color="auto"/>
        <w:bottom w:val="none" w:sz="0" w:space="0" w:color="auto"/>
        <w:right w:val="none" w:sz="0" w:space="0" w:color="auto"/>
      </w:divBdr>
    </w:div>
    <w:div w:id="77605831">
      <w:bodyDiv w:val="1"/>
      <w:marLeft w:val="0"/>
      <w:marRight w:val="0"/>
      <w:marTop w:val="0"/>
      <w:marBottom w:val="0"/>
      <w:divBdr>
        <w:top w:val="none" w:sz="0" w:space="0" w:color="auto"/>
        <w:left w:val="none" w:sz="0" w:space="0" w:color="auto"/>
        <w:bottom w:val="none" w:sz="0" w:space="0" w:color="auto"/>
        <w:right w:val="none" w:sz="0" w:space="0" w:color="auto"/>
      </w:divBdr>
    </w:div>
    <w:div w:id="86460346">
      <w:bodyDiv w:val="1"/>
      <w:marLeft w:val="0"/>
      <w:marRight w:val="0"/>
      <w:marTop w:val="0"/>
      <w:marBottom w:val="0"/>
      <w:divBdr>
        <w:top w:val="none" w:sz="0" w:space="0" w:color="auto"/>
        <w:left w:val="none" w:sz="0" w:space="0" w:color="auto"/>
        <w:bottom w:val="none" w:sz="0" w:space="0" w:color="auto"/>
        <w:right w:val="none" w:sz="0" w:space="0" w:color="auto"/>
      </w:divBdr>
    </w:div>
    <w:div w:id="107551221">
      <w:bodyDiv w:val="1"/>
      <w:marLeft w:val="0"/>
      <w:marRight w:val="0"/>
      <w:marTop w:val="0"/>
      <w:marBottom w:val="0"/>
      <w:divBdr>
        <w:top w:val="none" w:sz="0" w:space="0" w:color="auto"/>
        <w:left w:val="none" w:sz="0" w:space="0" w:color="auto"/>
        <w:bottom w:val="none" w:sz="0" w:space="0" w:color="auto"/>
        <w:right w:val="none" w:sz="0" w:space="0" w:color="auto"/>
      </w:divBdr>
    </w:div>
    <w:div w:id="118845787">
      <w:bodyDiv w:val="1"/>
      <w:marLeft w:val="0"/>
      <w:marRight w:val="0"/>
      <w:marTop w:val="0"/>
      <w:marBottom w:val="300"/>
      <w:divBdr>
        <w:top w:val="none" w:sz="0" w:space="0" w:color="auto"/>
        <w:left w:val="none" w:sz="0" w:space="0" w:color="auto"/>
        <w:bottom w:val="none" w:sz="0" w:space="0" w:color="auto"/>
        <w:right w:val="none" w:sz="0" w:space="0" w:color="auto"/>
      </w:divBdr>
      <w:divsChild>
        <w:div w:id="68386383">
          <w:marLeft w:val="450"/>
          <w:marRight w:val="225"/>
          <w:marTop w:val="0"/>
          <w:marBottom w:val="0"/>
          <w:divBdr>
            <w:top w:val="none" w:sz="0" w:space="0" w:color="auto"/>
            <w:left w:val="none" w:sz="0" w:space="0" w:color="auto"/>
            <w:bottom w:val="none" w:sz="0" w:space="0" w:color="auto"/>
            <w:right w:val="none" w:sz="0" w:space="0" w:color="auto"/>
          </w:divBdr>
          <w:divsChild>
            <w:div w:id="13796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5372">
      <w:bodyDiv w:val="1"/>
      <w:marLeft w:val="0"/>
      <w:marRight w:val="0"/>
      <w:marTop w:val="0"/>
      <w:marBottom w:val="0"/>
      <w:divBdr>
        <w:top w:val="none" w:sz="0" w:space="0" w:color="auto"/>
        <w:left w:val="none" w:sz="0" w:space="0" w:color="auto"/>
        <w:bottom w:val="none" w:sz="0" w:space="0" w:color="auto"/>
        <w:right w:val="none" w:sz="0" w:space="0" w:color="auto"/>
      </w:divBdr>
    </w:div>
    <w:div w:id="148904505">
      <w:bodyDiv w:val="1"/>
      <w:marLeft w:val="0"/>
      <w:marRight w:val="0"/>
      <w:marTop w:val="0"/>
      <w:marBottom w:val="0"/>
      <w:divBdr>
        <w:top w:val="none" w:sz="0" w:space="0" w:color="auto"/>
        <w:left w:val="none" w:sz="0" w:space="0" w:color="auto"/>
        <w:bottom w:val="none" w:sz="0" w:space="0" w:color="auto"/>
        <w:right w:val="none" w:sz="0" w:space="0" w:color="auto"/>
      </w:divBdr>
    </w:div>
    <w:div w:id="150099413">
      <w:bodyDiv w:val="1"/>
      <w:marLeft w:val="0"/>
      <w:marRight w:val="0"/>
      <w:marTop w:val="0"/>
      <w:marBottom w:val="0"/>
      <w:divBdr>
        <w:top w:val="none" w:sz="0" w:space="0" w:color="auto"/>
        <w:left w:val="none" w:sz="0" w:space="0" w:color="auto"/>
        <w:bottom w:val="none" w:sz="0" w:space="0" w:color="auto"/>
        <w:right w:val="none" w:sz="0" w:space="0" w:color="auto"/>
      </w:divBdr>
    </w:div>
    <w:div w:id="154301790">
      <w:bodyDiv w:val="1"/>
      <w:marLeft w:val="0"/>
      <w:marRight w:val="0"/>
      <w:marTop w:val="0"/>
      <w:marBottom w:val="0"/>
      <w:divBdr>
        <w:top w:val="none" w:sz="0" w:space="0" w:color="auto"/>
        <w:left w:val="none" w:sz="0" w:space="0" w:color="auto"/>
        <w:bottom w:val="none" w:sz="0" w:space="0" w:color="auto"/>
        <w:right w:val="none" w:sz="0" w:space="0" w:color="auto"/>
      </w:divBdr>
    </w:div>
    <w:div w:id="184101503">
      <w:bodyDiv w:val="1"/>
      <w:marLeft w:val="0"/>
      <w:marRight w:val="0"/>
      <w:marTop w:val="0"/>
      <w:marBottom w:val="0"/>
      <w:divBdr>
        <w:top w:val="none" w:sz="0" w:space="0" w:color="auto"/>
        <w:left w:val="none" w:sz="0" w:space="0" w:color="auto"/>
        <w:bottom w:val="none" w:sz="0" w:space="0" w:color="auto"/>
        <w:right w:val="none" w:sz="0" w:space="0" w:color="auto"/>
      </w:divBdr>
    </w:div>
    <w:div w:id="195626708">
      <w:bodyDiv w:val="1"/>
      <w:marLeft w:val="0"/>
      <w:marRight w:val="0"/>
      <w:marTop w:val="0"/>
      <w:marBottom w:val="0"/>
      <w:divBdr>
        <w:top w:val="none" w:sz="0" w:space="0" w:color="auto"/>
        <w:left w:val="none" w:sz="0" w:space="0" w:color="auto"/>
        <w:bottom w:val="none" w:sz="0" w:space="0" w:color="auto"/>
        <w:right w:val="none" w:sz="0" w:space="0" w:color="auto"/>
      </w:divBdr>
    </w:div>
    <w:div w:id="228612155">
      <w:bodyDiv w:val="1"/>
      <w:marLeft w:val="0"/>
      <w:marRight w:val="0"/>
      <w:marTop w:val="0"/>
      <w:marBottom w:val="0"/>
      <w:divBdr>
        <w:top w:val="none" w:sz="0" w:space="0" w:color="auto"/>
        <w:left w:val="none" w:sz="0" w:space="0" w:color="auto"/>
        <w:bottom w:val="none" w:sz="0" w:space="0" w:color="auto"/>
        <w:right w:val="none" w:sz="0" w:space="0" w:color="auto"/>
      </w:divBdr>
    </w:div>
    <w:div w:id="254948619">
      <w:bodyDiv w:val="1"/>
      <w:marLeft w:val="0"/>
      <w:marRight w:val="0"/>
      <w:marTop w:val="0"/>
      <w:marBottom w:val="0"/>
      <w:divBdr>
        <w:top w:val="none" w:sz="0" w:space="0" w:color="auto"/>
        <w:left w:val="none" w:sz="0" w:space="0" w:color="auto"/>
        <w:bottom w:val="none" w:sz="0" w:space="0" w:color="auto"/>
        <w:right w:val="none" w:sz="0" w:space="0" w:color="auto"/>
      </w:divBdr>
    </w:div>
    <w:div w:id="277029028">
      <w:bodyDiv w:val="1"/>
      <w:marLeft w:val="0"/>
      <w:marRight w:val="0"/>
      <w:marTop w:val="0"/>
      <w:marBottom w:val="0"/>
      <w:divBdr>
        <w:top w:val="none" w:sz="0" w:space="0" w:color="auto"/>
        <w:left w:val="none" w:sz="0" w:space="0" w:color="auto"/>
        <w:bottom w:val="none" w:sz="0" w:space="0" w:color="auto"/>
        <w:right w:val="none" w:sz="0" w:space="0" w:color="auto"/>
      </w:divBdr>
    </w:div>
    <w:div w:id="301228075">
      <w:bodyDiv w:val="1"/>
      <w:marLeft w:val="1"/>
      <w:marRight w:val="1"/>
      <w:marTop w:val="1"/>
      <w:marBottom w:val="1"/>
      <w:divBdr>
        <w:top w:val="none" w:sz="0" w:space="0" w:color="auto"/>
        <w:left w:val="none" w:sz="0" w:space="0" w:color="auto"/>
        <w:bottom w:val="none" w:sz="0" w:space="0" w:color="auto"/>
        <w:right w:val="none" w:sz="0" w:space="0" w:color="auto"/>
      </w:divBdr>
    </w:div>
    <w:div w:id="315913293">
      <w:bodyDiv w:val="1"/>
      <w:marLeft w:val="0"/>
      <w:marRight w:val="0"/>
      <w:marTop w:val="0"/>
      <w:marBottom w:val="0"/>
      <w:divBdr>
        <w:top w:val="none" w:sz="0" w:space="0" w:color="auto"/>
        <w:left w:val="none" w:sz="0" w:space="0" w:color="auto"/>
        <w:bottom w:val="none" w:sz="0" w:space="0" w:color="auto"/>
        <w:right w:val="none" w:sz="0" w:space="0" w:color="auto"/>
      </w:divBdr>
    </w:div>
    <w:div w:id="360060803">
      <w:bodyDiv w:val="1"/>
      <w:marLeft w:val="0"/>
      <w:marRight w:val="0"/>
      <w:marTop w:val="0"/>
      <w:marBottom w:val="0"/>
      <w:divBdr>
        <w:top w:val="none" w:sz="0" w:space="0" w:color="auto"/>
        <w:left w:val="none" w:sz="0" w:space="0" w:color="auto"/>
        <w:bottom w:val="none" w:sz="0" w:space="0" w:color="auto"/>
        <w:right w:val="none" w:sz="0" w:space="0" w:color="auto"/>
      </w:divBdr>
    </w:div>
    <w:div w:id="368914807">
      <w:bodyDiv w:val="1"/>
      <w:marLeft w:val="0"/>
      <w:marRight w:val="0"/>
      <w:marTop w:val="0"/>
      <w:marBottom w:val="0"/>
      <w:divBdr>
        <w:top w:val="none" w:sz="0" w:space="0" w:color="auto"/>
        <w:left w:val="none" w:sz="0" w:space="0" w:color="auto"/>
        <w:bottom w:val="none" w:sz="0" w:space="0" w:color="auto"/>
        <w:right w:val="none" w:sz="0" w:space="0" w:color="auto"/>
      </w:divBdr>
    </w:div>
    <w:div w:id="387731358">
      <w:bodyDiv w:val="1"/>
      <w:marLeft w:val="0"/>
      <w:marRight w:val="0"/>
      <w:marTop w:val="0"/>
      <w:marBottom w:val="0"/>
      <w:divBdr>
        <w:top w:val="none" w:sz="0" w:space="0" w:color="auto"/>
        <w:left w:val="none" w:sz="0" w:space="0" w:color="auto"/>
        <w:bottom w:val="none" w:sz="0" w:space="0" w:color="auto"/>
        <w:right w:val="none" w:sz="0" w:space="0" w:color="auto"/>
      </w:divBdr>
    </w:div>
    <w:div w:id="418409997">
      <w:bodyDiv w:val="1"/>
      <w:marLeft w:val="0"/>
      <w:marRight w:val="0"/>
      <w:marTop w:val="0"/>
      <w:marBottom w:val="300"/>
      <w:divBdr>
        <w:top w:val="none" w:sz="0" w:space="0" w:color="auto"/>
        <w:left w:val="none" w:sz="0" w:space="0" w:color="auto"/>
        <w:bottom w:val="none" w:sz="0" w:space="0" w:color="auto"/>
        <w:right w:val="none" w:sz="0" w:space="0" w:color="auto"/>
      </w:divBdr>
      <w:divsChild>
        <w:div w:id="218367279">
          <w:marLeft w:val="450"/>
          <w:marRight w:val="225"/>
          <w:marTop w:val="0"/>
          <w:marBottom w:val="0"/>
          <w:divBdr>
            <w:top w:val="none" w:sz="0" w:space="0" w:color="auto"/>
            <w:left w:val="none" w:sz="0" w:space="0" w:color="auto"/>
            <w:bottom w:val="none" w:sz="0" w:space="0" w:color="auto"/>
            <w:right w:val="none" w:sz="0" w:space="0" w:color="auto"/>
          </w:divBdr>
          <w:divsChild>
            <w:div w:id="2968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6708">
      <w:bodyDiv w:val="1"/>
      <w:marLeft w:val="0"/>
      <w:marRight w:val="0"/>
      <w:marTop w:val="0"/>
      <w:marBottom w:val="0"/>
      <w:divBdr>
        <w:top w:val="none" w:sz="0" w:space="0" w:color="auto"/>
        <w:left w:val="none" w:sz="0" w:space="0" w:color="auto"/>
        <w:bottom w:val="none" w:sz="0" w:space="0" w:color="auto"/>
        <w:right w:val="none" w:sz="0" w:space="0" w:color="auto"/>
      </w:divBdr>
    </w:div>
    <w:div w:id="443699009">
      <w:bodyDiv w:val="1"/>
      <w:marLeft w:val="0"/>
      <w:marRight w:val="0"/>
      <w:marTop w:val="0"/>
      <w:marBottom w:val="0"/>
      <w:divBdr>
        <w:top w:val="none" w:sz="0" w:space="0" w:color="auto"/>
        <w:left w:val="none" w:sz="0" w:space="0" w:color="auto"/>
        <w:bottom w:val="none" w:sz="0" w:space="0" w:color="auto"/>
        <w:right w:val="none" w:sz="0" w:space="0" w:color="auto"/>
      </w:divBdr>
    </w:div>
    <w:div w:id="461772156">
      <w:bodyDiv w:val="1"/>
      <w:marLeft w:val="0"/>
      <w:marRight w:val="0"/>
      <w:marTop w:val="0"/>
      <w:marBottom w:val="0"/>
      <w:divBdr>
        <w:top w:val="none" w:sz="0" w:space="0" w:color="auto"/>
        <w:left w:val="none" w:sz="0" w:space="0" w:color="auto"/>
        <w:bottom w:val="none" w:sz="0" w:space="0" w:color="auto"/>
        <w:right w:val="none" w:sz="0" w:space="0" w:color="auto"/>
      </w:divBdr>
    </w:div>
    <w:div w:id="537594484">
      <w:bodyDiv w:val="1"/>
      <w:marLeft w:val="0"/>
      <w:marRight w:val="0"/>
      <w:marTop w:val="0"/>
      <w:marBottom w:val="300"/>
      <w:divBdr>
        <w:top w:val="none" w:sz="0" w:space="0" w:color="auto"/>
        <w:left w:val="none" w:sz="0" w:space="0" w:color="auto"/>
        <w:bottom w:val="none" w:sz="0" w:space="0" w:color="auto"/>
        <w:right w:val="none" w:sz="0" w:space="0" w:color="auto"/>
      </w:divBdr>
      <w:divsChild>
        <w:div w:id="1962149088">
          <w:marLeft w:val="450"/>
          <w:marRight w:val="225"/>
          <w:marTop w:val="0"/>
          <w:marBottom w:val="0"/>
          <w:divBdr>
            <w:top w:val="none" w:sz="0" w:space="0" w:color="auto"/>
            <w:left w:val="none" w:sz="0" w:space="0" w:color="auto"/>
            <w:bottom w:val="none" w:sz="0" w:space="0" w:color="auto"/>
            <w:right w:val="none" w:sz="0" w:space="0" w:color="auto"/>
          </w:divBdr>
          <w:divsChild>
            <w:div w:id="16401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81225">
      <w:bodyDiv w:val="1"/>
      <w:marLeft w:val="0"/>
      <w:marRight w:val="0"/>
      <w:marTop w:val="0"/>
      <w:marBottom w:val="0"/>
      <w:divBdr>
        <w:top w:val="none" w:sz="0" w:space="0" w:color="auto"/>
        <w:left w:val="none" w:sz="0" w:space="0" w:color="auto"/>
        <w:bottom w:val="none" w:sz="0" w:space="0" w:color="auto"/>
        <w:right w:val="none" w:sz="0" w:space="0" w:color="auto"/>
      </w:divBdr>
    </w:div>
    <w:div w:id="552086126">
      <w:bodyDiv w:val="1"/>
      <w:marLeft w:val="0"/>
      <w:marRight w:val="0"/>
      <w:marTop w:val="0"/>
      <w:marBottom w:val="0"/>
      <w:divBdr>
        <w:top w:val="none" w:sz="0" w:space="0" w:color="auto"/>
        <w:left w:val="none" w:sz="0" w:space="0" w:color="auto"/>
        <w:bottom w:val="none" w:sz="0" w:space="0" w:color="auto"/>
        <w:right w:val="none" w:sz="0" w:space="0" w:color="auto"/>
      </w:divBdr>
    </w:div>
    <w:div w:id="593972835">
      <w:bodyDiv w:val="1"/>
      <w:marLeft w:val="0"/>
      <w:marRight w:val="0"/>
      <w:marTop w:val="0"/>
      <w:marBottom w:val="0"/>
      <w:divBdr>
        <w:top w:val="none" w:sz="0" w:space="0" w:color="auto"/>
        <w:left w:val="none" w:sz="0" w:space="0" w:color="auto"/>
        <w:bottom w:val="none" w:sz="0" w:space="0" w:color="auto"/>
        <w:right w:val="none" w:sz="0" w:space="0" w:color="auto"/>
      </w:divBdr>
    </w:div>
    <w:div w:id="596447237">
      <w:bodyDiv w:val="1"/>
      <w:marLeft w:val="0"/>
      <w:marRight w:val="0"/>
      <w:marTop w:val="0"/>
      <w:marBottom w:val="0"/>
      <w:divBdr>
        <w:top w:val="none" w:sz="0" w:space="0" w:color="auto"/>
        <w:left w:val="none" w:sz="0" w:space="0" w:color="auto"/>
        <w:bottom w:val="none" w:sz="0" w:space="0" w:color="auto"/>
        <w:right w:val="none" w:sz="0" w:space="0" w:color="auto"/>
      </w:divBdr>
    </w:div>
    <w:div w:id="627054764">
      <w:bodyDiv w:val="1"/>
      <w:marLeft w:val="0"/>
      <w:marRight w:val="0"/>
      <w:marTop w:val="0"/>
      <w:marBottom w:val="0"/>
      <w:divBdr>
        <w:top w:val="none" w:sz="0" w:space="0" w:color="auto"/>
        <w:left w:val="none" w:sz="0" w:space="0" w:color="auto"/>
        <w:bottom w:val="none" w:sz="0" w:space="0" w:color="auto"/>
        <w:right w:val="none" w:sz="0" w:space="0" w:color="auto"/>
      </w:divBdr>
    </w:div>
    <w:div w:id="646588091">
      <w:bodyDiv w:val="1"/>
      <w:marLeft w:val="0"/>
      <w:marRight w:val="0"/>
      <w:marTop w:val="0"/>
      <w:marBottom w:val="0"/>
      <w:divBdr>
        <w:top w:val="none" w:sz="0" w:space="0" w:color="auto"/>
        <w:left w:val="none" w:sz="0" w:space="0" w:color="auto"/>
        <w:bottom w:val="none" w:sz="0" w:space="0" w:color="auto"/>
        <w:right w:val="none" w:sz="0" w:space="0" w:color="auto"/>
      </w:divBdr>
    </w:div>
    <w:div w:id="675619607">
      <w:bodyDiv w:val="1"/>
      <w:marLeft w:val="0"/>
      <w:marRight w:val="0"/>
      <w:marTop w:val="0"/>
      <w:marBottom w:val="0"/>
      <w:divBdr>
        <w:top w:val="none" w:sz="0" w:space="0" w:color="auto"/>
        <w:left w:val="none" w:sz="0" w:space="0" w:color="auto"/>
        <w:bottom w:val="none" w:sz="0" w:space="0" w:color="auto"/>
        <w:right w:val="none" w:sz="0" w:space="0" w:color="auto"/>
      </w:divBdr>
    </w:div>
    <w:div w:id="697660794">
      <w:bodyDiv w:val="1"/>
      <w:marLeft w:val="0"/>
      <w:marRight w:val="0"/>
      <w:marTop w:val="0"/>
      <w:marBottom w:val="0"/>
      <w:divBdr>
        <w:top w:val="none" w:sz="0" w:space="0" w:color="auto"/>
        <w:left w:val="none" w:sz="0" w:space="0" w:color="auto"/>
        <w:bottom w:val="none" w:sz="0" w:space="0" w:color="auto"/>
        <w:right w:val="none" w:sz="0" w:space="0" w:color="auto"/>
      </w:divBdr>
    </w:div>
    <w:div w:id="738090535">
      <w:bodyDiv w:val="1"/>
      <w:marLeft w:val="0"/>
      <w:marRight w:val="0"/>
      <w:marTop w:val="0"/>
      <w:marBottom w:val="0"/>
      <w:divBdr>
        <w:top w:val="none" w:sz="0" w:space="0" w:color="auto"/>
        <w:left w:val="none" w:sz="0" w:space="0" w:color="auto"/>
        <w:bottom w:val="none" w:sz="0" w:space="0" w:color="auto"/>
        <w:right w:val="none" w:sz="0" w:space="0" w:color="auto"/>
      </w:divBdr>
    </w:div>
    <w:div w:id="749156007">
      <w:bodyDiv w:val="1"/>
      <w:marLeft w:val="0"/>
      <w:marRight w:val="0"/>
      <w:marTop w:val="0"/>
      <w:marBottom w:val="0"/>
      <w:divBdr>
        <w:top w:val="none" w:sz="0" w:space="0" w:color="auto"/>
        <w:left w:val="none" w:sz="0" w:space="0" w:color="auto"/>
        <w:bottom w:val="none" w:sz="0" w:space="0" w:color="auto"/>
        <w:right w:val="none" w:sz="0" w:space="0" w:color="auto"/>
      </w:divBdr>
    </w:div>
    <w:div w:id="829518518">
      <w:bodyDiv w:val="1"/>
      <w:marLeft w:val="0"/>
      <w:marRight w:val="0"/>
      <w:marTop w:val="0"/>
      <w:marBottom w:val="0"/>
      <w:divBdr>
        <w:top w:val="none" w:sz="0" w:space="0" w:color="auto"/>
        <w:left w:val="none" w:sz="0" w:space="0" w:color="auto"/>
        <w:bottom w:val="none" w:sz="0" w:space="0" w:color="auto"/>
        <w:right w:val="none" w:sz="0" w:space="0" w:color="auto"/>
      </w:divBdr>
    </w:div>
    <w:div w:id="829640368">
      <w:bodyDiv w:val="1"/>
      <w:marLeft w:val="0"/>
      <w:marRight w:val="0"/>
      <w:marTop w:val="0"/>
      <w:marBottom w:val="0"/>
      <w:divBdr>
        <w:top w:val="none" w:sz="0" w:space="0" w:color="auto"/>
        <w:left w:val="none" w:sz="0" w:space="0" w:color="auto"/>
        <w:bottom w:val="none" w:sz="0" w:space="0" w:color="auto"/>
        <w:right w:val="none" w:sz="0" w:space="0" w:color="auto"/>
      </w:divBdr>
    </w:div>
    <w:div w:id="842820897">
      <w:bodyDiv w:val="1"/>
      <w:marLeft w:val="0"/>
      <w:marRight w:val="0"/>
      <w:marTop w:val="0"/>
      <w:marBottom w:val="0"/>
      <w:divBdr>
        <w:top w:val="none" w:sz="0" w:space="0" w:color="auto"/>
        <w:left w:val="none" w:sz="0" w:space="0" w:color="auto"/>
        <w:bottom w:val="none" w:sz="0" w:space="0" w:color="auto"/>
        <w:right w:val="none" w:sz="0" w:space="0" w:color="auto"/>
      </w:divBdr>
    </w:div>
    <w:div w:id="860775753">
      <w:bodyDiv w:val="1"/>
      <w:marLeft w:val="0"/>
      <w:marRight w:val="0"/>
      <w:marTop w:val="0"/>
      <w:marBottom w:val="0"/>
      <w:divBdr>
        <w:top w:val="none" w:sz="0" w:space="0" w:color="auto"/>
        <w:left w:val="none" w:sz="0" w:space="0" w:color="auto"/>
        <w:bottom w:val="none" w:sz="0" w:space="0" w:color="auto"/>
        <w:right w:val="none" w:sz="0" w:space="0" w:color="auto"/>
      </w:divBdr>
    </w:div>
    <w:div w:id="875000627">
      <w:bodyDiv w:val="1"/>
      <w:marLeft w:val="0"/>
      <w:marRight w:val="0"/>
      <w:marTop w:val="0"/>
      <w:marBottom w:val="0"/>
      <w:divBdr>
        <w:top w:val="none" w:sz="0" w:space="0" w:color="auto"/>
        <w:left w:val="none" w:sz="0" w:space="0" w:color="auto"/>
        <w:bottom w:val="none" w:sz="0" w:space="0" w:color="auto"/>
        <w:right w:val="none" w:sz="0" w:space="0" w:color="auto"/>
      </w:divBdr>
    </w:div>
    <w:div w:id="885528230">
      <w:bodyDiv w:val="1"/>
      <w:marLeft w:val="0"/>
      <w:marRight w:val="0"/>
      <w:marTop w:val="0"/>
      <w:marBottom w:val="0"/>
      <w:divBdr>
        <w:top w:val="none" w:sz="0" w:space="0" w:color="auto"/>
        <w:left w:val="none" w:sz="0" w:space="0" w:color="auto"/>
        <w:bottom w:val="none" w:sz="0" w:space="0" w:color="auto"/>
        <w:right w:val="none" w:sz="0" w:space="0" w:color="auto"/>
      </w:divBdr>
    </w:div>
    <w:div w:id="894703453">
      <w:bodyDiv w:val="1"/>
      <w:marLeft w:val="0"/>
      <w:marRight w:val="0"/>
      <w:marTop w:val="0"/>
      <w:marBottom w:val="0"/>
      <w:divBdr>
        <w:top w:val="none" w:sz="0" w:space="0" w:color="auto"/>
        <w:left w:val="none" w:sz="0" w:space="0" w:color="auto"/>
        <w:bottom w:val="none" w:sz="0" w:space="0" w:color="auto"/>
        <w:right w:val="none" w:sz="0" w:space="0" w:color="auto"/>
      </w:divBdr>
    </w:div>
    <w:div w:id="895556364">
      <w:bodyDiv w:val="1"/>
      <w:marLeft w:val="0"/>
      <w:marRight w:val="0"/>
      <w:marTop w:val="0"/>
      <w:marBottom w:val="0"/>
      <w:divBdr>
        <w:top w:val="none" w:sz="0" w:space="0" w:color="auto"/>
        <w:left w:val="none" w:sz="0" w:space="0" w:color="auto"/>
        <w:bottom w:val="none" w:sz="0" w:space="0" w:color="auto"/>
        <w:right w:val="none" w:sz="0" w:space="0" w:color="auto"/>
      </w:divBdr>
    </w:div>
    <w:div w:id="901019950">
      <w:bodyDiv w:val="1"/>
      <w:marLeft w:val="0"/>
      <w:marRight w:val="0"/>
      <w:marTop w:val="0"/>
      <w:marBottom w:val="0"/>
      <w:divBdr>
        <w:top w:val="none" w:sz="0" w:space="0" w:color="auto"/>
        <w:left w:val="none" w:sz="0" w:space="0" w:color="auto"/>
        <w:bottom w:val="none" w:sz="0" w:space="0" w:color="auto"/>
        <w:right w:val="none" w:sz="0" w:space="0" w:color="auto"/>
      </w:divBdr>
    </w:div>
    <w:div w:id="941449238">
      <w:bodyDiv w:val="1"/>
      <w:marLeft w:val="0"/>
      <w:marRight w:val="0"/>
      <w:marTop w:val="0"/>
      <w:marBottom w:val="0"/>
      <w:divBdr>
        <w:top w:val="none" w:sz="0" w:space="0" w:color="auto"/>
        <w:left w:val="none" w:sz="0" w:space="0" w:color="auto"/>
        <w:bottom w:val="none" w:sz="0" w:space="0" w:color="auto"/>
        <w:right w:val="none" w:sz="0" w:space="0" w:color="auto"/>
      </w:divBdr>
    </w:div>
    <w:div w:id="1033337495">
      <w:bodyDiv w:val="1"/>
      <w:marLeft w:val="0"/>
      <w:marRight w:val="0"/>
      <w:marTop w:val="0"/>
      <w:marBottom w:val="0"/>
      <w:divBdr>
        <w:top w:val="none" w:sz="0" w:space="0" w:color="auto"/>
        <w:left w:val="none" w:sz="0" w:space="0" w:color="auto"/>
        <w:bottom w:val="none" w:sz="0" w:space="0" w:color="auto"/>
        <w:right w:val="none" w:sz="0" w:space="0" w:color="auto"/>
      </w:divBdr>
    </w:div>
    <w:div w:id="1037314582">
      <w:bodyDiv w:val="1"/>
      <w:marLeft w:val="0"/>
      <w:marRight w:val="0"/>
      <w:marTop w:val="0"/>
      <w:marBottom w:val="0"/>
      <w:divBdr>
        <w:top w:val="none" w:sz="0" w:space="0" w:color="auto"/>
        <w:left w:val="none" w:sz="0" w:space="0" w:color="auto"/>
        <w:bottom w:val="none" w:sz="0" w:space="0" w:color="auto"/>
        <w:right w:val="none" w:sz="0" w:space="0" w:color="auto"/>
      </w:divBdr>
    </w:div>
    <w:div w:id="1041712108">
      <w:bodyDiv w:val="1"/>
      <w:marLeft w:val="0"/>
      <w:marRight w:val="0"/>
      <w:marTop w:val="0"/>
      <w:marBottom w:val="0"/>
      <w:divBdr>
        <w:top w:val="none" w:sz="0" w:space="0" w:color="auto"/>
        <w:left w:val="none" w:sz="0" w:space="0" w:color="auto"/>
        <w:bottom w:val="none" w:sz="0" w:space="0" w:color="auto"/>
        <w:right w:val="none" w:sz="0" w:space="0" w:color="auto"/>
      </w:divBdr>
    </w:div>
    <w:div w:id="1048648769">
      <w:bodyDiv w:val="1"/>
      <w:marLeft w:val="0"/>
      <w:marRight w:val="0"/>
      <w:marTop w:val="0"/>
      <w:marBottom w:val="0"/>
      <w:divBdr>
        <w:top w:val="none" w:sz="0" w:space="0" w:color="auto"/>
        <w:left w:val="none" w:sz="0" w:space="0" w:color="auto"/>
        <w:bottom w:val="none" w:sz="0" w:space="0" w:color="auto"/>
        <w:right w:val="none" w:sz="0" w:space="0" w:color="auto"/>
      </w:divBdr>
    </w:div>
    <w:div w:id="1068958247">
      <w:bodyDiv w:val="1"/>
      <w:marLeft w:val="0"/>
      <w:marRight w:val="0"/>
      <w:marTop w:val="0"/>
      <w:marBottom w:val="0"/>
      <w:divBdr>
        <w:top w:val="none" w:sz="0" w:space="0" w:color="auto"/>
        <w:left w:val="none" w:sz="0" w:space="0" w:color="auto"/>
        <w:bottom w:val="none" w:sz="0" w:space="0" w:color="auto"/>
        <w:right w:val="none" w:sz="0" w:space="0" w:color="auto"/>
      </w:divBdr>
    </w:div>
    <w:div w:id="1074280489">
      <w:bodyDiv w:val="1"/>
      <w:marLeft w:val="0"/>
      <w:marRight w:val="0"/>
      <w:marTop w:val="0"/>
      <w:marBottom w:val="0"/>
      <w:divBdr>
        <w:top w:val="none" w:sz="0" w:space="0" w:color="auto"/>
        <w:left w:val="none" w:sz="0" w:space="0" w:color="auto"/>
        <w:bottom w:val="none" w:sz="0" w:space="0" w:color="auto"/>
        <w:right w:val="none" w:sz="0" w:space="0" w:color="auto"/>
      </w:divBdr>
    </w:div>
    <w:div w:id="1075591740">
      <w:bodyDiv w:val="1"/>
      <w:marLeft w:val="0"/>
      <w:marRight w:val="0"/>
      <w:marTop w:val="0"/>
      <w:marBottom w:val="0"/>
      <w:divBdr>
        <w:top w:val="none" w:sz="0" w:space="0" w:color="auto"/>
        <w:left w:val="none" w:sz="0" w:space="0" w:color="auto"/>
        <w:bottom w:val="none" w:sz="0" w:space="0" w:color="auto"/>
        <w:right w:val="none" w:sz="0" w:space="0" w:color="auto"/>
      </w:divBdr>
    </w:div>
    <w:div w:id="1092624435">
      <w:bodyDiv w:val="1"/>
      <w:marLeft w:val="0"/>
      <w:marRight w:val="0"/>
      <w:marTop w:val="0"/>
      <w:marBottom w:val="0"/>
      <w:divBdr>
        <w:top w:val="none" w:sz="0" w:space="0" w:color="auto"/>
        <w:left w:val="none" w:sz="0" w:space="0" w:color="auto"/>
        <w:bottom w:val="none" w:sz="0" w:space="0" w:color="auto"/>
        <w:right w:val="none" w:sz="0" w:space="0" w:color="auto"/>
      </w:divBdr>
    </w:div>
    <w:div w:id="1129126067">
      <w:bodyDiv w:val="1"/>
      <w:marLeft w:val="0"/>
      <w:marRight w:val="0"/>
      <w:marTop w:val="0"/>
      <w:marBottom w:val="0"/>
      <w:divBdr>
        <w:top w:val="none" w:sz="0" w:space="0" w:color="auto"/>
        <w:left w:val="none" w:sz="0" w:space="0" w:color="auto"/>
        <w:bottom w:val="none" w:sz="0" w:space="0" w:color="auto"/>
        <w:right w:val="none" w:sz="0" w:space="0" w:color="auto"/>
      </w:divBdr>
    </w:div>
    <w:div w:id="1160002115">
      <w:bodyDiv w:val="1"/>
      <w:marLeft w:val="0"/>
      <w:marRight w:val="0"/>
      <w:marTop w:val="0"/>
      <w:marBottom w:val="0"/>
      <w:divBdr>
        <w:top w:val="none" w:sz="0" w:space="0" w:color="auto"/>
        <w:left w:val="none" w:sz="0" w:space="0" w:color="auto"/>
        <w:bottom w:val="none" w:sz="0" w:space="0" w:color="auto"/>
        <w:right w:val="none" w:sz="0" w:space="0" w:color="auto"/>
      </w:divBdr>
    </w:div>
    <w:div w:id="1163277593">
      <w:bodyDiv w:val="1"/>
      <w:marLeft w:val="0"/>
      <w:marRight w:val="0"/>
      <w:marTop w:val="0"/>
      <w:marBottom w:val="0"/>
      <w:divBdr>
        <w:top w:val="none" w:sz="0" w:space="0" w:color="auto"/>
        <w:left w:val="none" w:sz="0" w:space="0" w:color="auto"/>
        <w:bottom w:val="none" w:sz="0" w:space="0" w:color="auto"/>
        <w:right w:val="none" w:sz="0" w:space="0" w:color="auto"/>
      </w:divBdr>
    </w:div>
    <w:div w:id="1176308921">
      <w:bodyDiv w:val="1"/>
      <w:marLeft w:val="0"/>
      <w:marRight w:val="0"/>
      <w:marTop w:val="0"/>
      <w:marBottom w:val="0"/>
      <w:divBdr>
        <w:top w:val="none" w:sz="0" w:space="0" w:color="auto"/>
        <w:left w:val="none" w:sz="0" w:space="0" w:color="auto"/>
        <w:bottom w:val="none" w:sz="0" w:space="0" w:color="auto"/>
        <w:right w:val="none" w:sz="0" w:space="0" w:color="auto"/>
      </w:divBdr>
    </w:div>
    <w:div w:id="1220049182">
      <w:bodyDiv w:val="1"/>
      <w:marLeft w:val="0"/>
      <w:marRight w:val="0"/>
      <w:marTop w:val="0"/>
      <w:marBottom w:val="0"/>
      <w:divBdr>
        <w:top w:val="none" w:sz="0" w:space="0" w:color="auto"/>
        <w:left w:val="none" w:sz="0" w:space="0" w:color="auto"/>
        <w:bottom w:val="none" w:sz="0" w:space="0" w:color="auto"/>
        <w:right w:val="none" w:sz="0" w:space="0" w:color="auto"/>
      </w:divBdr>
    </w:div>
    <w:div w:id="1236546131">
      <w:bodyDiv w:val="1"/>
      <w:marLeft w:val="0"/>
      <w:marRight w:val="0"/>
      <w:marTop w:val="0"/>
      <w:marBottom w:val="0"/>
      <w:divBdr>
        <w:top w:val="none" w:sz="0" w:space="0" w:color="auto"/>
        <w:left w:val="none" w:sz="0" w:space="0" w:color="auto"/>
        <w:bottom w:val="none" w:sz="0" w:space="0" w:color="auto"/>
        <w:right w:val="none" w:sz="0" w:space="0" w:color="auto"/>
      </w:divBdr>
    </w:div>
    <w:div w:id="1326133641">
      <w:bodyDiv w:val="1"/>
      <w:marLeft w:val="0"/>
      <w:marRight w:val="0"/>
      <w:marTop w:val="0"/>
      <w:marBottom w:val="0"/>
      <w:divBdr>
        <w:top w:val="none" w:sz="0" w:space="0" w:color="auto"/>
        <w:left w:val="none" w:sz="0" w:space="0" w:color="auto"/>
        <w:bottom w:val="none" w:sz="0" w:space="0" w:color="auto"/>
        <w:right w:val="none" w:sz="0" w:space="0" w:color="auto"/>
      </w:divBdr>
    </w:div>
    <w:div w:id="1326712016">
      <w:bodyDiv w:val="1"/>
      <w:marLeft w:val="0"/>
      <w:marRight w:val="0"/>
      <w:marTop w:val="0"/>
      <w:marBottom w:val="0"/>
      <w:divBdr>
        <w:top w:val="none" w:sz="0" w:space="0" w:color="auto"/>
        <w:left w:val="none" w:sz="0" w:space="0" w:color="auto"/>
        <w:bottom w:val="none" w:sz="0" w:space="0" w:color="auto"/>
        <w:right w:val="none" w:sz="0" w:space="0" w:color="auto"/>
      </w:divBdr>
    </w:div>
    <w:div w:id="1336300041">
      <w:bodyDiv w:val="1"/>
      <w:marLeft w:val="0"/>
      <w:marRight w:val="0"/>
      <w:marTop w:val="0"/>
      <w:marBottom w:val="0"/>
      <w:divBdr>
        <w:top w:val="none" w:sz="0" w:space="0" w:color="auto"/>
        <w:left w:val="none" w:sz="0" w:space="0" w:color="auto"/>
        <w:bottom w:val="none" w:sz="0" w:space="0" w:color="auto"/>
        <w:right w:val="none" w:sz="0" w:space="0" w:color="auto"/>
      </w:divBdr>
    </w:div>
    <w:div w:id="1427268224">
      <w:bodyDiv w:val="1"/>
      <w:marLeft w:val="0"/>
      <w:marRight w:val="0"/>
      <w:marTop w:val="0"/>
      <w:marBottom w:val="0"/>
      <w:divBdr>
        <w:top w:val="none" w:sz="0" w:space="0" w:color="auto"/>
        <w:left w:val="none" w:sz="0" w:space="0" w:color="auto"/>
        <w:bottom w:val="none" w:sz="0" w:space="0" w:color="auto"/>
        <w:right w:val="none" w:sz="0" w:space="0" w:color="auto"/>
      </w:divBdr>
    </w:div>
    <w:div w:id="1486431308">
      <w:bodyDiv w:val="1"/>
      <w:marLeft w:val="0"/>
      <w:marRight w:val="0"/>
      <w:marTop w:val="0"/>
      <w:marBottom w:val="0"/>
      <w:divBdr>
        <w:top w:val="none" w:sz="0" w:space="0" w:color="auto"/>
        <w:left w:val="none" w:sz="0" w:space="0" w:color="auto"/>
        <w:bottom w:val="none" w:sz="0" w:space="0" w:color="auto"/>
        <w:right w:val="none" w:sz="0" w:space="0" w:color="auto"/>
      </w:divBdr>
    </w:div>
    <w:div w:id="1562248663">
      <w:bodyDiv w:val="1"/>
      <w:marLeft w:val="0"/>
      <w:marRight w:val="0"/>
      <w:marTop w:val="0"/>
      <w:marBottom w:val="0"/>
      <w:divBdr>
        <w:top w:val="none" w:sz="0" w:space="0" w:color="auto"/>
        <w:left w:val="none" w:sz="0" w:space="0" w:color="auto"/>
        <w:bottom w:val="none" w:sz="0" w:space="0" w:color="auto"/>
        <w:right w:val="none" w:sz="0" w:space="0" w:color="auto"/>
      </w:divBdr>
    </w:div>
    <w:div w:id="1571576026">
      <w:marLeft w:val="0"/>
      <w:marRight w:val="0"/>
      <w:marTop w:val="0"/>
      <w:marBottom w:val="0"/>
      <w:divBdr>
        <w:top w:val="none" w:sz="0" w:space="0" w:color="auto"/>
        <w:left w:val="none" w:sz="0" w:space="0" w:color="auto"/>
        <w:bottom w:val="none" w:sz="0" w:space="0" w:color="auto"/>
        <w:right w:val="none" w:sz="0" w:space="0" w:color="auto"/>
      </w:divBdr>
      <w:divsChild>
        <w:div w:id="1571576090">
          <w:marLeft w:val="0"/>
          <w:marRight w:val="0"/>
          <w:marTop w:val="0"/>
          <w:marBottom w:val="0"/>
          <w:divBdr>
            <w:top w:val="none" w:sz="0" w:space="0" w:color="auto"/>
            <w:left w:val="none" w:sz="0" w:space="0" w:color="auto"/>
            <w:bottom w:val="none" w:sz="0" w:space="0" w:color="auto"/>
            <w:right w:val="none" w:sz="0" w:space="0" w:color="auto"/>
          </w:divBdr>
          <w:divsChild>
            <w:div w:id="1571576034">
              <w:marLeft w:val="0"/>
              <w:marRight w:val="0"/>
              <w:marTop w:val="0"/>
              <w:marBottom w:val="0"/>
              <w:divBdr>
                <w:top w:val="none" w:sz="0" w:space="0" w:color="auto"/>
                <w:left w:val="none" w:sz="0" w:space="0" w:color="auto"/>
                <w:bottom w:val="none" w:sz="0" w:space="0" w:color="auto"/>
                <w:right w:val="none" w:sz="0" w:space="0" w:color="auto"/>
              </w:divBdr>
            </w:div>
            <w:div w:id="1571576037">
              <w:marLeft w:val="0"/>
              <w:marRight w:val="0"/>
              <w:marTop w:val="0"/>
              <w:marBottom w:val="0"/>
              <w:divBdr>
                <w:top w:val="none" w:sz="0" w:space="0" w:color="auto"/>
                <w:left w:val="none" w:sz="0" w:space="0" w:color="auto"/>
                <w:bottom w:val="none" w:sz="0" w:space="0" w:color="auto"/>
                <w:right w:val="none" w:sz="0" w:space="0" w:color="auto"/>
              </w:divBdr>
            </w:div>
            <w:div w:id="15715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027">
      <w:marLeft w:val="0"/>
      <w:marRight w:val="0"/>
      <w:marTop w:val="0"/>
      <w:marBottom w:val="0"/>
      <w:divBdr>
        <w:top w:val="none" w:sz="0" w:space="0" w:color="auto"/>
        <w:left w:val="none" w:sz="0" w:space="0" w:color="auto"/>
        <w:bottom w:val="none" w:sz="0" w:space="0" w:color="auto"/>
        <w:right w:val="none" w:sz="0" w:space="0" w:color="auto"/>
      </w:divBdr>
    </w:div>
    <w:div w:id="1571576028">
      <w:marLeft w:val="0"/>
      <w:marRight w:val="0"/>
      <w:marTop w:val="0"/>
      <w:marBottom w:val="0"/>
      <w:divBdr>
        <w:top w:val="none" w:sz="0" w:space="0" w:color="auto"/>
        <w:left w:val="none" w:sz="0" w:space="0" w:color="auto"/>
        <w:bottom w:val="none" w:sz="0" w:space="0" w:color="auto"/>
        <w:right w:val="none" w:sz="0" w:space="0" w:color="auto"/>
      </w:divBdr>
    </w:div>
    <w:div w:id="1571576029">
      <w:marLeft w:val="0"/>
      <w:marRight w:val="0"/>
      <w:marTop w:val="0"/>
      <w:marBottom w:val="0"/>
      <w:divBdr>
        <w:top w:val="none" w:sz="0" w:space="0" w:color="auto"/>
        <w:left w:val="none" w:sz="0" w:space="0" w:color="auto"/>
        <w:bottom w:val="none" w:sz="0" w:space="0" w:color="auto"/>
        <w:right w:val="none" w:sz="0" w:space="0" w:color="auto"/>
      </w:divBdr>
    </w:div>
    <w:div w:id="1571576030">
      <w:marLeft w:val="0"/>
      <w:marRight w:val="0"/>
      <w:marTop w:val="0"/>
      <w:marBottom w:val="0"/>
      <w:divBdr>
        <w:top w:val="none" w:sz="0" w:space="0" w:color="auto"/>
        <w:left w:val="none" w:sz="0" w:space="0" w:color="auto"/>
        <w:bottom w:val="none" w:sz="0" w:space="0" w:color="auto"/>
        <w:right w:val="none" w:sz="0" w:space="0" w:color="auto"/>
      </w:divBdr>
    </w:div>
    <w:div w:id="1571576031">
      <w:marLeft w:val="0"/>
      <w:marRight w:val="0"/>
      <w:marTop w:val="0"/>
      <w:marBottom w:val="0"/>
      <w:divBdr>
        <w:top w:val="none" w:sz="0" w:space="0" w:color="auto"/>
        <w:left w:val="none" w:sz="0" w:space="0" w:color="auto"/>
        <w:bottom w:val="none" w:sz="0" w:space="0" w:color="auto"/>
        <w:right w:val="none" w:sz="0" w:space="0" w:color="auto"/>
      </w:divBdr>
    </w:div>
    <w:div w:id="1571576032">
      <w:marLeft w:val="0"/>
      <w:marRight w:val="0"/>
      <w:marTop w:val="0"/>
      <w:marBottom w:val="0"/>
      <w:divBdr>
        <w:top w:val="none" w:sz="0" w:space="0" w:color="auto"/>
        <w:left w:val="none" w:sz="0" w:space="0" w:color="auto"/>
        <w:bottom w:val="none" w:sz="0" w:space="0" w:color="auto"/>
        <w:right w:val="none" w:sz="0" w:space="0" w:color="auto"/>
      </w:divBdr>
    </w:div>
    <w:div w:id="1571576033">
      <w:marLeft w:val="0"/>
      <w:marRight w:val="0"/>
      <w:marTop w:val="0"/>
      <w:marBottom w:val="0"/>
      <w:divBdr>
        <w:top w:val="none" w:sz="0" w:space="0" w:color="auto"/>
        <w:left w:val="none" w:sz="0" w:space="0" w:color="auto"/>
        <w:bottom w:val="none" w:sz="0" w:space="0" w:color="auto"/>
        <w:right w:val="none" w:sz="0" w:space="0" w:color="auto"/>
      </w:divBdr>
    </w:div>
    <w:div w:id="1571576035">
      <w:marLeft w:val="0"/>
      <w:marRight w:val="0"/>
      <w:marTop w:val="0"/>
      <w:marBottom w:val="0"/>
      <w:divBdr>
        <w:top w:val="none" w:sz="0" w:space="0" w:color="auto"/>
        <w:left w:val="none" w:sz="0" w:space="0" w:color="auto"/>
        <w:bottom w:val="none" w:sz="0" w:space="0" w:color="auto"/>
        <w:right w:val="none" w:sz="0" w:space="0" w:color="auto"/>
      </w:divBdr>
    </w:div>
    <w:div w:id="1571576036">
      <w:marLeft w:val="0"/>
      <w:marRight w:val="0"/>
      <w:marTop w:val="0"/>
      <w:marBottom w:val="0"/>
      <w:divBdr>
        <w:top w:val="none" w:sz="0" w:space="0" w:color="auto"/>
        <w:left w:val="none" w:sz="0" w:space="0" w:color="auto"/>
        <w:bottom w:val="none" w:sz="0" w:space="0" w:color="auto"/>
        <w:right w:val="none" w:sz="0" w:space="0" w:color="auto"/>
      </w:divBdr>
    </w:div>
    <w:div w:id="1571576038">
      <w:marLeft w:val="0"/>
      <w:marRight w:val="0"/>
      <w:marTop w:val="0"/>
      <w:marBottom w:val="0"/>
      <w:divBdr>
        <w:top w:val="none" w:sz="0" w:space="0" w:color="auto"/>
        <w:left w:val="none" w:sz="0" w:space="0" w:color="auto"/>
        <w:bottom w:val="none" w:sz="0" w:space="0" w:color="auto"/>
        <w:right w:val="none" w:sz="0" w:space="0" w:color="auto"/>
      </w:divBdr>
    </w:div>
    <w:div w:id="1571576039">
      <w:marLeft w:val="0"/>
      <w:marRight w:val="0"/>
      <w:marTop w:val="0"/>
      <w:marBottom w:val="0"/>
      <w:divBdr>
        <w:top w:val="none" w:sz="0" w:space="0" w:color="auto"/>
        <w:left w:val="none" w:sz="0" w:space="0" w:color="auto"/>
        <w:bottom w:val="none" w:sz="0" w:space="0" w:color="auto"/>
        <w:right w:val="none" w:sz="0" w:space="0" w:color="auto"/>
      </w:divBdr>
    </w:div>
    <w:div w:id="1571576040">
      <w:marLeft w:val="0"/>
      <w:marRight w:val="0"/>
      <w:marTop w:val="0"/>
      <w:marBottom w:val="0"/>
      <w:divBdr>
        <w:top w:val="none" w:sz="0" w:space="0" w:color="auto"/>
        <w:left w:val="none" w:sz="0" w:space="0" w:color="auto"/>
        <w:bottom w:val="none" w:sz="0" w:space="0" w:color="auto"/>
        <w:right w:val="none" w:sz="0" w:space="0" w:color="auto"/>
      </w:divBdr>
    </w:div>
    <w:div w:id="1571576041">
      <w:marLeft w:val="0"/>
      <w:marRight w:val="0"/>
      <w:marTop w:val="0"/>
      <w:marBottom w:val="0"/>
      <w:divBdr>
        <w:top w:val="none" w:sz="0" w:space="0" w:color="auto"/>
        <w:left w:val="none" w:sz="0" w:space="0" w:color="auto"/>
        <w:bottom w:val="none" w:sz="0" w:space="0" w:color="auto"/>
        <w:right w:val="none" w:sz="0" w:space="0" w:color="auto"/>
      </w:divBdr>
      <w:divsChild>
        <w:div w:id="1571576079">
          <w:marLeft w:val="75"/>
          <w:marRight w:val="0"/>
          <w:marTop w:val="100"/>
          <w:marBottom w:val="100"/>
          <w:divBdr>
            <w:top w:val="none" w:sz="0" w:space="0" w:color="auto"/>
            <w:left w:val="single" w:sz="12" w:space="4" w:color="000000"/>
            <w:bottom w:val="none" w:sz="0" w:space="0" w:color="auto"/>
            <w:right w:val="none" w:sz="0" w:space="0" w:color="auto"/>
          </w:divBdr>
        </w:div>
      </w:divsChild>
    </w:div>
    <w:div w:id="1571576042">
      <w:marLeft w:val="0"/>
      <w:marRight w:val="0"/>
      <w:marTop w:val="0"/>
      <w:marBottom w:val="0"/>
      <w:divBdr>
        <w:top w:val="none" w:sz="0" w:space="0" w:color="auto"/>
        <w:left w:val="none" w:sz="0" w:space="0" w:color="auto"/>
        <w:bottom w:val="none" w:sz="0" w:space="0" w:color="auto"/>
        <w:right w:val="none" w:sz="0" w:space="0" w:color="auto"/>
      </w:divBdr>
    </w:div>
    <w:div w:id="1571576043">
      <w:marLeft w:val="0"/>
      <w:marRight w:val="0"/>
      <w:marTop w:val="0"/>
      <w:marBottom w:val="0"/>
      <w:divBdr>
        <w:top w:val="none" w:sz="0" w:space="0" w:color="auto"/>
        <w:left w:val="none" w:sz="0" w:space="0" w:color="auto"/>
        <w:bottom w:val="none" w:sz="0" w:space="0" w:color="auto"/>
        <w:right w:val="none" w:sz="0" w:space="0" w:color="auto"/>
      </w:divBdr>
    </w:div>
    <w:div w:id="1571576044">
      <w:marLeft w:val="0"/>
      <w:marRight w:val="0"/>
      <w:marTop w:val="0"/>
      <w:marBottom w:val="0"/>
      <w:divBdr>
        <w:top w:val="none" w:sz="0" w:space="0" w:color="auto"/>
        <w:left w:val="none" w:sz="0" w:space="0" w:color="auto"/>
        <w:bottom w:val="none" w:sz="0" w:space="0" w:color="auto"/>
        <w:right w:val="none" w:sz="0" w:space="0" w:color="auto"/>
      </w:divBdr>
    </w:div>
    <w:div w:id="1571576045">
      <w:marLeft w:val="0"/>
      <w:marRight w:val="0"/>
      <w:marTop w:val="0"/>
      <w:marBottom w:val="0"/>
      <w:divBdr>
        <w:top w:val="none" w:sz="0" w:space="0" w:color="auto"/>
        <w:left w:val="none" w:sz="0" w:space="0" w:color="auto"/>
        <w:bottom w:val="none" w:sz="0" w:space="0" w:color="auto"/>
        <w:right w:val="none" w:sz="0" w:space="0" w:color="auto"/>
      </w:divBdr>
    </w:div>
    <w:div w:id="1571576046">
      <w:marLeft w:val="0"/>
      <w:marRight w:val="0"/>
      <w:marTop w:val="0"/>
      <w:marBottom w:val="0"/>
      <w:divBdr>
        <w:top w:val="none" w:sz="0" w:space="0" w:color="auto"/>
        <w:left w:val="none" w:sz="0" w:space="0" w:color="auto"/>
        <w:bottom w:val="none" w:sz="0" w:space="0" w:color="auto"/>
        <w:right w:val="none" w:sz="0" w:space="0" w:color="auto"/>
      </w:divBdr>
    </w:div>
    <w:div w:id="1571576047">
      <w:marLeft w:val="0"/>
      <w:marRight w:val="0"/>
      <w:marTop w:val="0"/>
      <w:marBottom w:val="0"/>
      <w:divBdr>
        <w:top w:val="none" w:sz="0" w:space="0" w:color="auto"/>
        <w:left w:val="none" w:sz="0" w:space="0" w:color="auto"/>
        <w:bottom w:val="none" w:sz="0" w:space="0" w:color="auto"/>
        <w:right w:val="none" w:sz="0" w:space="0" w:color="auto"/>
      </w:divBdr>
    </w:div>
    <w:div w:id="1571576048">
      <w:marLeft w:val="0"/>
      <w:marRight w:val="0"/>
      <w:marTop w:val="0"/>
      <w:marBottom w:val="0"/>
      <w:divBdr>
        <w:top w:val="none" w:sz="0" w:space="0" w:color="auto"/>
        <w:left w:val="none" w:sz="0" w:space="0" w:color="auto"/>
        <w:bottom w:val="none" w:sz="0" w:space="0" w:color="auto"/>
        <w:right w:val="none" w:sz="0" w:space="0" w:color="auto"/>
      </w:divBdr>
    </w:div>
    <w:div w:id="1571576049">
      <w:marLeft w:val="0"/>
      <w:marRight w:val="0"/>
      <w:marTop w:val="0"/>
      <w:marBottom w:val="0"/>
      <w:divBdr>
        <w:top w:val="none" w:sz="0" w:space="0" w:color="auto"/>
        <w:left w:val="none" w:sz="0" w:space="0" w:color="auto"/>
        <w:bottom w:val="none" w:sz="0" w:space="0" w:color="auto"/>
        <w:right w:val="none" w:sz="0" w:space="0" w:color="auto"/>
      </w:divBdr>
    </w:div>
    <w:div w:id="1571576051">
      <w:marLeft w:val="0"/>
      <w:marRight w:val="0"/>
      <w:marTop w:val="0"/>
      <w:marBottom w:val="0"/>
      <w:divBdr>
        <w:top w:val="none" w:sz="0" w:space="0" w:color="auto"/>
        <w:left w:val="none" w:sz="0" w:space="0" w:color="auto"/>
        <w:bottom w:val="none" w:sz="0" w:space="0" w:color="auto"/>
        <w:right w:val="none" w:sz="0" w:space="0" w:color="auto"/>
      </w:divBdr>
    </w:div>
    <w:div w:id="1571576052">
      <w:marLeft w:val="0"/>
      <w:marRight w:val="0"/>
      <w:marTop w:val="0"/>
      <w:marBottom w:val="0"/>
      <w:divBdr>
        <w:top w:val="none" w:sz="0" w:space="0" w:color="auto"/>
        <w:left w:val="none" w:sz="0" w:space="0" w:color="auto"/>
        <w:bottom w:val="none" w:sz="0" w:space="0" w:color="auto"/>
        <w:right w:val="none" w:sz="0" w:space="0" w:color="auto"/>
      </w:divBdr>
    </w:div>
    <w:div w:id="1571576053">
      <w:marLeft w:val="0"/>
      <w:marRight w:val="0"/>
      <w:marTop w:val="0"/>
      <w:marBottom w:val="0"/>
      <w:divBdr>
        <w:top w:val="none" w:sz="0" w:space="0" w:color="auto"/>
        <w:left w:val="none" w:sz="0" w:space="0" w:color="auto"/>
        <w:bottom w:val="none" w:sz="0" w:space="0" w:color="auto"/>
        <w:right w:val="none" w:sz="0" w:space="0" w:color="auto"/>
      </w:divBdr>
    </w:div>
    <w:div w:id="1571576054">
      <w:marLeft w:val="0"/>
      <w:marRight w:val="0"/>
      <w:marTop w:val="0"/>
      <w:marBottom w:val="0"/>
      <w:divBdr>
        <w:top w:val="none" w:sz="0" w:space="0" w:color="auto"/>
        <w:left w:val="none" w:sz="0" w:space="0" w:color="auto"/>
        <w:bottom w:val="none" w:sz="0" w:space="0" w:color="auto"/>
        <w:right w:val="none" w:sz="0" w:space="0" w:color="auto"/>
      </w:divBdr>
    </w:div>
    <w:div w:id="1571576055">
      <w:marLeft w:val="0"/>
      <w:marRight w:val="0"/>
      <w:marTop w:val="0"/>
      <w:marBottom w:val="0"/>
      <w:divBdr>
        <w:top w:val="none" w:sz="0" w:space="0" w:color="auto"/>
        <w:left w:val="none" w:sz="0" w:space="0" w:color="auto"/>
        <w:bottom w:val="none" w:sz="0" w:space="0" w:color="auto"/>
        <w:right w:val="none" w:sz="0" w:space="0" w:color="auto"/>
      </w:divBdr>
    </w:div>
    <w:div w:id="1571576056">
      <w:marLeft w:val="0"/>
      <w:marRight w:val="0"/>
      <w:marTop w:val="0"/>
      <w:marBottom w:val="0"/>
      <w:divBdr>
        <w:top w:val="none" w:sz="0" w:space="0" w:color="auto"/>
        <w:left w:val="none" w:sz="0" w:space="0" w:color="auto"/>
        <w:bottom w:val="none" w:sz="0" w:space="0" w:color="auto"/>
        <w:right w:val="none" w:sz="0" w:space="0" w:color="auto"/>
      </w:divBdr>
    </w:div>
    <w:div w:id="1571576057">
      <w:marLeft w:val="0"/>
      <w:marRight w:val="0"/>
      <w:marTop w:val="0"/>
      <w:marBottom w:val="0"/>
      <w:divBdr>
        <w:top w:val="none" w:sz="0" w:space="0" w:color="auto"/>
        <w:left w:val="none" w:sz="0" w:space="0" w:color="auto"/>
        <w:bottom w:val="none" w:sz="0" w:space="0" w:color="auto"/>
        <w:right w:val="none" w:sz="0" w:space="0" w:color="auto"/>
      </w:divBdr>
    </w:div>
    <w:div w:id="1571576058">
      <w:marLeft w:val="0"/>
      <w:marRight w:val="0"/>
      <w:marTop w:val="0"/>
      <w:marBottom w:val="0"/>
      <w:divBdr>
        <w:top w:val="none" w:sz="0" w:space="0" w:color="auto"/>
        <w:left w:val="none" w:sz="0" w:space="0" w:color="auto"/>
        <w:bottom w:val="none" w:sz="0" w:space="0" w:color="auto"/>
        <w:right w:val="none" w:sz="0" w:space="0" w:color="auto"/>
      </w:divBdr>
    </w:div>
    <w:div w:id="1571576059">
      <w:marLeft w:val="0"/>
      <w:marRight w:val="0"/>
      <w:marTop w:val="0"/>
      <w:marBottom w:val="0"/>
      <w:divBdr>
        <w:top w:val="none" w:sz="0" w:space="0" w:color="auto"/>
        <w:left w:val="none" w:sz="0" w:space="0" w:color="auto"/>
        <w:bottom w:val="none" w:sz="0" w:space="0" w:color="auto"/>
        <w:right w:val="none" w:sz="0" w:space="0" w:color="auto"/>
      </w:divBdr>
    </w:div>
    <w:div w:id="1571576060">
      <w:marLeft w:val="0"/>
      <w:marRight w:val="0"/>
      <w:marTop w:val="0"/>
      <w:marBottom w:val="0"/>
      <w:divBdr>
        <w:top w:val="none" w:sz="0" w:space="0" w:color="auto"/>
        <w:left w:val="none" w:sz="0" w:space="0" w:color="auto"/>
        <w:bottom w:val="none" w:sz="0" w:space="0" w:color="auto"/>
        <w:right w:val="none" w:sz="0" w:space="0" w:color="auto"/>
      </w:divBdr>
    </w:div>
    <w:div w:id="1571576061">
      <w:marLeft w:val="0"/>
      <w:marRight w:val="0"/>
      <w:marTop w:val="0"/>
      <w:marBottom w:val="0"/>
      <w:divBdr>
        <w:top w:val="none" w:sz="0" w:space="0" w:color="auto"/>
        <w:left w:val="none" w:sz="0" w:space="0" w:color="auto"/>
        <w:bottom w:val="none" w:sz="0" w:space="0" w:color="auto"/>
        <w:right w:val="none" w:sz="0" w:space="0" w:color="auto"/>
      </w:divBdr>
    </w:div>
    <w:div w:id="1571576064">
      <w:marLeft w:val="0"/>
      <w:marRight w:val="0"/>
      <w:marTop w:val="0"/>
      <w:marBottom w:val="0"/>
      <w:divBdr>
        <w:top w:val="none" w:sz="0" w:space="0" w:color="auto"/>
        <w:left w:val="none" w:sz="0" w:space="0" w:color="auto"/>
        <w:bottom w:val="none" w:sz="0" w:space="0" w:color="auto"/>
        <w:right w:val="none" w:sz="0" w:space="0" w:color="auto"/>
      </w:divBdr>
    </w:div>
    <w:div w:id="1571576065">
      <w:marLeft w:val="0"/>
      <w:marRight w:val="0"/>
      <w:marTop w:val="0"/>
      <w:marBottom w:val="0"/>
      <w:divBdr>
        <w:top w:val="none" w:sz="0" w:space="0" w:color="auto"/>
        <w:left w:val="none" w:sz="0" w:space="0" w:color="auto"/>
        <w:bottom w:val="none" w:sz="0" w:space="0" w:color="auto"/>
        <w:right w:val="none" w:sz="0" w:space="0" w:color="auto"/>
      </w:divBdr>
    </w:div>
    <w:div w:id="1571576066">
      <w:marLeft w:val="0"/>
      <w:marRight w:val="0"/>
      <w:marTop w:val="0"/>
      <w:marBottom w:val="0"/>
      <w:divBdr>
        <w:top w:val="none" w:sz="0" w:space="0" w:color="auto"/>
        <w:left w:val="none" w:sz="0" w:space="0" w:color="auto"/>
        <w:bottom w:val="none" w:sz="0" w:space="0" w:color="auto"/>
        <w:right w:val="none" w:sz="0" w:space="0" w:color="auto"/>
      </w:divBdr>
    </w:div>
    <w:div w:id="1571576067">
      <w:marLeft w:val="0"/>
      <w:marRight w:val="0"/>
      <w:marTop w:val="0"/>
      <w:marBottom w:val="0"/>
      <w:divBdr>
        <w:top w:val="none" w:sz="0" w:space="0" w:color="auto"/>
        <w:left w:val="none" w:sz="0" w:space="0" w:color="auto"/>
        <w:bottom w:val="none" w:sz="0" w:space="0" w:color="auto"/>
        <w:right w:val="none" w:sz="0" w:space="0" w:color="auto"/>
      </w:divBdr>
    </w:div>
    <w:div w:id="1571576068">
      <w:marLeft w:val="0"/>
      <w:marRight w:val="0"/>
      <w:marTop w:val="0"/>
      <w:marBottom w:val="0"/>
      <w:divBdr>
        <w:top w:val="none" w:sz="0" w:space="0" w:color="auto"/>
        <w:left w:val="none" w:sz="0" w:space="0" w:color="auto"/>
        <w:bottom w:val="none" w:sz="0" w:space="0" w:color="auto"/>
        <w:right w:val="none" w:sz="0" w:space="0" w:color="auto"/>
      </w:divBdr>
    </w:div>
    <w:div w:id="1571576069">
      <w:marLeft w:val="0"/>
      <w:marRight w:val="0"/>
      <w:marTop w:val="0"/>
      <w:marBottom w:val="0"/>
      <w:divBdr>
        <w:top w:val="none" w:sz="0" w:space="0" w:color="auto"/>
        <w:left w:val="none" w:sz="0" w:space="0" w:color="auto"/>
        <w:bottom w:val="none" w:sz="0" w:space="0" w:color="auto"/>
        <w:right w:val="none" w:sz="0" w:space="0" w:color="auto"/>
      </w:divBdr>
    </w:div>
    <w:div w:id="1571576070">
      <w:marLeft w:val="0"/>
      <w:marRight w:val="0"/>
      <w:marTop w:val="0"/>
      <w:marBottom w:val="0"/>
      <w:divBdr>
        <w:top w:val="none" w:sz="0" w:space="0" w:color="auto"/>
        <w:left w:val="none" w:sz="0" w:space="0" w:color="auto"/>
        <w:bottom w:val="none" w:sz="0" w:space="0" w:color="auto"/>
        <w:right w:val="none" w:sz="0" w:space="0" w:color="auto"/>
      </w:divBdr>
    </w:div>
    <w:div w:id="1571576071">
      <w:marLeft w:val="0"/>
      <w:marRight w:val="0"/>
      <w:marTop w:val="0"/>
      <w:marBottom w:val="0"/>
      <w:divBdr>
        <w:top w:val="none" w:sz="0" w:space="0" w:color="auto"/>
        <w:left w:val="none" w:sz="0" w:space="0" w:color="auto"/>
        <w:bottom w:val="none" w:sz="0" w:space="0" w:color="auto"/>
        <w:right w:val="none" w:sz="0" w:space="0" w:color="auto"/>
      </w:divBdr>
    </w:div>
    <w:div w:id="1571576072">
      <w:marLeft w:val="0"/>
      <w:marRight w:val="0"/>
      <w:marTop w:val="0"/>
      <w:marBottom w:val="0"/>
      <w:divBdr>
        <w:top w:val="none" w:sz="0" w:space="0" w:color="auto"/>
        <w:left w:val="none" w:sz="0" w:space="0" w:color="auto"/>
        <w:bottom w:val="none" w:sz="0" w:space="0" w:color="auto"/>
        <w:right w:val="none" w:sz="0" w:space="0" w:color="auto"/>
      </w:divBdr>
    </w:div>
    <w:div w:id="1571576073">
      <w:marLeft w:val="0"/>
      <w:marRight w:val="0"/>
      <w:marTop w:val="0"/>
      <w:marBottom w:val="0"/>
      <w:divBdr>
        <w:top w:val="none" w:sz="0" w:space="0" w:color="auto"/>
        <w:left w:val="none" w:sz="0" w:space="0" w:color="auto"/>
        <w:bottom w:val="none" w:sz="0" w:space="0" w:color="auto"/>
        <w:right w:val="none" w:sz="0" w:space="0" w:color="auto"/>
      </w:divBdr>
    </w:div>
    <w:div w:id="1571576074">
      <w:marLeft w:val="0"/>
      <w:marRight w:val="0"/>
      <w:marTop w:val="0"/>
      <w:marBottom w:val="0"/>
      <w:divBdr>
        <w:top w:val="none" w:sz="0" w:space="0" w:color="auto"/>
        <w:left w:val="none" w:sz="0" w:space="0" w:color="auto"/>
        <w:bottom w:val="none" w:sz="0" w:space="0" w:color="auto"/>
        <w:right w:val="none" w:sz="0" w:space="0" w:color="auto"/>
      </w:divBdr>
    </w:div>
    <w:div w:id="1571576075">
      <w:marLeft w:val="0"/>
      <w:marRight w:val="0"/>
      <w:marTop w:val="0"/>
      <w:marBottom w:val="0"/>
      <w:divBdr>
        <w:top w:val="none" w:sz="0" w:space="0" w:color="auto"/>
        <w:left w:val="none" w:sz="0" w:space="0" w:color="auto"/>
        <w:bottom w:val="none" w:sz="0" w:space="0" w:color="auto"/>
        <w:right w:val="none" w:sz="0" w:space="0" w:color="auto"/>
      </w:divBdr>
    </w:div>
    <w:div w:id="1571576076">
      <w:marLeft w:val="0"/>
      <w:marRight w:val="0"/>
      <w:marTop w:val="0"/>
      <w:marBottom w:val="0"/>
      <w:divBdr>
        <w:top w:val="none" w:sz="0" w:space="0" w:color="auto"/>
        <w:left w:val="none" w:sz="0" w:space="0" w:color="auto"/>
        <w:bottom w:val="none" w:sz="0" w:space="0" w:color="auto"/>
        <w:right w:val="none" w:sz="0" w:space="0" w:color="auto"/>
      </w:divBdr>
    </w:div>
    <w:div w:id="1571576077">
      <w:marLeft w:val="0"/>
      <w:marRight w:val="0"/>
      <w:marTop w:val="0"/>
      <w:marBottom w:val="0"/>
      <w:divBdr>
        <w:top w:val="none" w:sz="0" w:space="0" w:color="auto"/>
        <w:left w:val="none" w:sz="0" w:space="0" w:color="auto"/>
        <w:bottom w:val="none" w:sz="0" w:space="0" w:color="auto"/>
        <w:right w:val="none" w:sz="0" w:space="0" w:color="auto"/>
      </w:divBdr>
    </w:div>
    <w:div w:id="1571576080">
      <w:marLeft w:val="0"/>
      <w:marRight w:val="0"/>
      <w:marTop w:val="0"/>
      <w:marBottom w:val="0"/>
      <w:divBdr>
        <w:top w:val="none" w:sz="0" w:space="0" w:color="auto"/>
        <w:left w:val="none" w:sz="0" w:space="0" w:color="auto"/>
        <w:bottom w:val="none" w:sz="0" w:space="0" w:color="auto"/>
        <w:right w:val="none" w:sz="0" w:space="0" w:color="auto"/>
      </w:divBdr>
    </w:div>
    <w:div w:id="1571576081">
      <w:marLeft w:val="0"/>
      <w:marRight w:val="0"/>
      <w:marTop w:val="0"/>
      <w:marBottom w:val="0"/>
      <w:divBdr>
        <w:top w:val="none" w:sz="0" w:space="0" w:color="auto"/>
        <w:left w:val="none" w:sz="0" w:space="0" w:color="auto"/>
        <w:bottom w:val="none" w:sz="0" w:space="0" w:color="auto"/>
        <w:right w:val="none" w:sz="0" w:space="0" w:color="auto"/>
      </w:divBdr>
    </w:div>
    <w:div w:id="1571576082">
      <w:marLeft w:val="0"/>
      <w:marRight w:val="0"/>
      <w:marTop w:val="0"/>
      <w:marBottom w:val="0"/>
      <w:divBdr>
        <w:top w:val="none" w:sz="0" w:space="0" w:color="auto"/>
        <w:left w:val="none" w:sz="0" w:space="0" w:color="auto"/>
        <w:bottom w:val="none" w:sz="0" w:space="0" w:color="auto"/>
        <w:right w:val="none" w:sz="0" w:space="0" w:color="auto"/>
      </w:divBdr>
    </w:div>
    <w:div w:id="1571576084">
      <w:marLeft w:val="0"/>
      <w:marRight w:val="0"/>
      <w:marTop w:val="0"/>
      <w:marBottom w:val="0"/>
      <w:divBdr>
        <w:top w:val="none" w:sz="0" w:space="0" w:color="auto"/>
        <w:left w:val="none" w:sz="0" w:space="0" w:color="auto"/>
        <w:bottom w:val="none" w:sz="0" w:space="0" w:color="auto"/>
        <w:right w:val="none" w:sz="0" w:space="0" w:color="auto"/>
      </w:divBdr>
    </w:div>
    <w:div w:id="1571576085">
      <w:marLeft w:val="0"/>
      <w:marRight w:val="0"/>
      <w:marTop w:val="0"/>
      <w:marBottom w:val="0"/>
      <w:divBdr>
        <w:top w:val="none" w:sz="0" w:space="0" w:color="auto"/>
        <w:left w:val="none" w:sz="0" w:space="0" w:color="auto"/>
        <w:bottom w:val="none" w:sz="0" w:space="0" w:color="auto"/>
        <w:right w:val="none" w:sz="0" w:space="0" w:color="auto"/>
      </w:divBdr>
    </w:div>
    <w:div w:id="1571576086">
      <w:marLeft w:val="0"/>
      <w:marRight w:val="0"/>
      <w:marTop w:val="0"/>
      <w:marBottom w:val="0"/>
      <w:divBdr>
        <w:top w:val="none" w:sz="0" w:space="0" w:color="auto"/>
        <w:left w:val="none" w:sz="0" w:space="0" w:color="auto"/>
        <w:bottom w:val="none" w:sz="0" w:space="0" w:color="auto"/>
        <w:right w:val="none" w:sz="0" w:space="0" w:color="auto"/>
      </w:divBdr>
    </w:div>
    <w:div w:id="1571576087">
      <w:marLeft w:val="0"/>
      <w:marRight w:val="0"/>
      <w:marTop w:val="0"/>
      <w:marBottom w:val="0"/>
      <w:divBdr>
        <w:top w:val="none" w:sz="0" w:space="0" w:color="auto"/>
        <w:left w:val="none" w:sz="0" w:space="0" w:color="auto"/>
        <w:bottom w:val="none" w:sz="0" w:space="0" w:color="auto"/>
        <w:right w:val="none" w:sz="0" w:space="0" w:color="auto"/>
      </w:divBdr>
    </w:div>
    <w:div w:id="1571576088">
      <w:marLeft w:val="0"/>
      <w:marRight w:val="0"/>
      <w:marTop w:val="0"/>
      <w:marBottom w:val="0"/>
      <w:divBdr>
        <w:top w:val="none" w:sz="0" w:space="0" w:color="auto"/>
        <w:left w:val="none" w:sz="0" w:space="0" w:color="auto"/>
        <w:bottom w:val="none" w:sz="0" w:space="0" w:color="auto"/>
        <w:right w:val="none" w:sz="0" w:space="0" w:color="auto"/>
      </w:divBdr>
    </w:div>
    <w:div w:id="1571576089">
      <w:marLeft w:val="0"/>
      <w:marRight w:val="0"/>
      <w:marTop w:val="0"/>
      <w:marBottom w:val="0"/>
      <w:divBdr>
        <w:top w:val="none" w:sz="0" w:space="0" w:color="auto"/>
        <w:left w:val="none" w:sz="0" w:space="0" w:color="auto"/>
        <w:bottom w:val="none" w:sz="0" w:space="0" w:color="auto"/>
        <w:right w:val="none" w:sz="0" w:space="0" w:color="auto"/>
      </w:divBdr>
    </w:div>
    <w:div w:id="1571576092">
      <w:marLeft w:val="0"/>
      <w:marRight w:val="0"/>
      <w:marTop w:val="0"/>
      <w:marBottom w:val="0"/>
      <w:divBdr>
        <w:top w:val="none" w:sz="0" w:space="0" w:color="auto"/>
        <w:left w:val="none" w:sz="0" w:space="0" w:color="auto"/>
        <w:bottom w:val="none" w:sz="0" w:space="0" w:color="auto"/>
        <w:right w:val="none" w:sz="0" w:space="0" w:color="auto"/>
      </w:divBdr>
    </w:div>
    <w:div w:id="1571576093">
      <w:marLeft w:val="0"/>
      <w:marRight w:val="0"/>
      <w:marTop w:val="0"/>
      <w:marBottom w:val="0"/>
      <w:divBdr>
        <w:top w:val="none" w:sz="0" w:space="0" w:color="auto"/>
        <w:left w:val="none" w:sz="0" w:space="0" w:color="auto"/>
        <w:bottom w:val="none" w:sz="0" w:space="0" w:color="auto"/>
        <w:right w:val="none" w:sz="0" w:space="0" w:color="auto"/>
      </w:divBdr>
    </w:div>
    <w:div w:id="1571576094">
      <w:marLeft w:val="0"/>
      <w:marRight w:val="0"/>
      <w:marTop w:val="0"/>
      <w:marBottom w:val="0"/>
      <w:divBdr>
        <w:top w:val="none" w:sz="0" w:space="0" w:color="auto"/>
        <w:left w:val="none" w:sz="0" w:space="0" w:color="auto"/>
        <w:bottom w:val="none" w:sz="0" w:space="0" w:color="auto"/>
        <w:right w:val="none" w:sz="0" w:space="0" w:color="auto"/>
      </w:divBdr>
    </w:div>
    <w:div w:id="1571576095">
      <w:marLeft w:val="0"/>
      <w:marRight w:val="0"/>
      <w:marTop w:val="0"/>
      <w:marBottom w:val="0"/>
      <w:divBdr>
        <w:top w:val="none" w:sz="0" w:space="0" w:color="auto"/>
        <w:left w:val="none" w:sz="0" w:space="0" w:color="auto"/>
        <w:bottom w:val="none" w:sz="0" w:space="0" w:color="auto"/>
        <w:right w:val="none" w:sz="0" w:space="0" w:color="auto"/>
      </w:divBdr>
    </w:div>
    <w:div w:id="1571576096">
      <w:marLeft w:val="0"/>
      <w:marRight w:val="0"/>
      <w:marTop w:val="0"/>
      <w:marBottom w:val="0"/>
      <w:divBdr>
        <w:top w:val="none" w:sz="0" w:space="0" w:color="auto"/>
        <w:left w:val="none" w:sz="0" w:space="0" w:color="auto"/>
        <w:bottom w:val="none" w:sz="0" w:space="0" w:color="auto"/>
        <w:right w:val="none" w:sz="0" w:space="0" w:color="auto"/>
      </w:divBdr>
    </w:div>
    <w:div w:id="1571576097">
      <w:marLeft w:val="0"/>
      <w:marRight w:val="0"/>
      <w:marTop w:val="0"/>
      <w:marBottom w:val="0"/>
      <w:divBdr>
        <w:top w:val="none" w:sz="0" w:space="0" w:color="auto"/>
        <w:left w:val="none" w:sz="0" w:space="0" w:color="auto"/>
        <w:bottom w:val="none" w:sz="0" w:space="0" w:color="auto"/>
        <w:right w:val="none" w:sz="0" w:space="0" w:color="auto"/>
      </w:divBdr>
    </w:div>
    <w:div w:id="1571576098">
      <w:marLeft w:val="0"/>
      <w:marRight w:val="0"/>
      <w:marTop w:val="0"/>
      <w:marBottom w:val="0"/>
      <w:divBdr>
        <w:top w:val="none" w:sz="0" w:space="0" w:color="auto"/>
        <w:left w:val="none" w:sz="0" w:space="0" w:color="auto"/>
        <w:bottom w:val="none" w:sz="0" w:space="0" w:color="auto"/>
        <w:right w:val="none" w:sz="0" w:space="0" w:color="auto"/>
      </w:divBdr>
    </w:div>
    <w:div w:id="1571576099">
      <w:marLeft w:val="0"/>
      <w:marRight w:val="0"/>
      <w:marTop w:val="0"/>
      <w:marBottom w:val="0"/>
      <w:divBdr>
        <w:top w:val="none" w:sz="0" w:space="0" w:color="auto"/>
        <w:left w:val="none" w:sz="0" w:space="0" w:color="auto"/>
        <w:bottom w:val="none" w:sz="0" w:space="0" w:color="auto"/>
        <w:right w:val="none" w:sz="0" w:space="0" w:color="auto"/>
      </w:divBdr>
    </w:div>
    <w:div w:id="1571576100">
      <w:marLeft w:val="0"/>
      <w:marRight w:val="0"/>
      <w:marTop w:val="0"/>
      <w:marBottom w:val="0"/>
      <w:divBdr>
        <w:top w:val="none" w:sz="0" w:space="0" w:color="auto"/>
        <w:left w:val="none" w:sz="0" w:space="0" w:color="auto"/>
        <w:bottom w:val="none" w:sz="0" w:space="0" w:color="auto"/>
        <w:right w:val="none" w:sz="0" w:space="0" w:color="auto"/>
      </w:divBdr>
    </w:div>
    <w:div w:id="1571576101">
      <w:marLeft w:val="0"/>
      <w:marRight w:val="0"/>
      <w:marTop w:val="0"/>
      <w:marBottom w:val="0"/>
      <w:divBdr>
        <w:top w:val="none" w:sz="0" w:space="0" w:color="auto"/>
        <w:left w:val="none" w:sz="0" w:space="0" w:color="auto"/>
        <w:bottom w:val="none" w:sz="0" w:space="0" w:color="auto"/>
        <w:right w:val="none" w:sz="0" w:space="0" w:color="auto"/>
      </w:divBdr>
    </w:div>
    <w:div w:id="1571576102">
      <w:marLeft w:val="0"/>
      <w:marRight w:val="0"/>
      <w:marTop w:val="0"/>
      <w:marBottom w:val="0"/>
      <w:divBdr>
        <w:top w:val="none" w:sz="0" w:space="0" w:color="auto"/>
        <w:left w:val="none" w:sz="0" w:space="0" w:color="auto"/>
        <w:bottom w:val="none" w:sz="0" w:space="0" w:color="auto"/>
        <w:right w:val="none" w:sz="0" w:space="0" w:color="auto"/>
      </w:divBdr>
    </w:div>
    <w:div w:id="1571576103">
      <w:marLeft w:val="0"/>
      <w:marRight w:val="0"/>
      <w:marTop w:val="0"/>
      <w:marBottom w:val="0"/>
      <w:divBdr>
        <w:top w:val="none" w:sz="0" w:space="0" w:color="auto"/>
        <w:left w:val="none" w:sz="0" w:space="0" w:color="auto"/>
        <w:bottom w:val="none" w:sz="0" w:space="0" w:color="auto"/>
        <w:right w:val="none" w:sz="0" w:space="0" w:color="auto"/>
      </w:divBdr>
    </w:div>
    <w:div w:id="1571576104">
      <w:marLeft w:val="0"/>
      <w:marRight w:val="0"/>
      <w:marTop w:val="0"/>
      <w:marBottom w:val="0"/>
      <w:divBdr>
        <w:top w:val="none" w:sz="0" w:space="0" w:color="auto"/>
        <w:left w:val="none" w:sz="0" w:space="0" w:color="auto"/>
        <w:bottom w:val="none" w:sz="0" w:space="0" w:color="auto"/>
        <w:right w:val="none" w:sz="0" w:space="0" w:color="auto"/>
      </w:divBdr>
    </w:div>
    <w:div w:id="1571576105">
      <w:marLeft w:val="0"/>
      <w:marRight w:val="0"/>
      <w:marTop w:val="0"/>
      <w:marBottom w:val="0"/>
      <w:divBdr>
        <w:top w:val="none" w:sz="0" w:space="0" w:color="auto"/>
        <w:left w:val="none" w:sz="0" w:space="0" w:color="auto"/>
        <w:bottom w:val="none" w:sz="0" w:space="0" w:color="auto"/>
        <w:right w:val="none" w:sz="0" w:space="0" w:color="auto"/>
      </w:divBdr>
    </w:div>
    <w:div w:id="1571576106">
      <w:marLeft w:val="0"/>
      <w:marRight w:val="0"/>
      <w:marTop w:val="0"/>
      <w:marBottom w:val="0"/>
      <w:divBdr>
        <w:top w:val="none" w:sz="0" w:space="0" w:color="auto"/>
        <w:left w:val="none" w:sz="0" w:space="0" w:color="auto"/>
        <w:bottom w:val="none" w:sz="0" w:space="0" w:color="auto"/>
        <w:right w:val="none" w:sz="0" w:space="0" w:color="auto"/>
      </w:divBdr>
    </w:div>
    <w:div w:id="1571576107">
      <w:marLeft w:val="0"/>
      <w:marRight w:val="0"/>
      <w:marTop w:val="0"/>
      <w:marBottom w:val="0"/>
      <w:divBdr>
        <w:top w:val="none" w:sz="0" w:space="0" w:color="auto"/>
        <w:left w:val="none" w:sz="0" w:space="0" w:color="auto"/>
        <w:bottom w:val="none" w:sz="0" w:space="0" w:color="auto"/>
        <w:right w:val="none" w:sz="0" w:space="0" w:color="auto"/>
      </w:divBdr>
    </w:div>
    <w:div w:id="1571576108">
      <w:marLeft w:val="0"/>
      <w:marRight w:val="0"/>
      <w:marTop w:val="0"/>
      <w:marBottom w:val="0"/>
      <w:divBdr>
        <w:top w:val="none" w:sz="0" w:space="0" w:color="auto"/>
        <w:left w:val="none" w:sz="0" w:space="0" w:color="auto"/>
        <w:bottom w:val="none" w:sz="0" w:space="0" w:color="auto"/>
        <w:right w:val="none" w:sz="0" w:space="0" w:color="auto"/>
      </w:divBdr>
    </w:div>
    <w:div w:id="1571576109">
      <w:marLeft w:val="0"/>
      <w:marRight w:val="0"/>
      <w:marTop w:val="0"/>
      <w:marBottom w:val="0"/>
      <w:divBdr>
        <w:top w:val="none" w:sz="0" w:space="0" w:color="auto"/>
        <w:left w:val="none" w:sz="0" w:space="0" w:color="auto"/>
        <w:bottom w:val="none" w:sz="0" w:space="0" w:color="auto"/>
        <w:right w:val="none" w:sz="0" w:space="0" w:color="auto"/>
      </w:divBdr>
    </w:div>
    <w:div w:id="1571576110">
      <w:marLeft w:val="0"/>
      <w:marRight w:val="0"/>
      <w:marTop w:val="0"/>
      <w:marBottom w:val="0"/>
      <w:divBdr>
        <w:top w:val="none" w:sz="0" w:space="0" w:color="auto"/>
        <w:left w:val="none" w:sz="0" w:space="0" w:color="auto"/>
        <w:bottom w:val="none" w:sz="0" w:space="0" w:color="auto"/>
        <w:right w:val="none" w:sz="0" w:space="0" w:color="auto"/>
      </w:divBdr>
    </w:div>
    <w:div w:id="1571576111">
      <w:marLeft w:val="0"/>
      <w:marRight w:val="0"/>
      <w:marTop w:val="0"/>
      <w:marBottom w:val="0"/>
      <w:divBdr>
        <w:top w:val="none" w:sz="0" w:space="0" w:color="auto"/>
        <w:left w:val="none" w:sz="0" w:space="0" w:color="auto"/>
        <w:bottom w:val="none" w:sz="0" w:space="0" w:color="auto"/>
        <w:right w:val="none" w:sz="0" w:space="0" w:color="auto"/>
      </w:divBdr>
    </w:div>
    <w:div w:id="1571576112">
      <w:marLeft w:val="0"/>
      <w:marRight w:val="0"/>
      <w:marTop w:val="0"/>
      <w:marBottom w:val="0"/>
      <w:divBdr>
        <w:top w:val="none" w:sz="0" w:space="0" w:color="auto"/>
        <w:left w:val="none" w:sz="0" w:space="0" w:color="auto"/>
        <w:bottom w:val="none" w:sz="0" w:space="0" w:color="auto"/>
        <w:right w:val="none" w:sz="0" w:space="0" w:color="auto"/>
      </w:divBdr>
    </w:div>
    <w:div w:id="1571576114">
      <w:marLeft w:val="0"/>
      <w:marRight w:val="0"/>
      <w:marTop w:val="0"/>
      <w:marBottom w:val="0"/>
      <w:divBdr>
        <w:top w:val="none" w:sz="0" w:space="0" w:color="auto"/>
        <w:left w:val="none" w:sz="0" w:space="0" w:color="auto"/>
        <w:bottom w:val="none" w:sz="0" w:space="0" w:color="auto"/>
        <w:right w:val="none" w:sz="0" w:space="0" w:color="auto"/>
      </w:divBdr>
    </w:div>
    <w:div w:id="1571576115">
      <w:marLeft w:val="0"/>
      <w:marRight w:val="0"/>
      <w:marTop w:val="0"/>
      <w:marBottom w:val="0"/>
      <w:divBdr>
        <w:top w:val="none" w:sz="0" w:space="0" w:color="auto"/>
        <w:left w:val="none" w:sz="0" w:space="0" w:color="auto"/>
        <w:bottom w:val="none" w:sz="0" w:space="0" w:color="auto"/>
        <w:right w:val="none" w:sz="0" w:space="0" w:color="auto"/>
      </w:divBdr>
    </w:div>
    <w:div w:id="1571576116">
      <w:marLeft w:val="0"/>
      <w:marRight w:val="0"/>
      <w:marTop w:val="0"/>
      <w:marBottom w:val="0"/>
      <w:divBdr>
        <w:top w:val="none" w:sz="0" w:space="0" w:color="auto"/>
        <w:left w:val="none" w:sz="0" w:space="0" w:color="auto"/>
        <w:bottom w:val="none" w:sz="0" w:space="0" w:color="auto"/>
        <w:right w:val="none" w:sz="0" w:space="0" w:color="auto"/>
      </w:divBdr>
    </w:div>
    <w:div w:id="1571576117">
      <w:marLeft w:val="0"/>
      <w:marRight w:val="0"/>
      <w:marTop w:val="0"/>
      <w:marBottom w:val="0"/>
      <w:divBdr>
        <w:top w:val="none" w:sz="0" w:space="0" w:color="auto"/>
        <w:left w:val="none" w:sz="0" w:space="0" w:color="auto"/>
        <w:bottom w:val="none" w:sz="0" w:space="0" w:color="auto"/>
        <w:right w:val="none" w:sz="0" w:space="0" w:color="auto"/>
      </w:divBdr>
    </w:div>
    <w:div w:id="1571576118">
      <w:marLeft w:val="0"/>
      <w:marRight w:val="0"/>
      <w:marTop w:val="0"/>
      <w:marBottom w:val="0"/>
      <w:divBdr>
        <w:top w:val="none" w:sz="0" w:space="0" w:color="auto"/>
        <w:left w:val="none" w:sz="0" w:space="0" w:color="auto"/>
        <w:bottom w:val="none" w:sz="0" w:space="0" w:color="auto"/>
        <w:right w:val="none" w:sz="0" w:space="0" w:color="auto"/>
      </w:divBdr>
    </w:div>
    <w:div w:id="1571576119">
      <w:marLeft w:val="0"/>
      <w:marRight w:val="0"/>
      <w:marTop w:val="0"/>
      <w:marBottom w:val="0"/>
      <w:divBdr>
        <w:top w:val="none" w:sz="0" w:space="0" w:color="auto"/>
        <w:left w:val="none" w:sz="0" w:space="0" w:color="auto"/>
        <w:bottom w:val="none" w:sz="0" w:space="0" w:color="auto"/>
        <w:right w:val="none" w:sz="0" w:space="0" w:color="auto"/>
      </w:divBdr>
    </w:div>
    <w:div w:id="1571576120">
      <w:marLeft w:val="0"/>
      <w:marRight w:val="0"/>
      <w:marTop w:val="0"/>
      <w:marBottom w:val="0"/>
      <w:divBdr>
        <w:top w:val="none" w:sz="0" w:space="0" w:color="auto"/>
        <w:left w:val="none" w:sz="0" w:space="0" w:color="auto"/>
        <w:bottom w:val="none" w:sz="0" w:space="0" w:color="auto"/>
        <w:right w:val="none" w:sz="0" w:space="0" w:color="auto"/>
      </w:divBdr>
    </w:div>
    <w:div w:id="1571576121">
      <w:marLeft w:val="0"/>
      <w:marRight w:val="0"/>
      <w:marTop w:val="0"/>
      <w:marBottom w:val="0"/>
      <w:divBdr>
        <w:top w:val="none" w:sz="0" w:space="0" w:color="auto"/>
        <w:left w:val="none" w:sz="0" w:space="0" w:color="auto"/>
        <w:bottom w:val="none" w:sz="0" w:space="0" w:color="auto"/>
        <w:right w:val="none" w:sz="0" w:space="0" w:color="auto"/>
      </w:divBdr>
    </w:div>
    <w:div w:id="1571576122">
      <w:marLeft w:val="0"/>
      <w:marRight w:val="0"/>
      <w:marTop w:val="0"/>
      <w:marBottom w:val="0"/>
      <w:divBdr>
        <w:top w:val="none" w:sz="0" w:space="0" w:color="auto"/>
        <w:left w:val="none" w:sz="0" w:space="0" w:color="auto"/>
        <w:bottom w:val="none" w:sz="0" w:space="0" w:color="auto"/>
        <w:right w:val="none" w:sz="0" w:space="0" w:color="auto"/>
      </w:divBdr>
    </w:div>
    <w:div w:id="1571576123">
      <w:marLeft w:val="0"/>
      <w:marRight w:val="0"/>
      <w:marTop w:val="0"/>
      <w:marBottom w:val="0"/>
      <w:divBdr>
        <w:top w:val="none" w:sz="0" w:space="0" w:color="auto"/>
        <w:left w:val="none" w:sz="0" w:space="0" w:color="auto"/>
        <w:bottom w:val="none" w:sz="0" w:space="0" w:color="auto"/>
        <w:right w:val="none" w:sz="0" w:space="0" w:color="auto"/>
      </w:divBdr>
      <w:divsChild>
        <w:div w:id="1571576091">
          <w:marLeft w:val="0"/>
          <w:marRight w:val="0"/>
          <w:marTop w:val="0"/>
          <w:marBottom w:val="0"/>
          <w:divBdr>
            <w:top w:val="none" w:sz="0" w:space="0" w:color="auto"/>
            <w:left w:val="none" w:sz="0" w:space="0" w:color="auto"/>
            <w:bottom w:val="none" w:sz="0" w:space="0" w:color="auto"/>
            <w:right w:val="none" w:sz="0" w:space="0" w:color="auto"/>
          </w:divBdr>
          <w:divsChild>
            <w:div w:id="1571576078">
              <w:marLeft w:val="0"/>
              <w:marRight w:val="0"/>
              <w:marTop w:val="0"/>
              <w:marBottom w:val="0"/>
              <w:divBdr>
                <w:top w:val="none" w:sz="0" w:space="0" w:color="auto"/>
                <w:left w:val="none" w:sz="0" w:space="0" w:color="auto"/>
                <w:bottom w:val="none" w:sz="0" w:space="0" w:color="auto"/>
                <w:right w:val="none" w:sz="0" w:space="0" w:color="auto"/>
              </w:divBdr>
              <w:divsChild>
                <w:div w:id="1571576050">
                  <w:marLeft w:val="0"/>
                  <w:marRight w:val="0"/>
                  <w:marTop w:val="0"/>
                  <w:marBottom w:val="0"/>
                  <w:divBdr>
                    <w:top w:val="none" w:sz="0" w:space="0" w:color="auto"/>
                    <w:left w:val="none" w:sz="0" w:space="0" w:color="auto"/>
                    <w:bottom w:val="none" w:sz="0" w:space="0" w:color="auto"/>
                    <w:right w:val="none" w:sz="0" w:space="0" w:color="auto"/>
                  </w:divBdr>
                </w:div>
                <w:div w:id="15715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6124">
      <w:marLeft w:val="0"/>
      <w:marRight w:val="0"/>
      <w:marTop w:val="0"/>
      <w:marBottom w:val="0"/>
      <w:divBdr>
        <w:top w:val="none" w:sz="0" w:space="0" w:color="auto"/>
        <w:left w:val="none" w:sz="0" w:space="0" w:color="auto"/>
        <w:bottom w:val="none" w:sz="0" w:space="0" w:color="auto"/>
        <w:right w:val="none" w:sz="0" w:space="0" w:color="auto"/>
      </w:divBdr>
    </w:div>
    <w:div w:id="1571576125">
      <w:marLeft w:val="0"/>
      <w:marRight w:val="0"/>
      <w:marTop w:val="0"/>
      <w:marBottom w:val="0"/>
      <w:divBdr>
        <w:top w:val="none" w:sz="0" w:space="0" w:color="auto"/>
        <w:left w:val="none" w:sz="0" w:space="0" w:color="auto"/>
        <w:bottom w:val="none" w:sz="0" w:space="0" w:color="auto"/>
        <w:right w:val="none" w:sz="0" w:space="0" w:color="auto"/>
      </w:divBdr>
    </w:div>
    <w:div w:id="1571576126">
      <w:marLeft w:val="0"/>
      <w:marRight w:val="0"/>
      <w:marTop w:val="0"/>
      <w:marBottom w:val="0"/>
      <w:divBdr>
        <w:top w:val="none" w:sz="0" w:space="0" w:color="auto"/>
        <w:left w:val="none" w:sz="0" w:space="0" w:color="auto"/>
        <w:bottom w:val="none" w:sz="0" w:space="0" w:color="auto"/>
        <w:right w:val="none" w:sz="0" w:space="0" w:color="auto"/>
      </w:divBdr>
    </w:div>
    <w:div w:id="1571576127">
      <w:marLeft w:val="0"/>
      <w:marRight w:val="0"/>
      <w:marTop w:val="0"/>
      <w:marBottom w:val="0"/>
      <w:divBdr>
        <w:top w:val="none" w:sz="0" w:space="0" w:color="auto"/>
        <w:left w:val="none" w:sz="0" w:space="0" w:color="auto"/>
        <w:bottom w:val="none" w:sz="0" w:space="0" w:color="auto"/>
        <w:right w:val="none" w:sz="0" w:space="0" w:color="auto"/>
      </w:divBdr>
    </w:div>
    <w:div w:id="1571576128">
      <w:marLeft w:val="0"/>
      <w:marRight w:val="0"/>
      <w:marTop w:val="0"/>
      <w:marBottom w:val="0"/>
      <w:divBdr>
        <w:top w:val="none" w:sz="0" w:space="0" w:color="auto"/>
        <w:left w:val="none" w:sz="0" w:space="0" w:color="auto"/>
        <w:bottom w:val="none" w:sz="0" w:space="0" w:color="auto"/>
        <w:right w:val="none" w:sz="0" w:space="0" w:color="auto"/>
      </w:divBdr>
      <w:divsChild>
        <w:div w:id="1571576113">
          <w:marLeft w:val="0"/>
          <w:marRight w:val="0"/>
          <w:marTop w:val="0"/>
          <w:marBottom w:val="0"/>
          <w:divBdr>
            <w:top w:val="none" w:sz="0" w:space="0" w:color="auto"/>
            <w:left w:val="none" w:sz="0" w:space="0" w:color="auto"/>
            <w:bottom w:val="none" w:sz="0" w:space="0" w:color="auto"/>
            <w:right w:val="none" w:sz="0" w:space="0" w:color="auto"/>
          </w:divBdr>
          <w:divsChild>
            <w:div w:id="1571576062">
              <w:marLeft w:val="0"/>
              <w:marRight w:val="0"/>
              <w:marTop w:val="0"/>
              <w:marBottom w:val="0"/>
              <w:divBdr>
                <w:top w:val="none" w:sz="0" w:space="0" w:color="auto"/>
                <w:left w:val="none" w:sz="0" w:space="0" w:color="auto"/>
                <w:bottom w:val="none" w:sz="0" w:space="0" w:color="auto"/>
                <w:right w:val="none" w:sz="0" w:space="0" w:color="auto"/>
              </w:divBdr>
            </w:div>
            <w:div w:id="1571576063">
              <w:marLeft w:val="0"/>
              <w:marRight w:val="0"/>
              <w:marTop w:val="0"/>
              <w:marBottom w:val="0"/>
              <w:divBdr>
                <w:top w:val="none" w:sz="0" w:space="0" w:color="auto"/>
                <w:left w:val="none" w:sz="0" w:space="0" w:color="auto"/>
                <w:bottom w:val="none" w:sz="0" w:space="0" w:color="auto"/>
                <w:right w:val="none" w:sz="0" w:space="0" w:color="auto"/>
              </w:divBdr>
            </w:div>
            <w:div w:id="15715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129">
      <w:marLeft w:val="0"/>
      <w:marRight w:val="0"/>
      <w:marTop w:val="0"/>
      <w:marBottom w:val="0"/>
      <w:divBdr>
        <w:top w:val="none" w:sz="0" w:space="0" w:color="auto"/>
        <w:left w:val="none" w:sz="0" w:space="0" w:color="auto"/>
        <w:bottom w:val="none" w:sz="0" w:space="0" w:color="auto"/>
        <w:right w:val="none" w:sz="0" w:space="0" w:color="auto"/>
      </w:divBdr>
    </w:div>
    <w:div w:id="1571576130">
      <w:marLeft w:val="0"/>
      <w:marRight w:val="0"/>
      <w:marTop w:val="0"/>
      <w:marBottom w:val="0"/>
      <w:divBdr>
        <w:top w:val="none" w:sz="0" w:space="0" w:color="auto"/>
        <w:left w:val="none" w:sz="0" w:space="0" w:color="auto"/>
        <w:bottom w:val="none" w:sz="0" w:space="0" w:color="auto"/>
        <w:right w:val="none" w:sz="0" w:space="0" w:color="auto"/>
      </w:divBdr>
    </w:div>
    <w:div w:id="1571576131">
      <w:marLeft w:val="0"/>
      <w:marRight w:val="0"/>
      <w:marTop w:val="0"/>
      <w:marBottom w:val="0"/>
      <w:divBdr>
        <w:top w:val="none" w:sz="0" w:space="0" w:color="auto"/>
        <w:left w:val="none" w:sz="0" w:space="0" w:color="auto"/>
        <w:bottom w:val="none" w:sz="0" w:space="0" w:color="auto"/>
        <w:right w:val="none" w:sz="0" w:space="0" w:color="auto"/>
      </w:divBdr>
    </w:div>
    <w:div w:id="1571576133">
      <w:marLeft w:val="0"/>
      <w:marRight w:val="0"/>
      <w:marTop w:val="0"/>
      <w:marBottom w:val="0"/>
      <w:divBdr>
        <w:top w:val="none" w:sz="0" w:space="0" w:color="auto"/>
        <w:left w:val="none" w:sz="0" w:space="0" w:color="auto"/>
        <w:bottom w:val="none" w:sz="0" w:space="0" w:color="auto"/>
        <w:right w:val="none" w:sz="0" w:space="0" w:color="auto"/>
      </w:divBdr>
    </w:div>
    <w:div w:id="1571576134">
      <w:marLeft w:val="0"/>
      <w:marRight w:val="0"/>
      <w:marTop w:val="0"/>
      <w:marBottom w:val="0"/>
      <w:divBdr>
        <w:top w:val="none" w:sz="0" w:space="0" w:color="auto"/>
        <w:left w:val="none" w:sz="0" w:space="0" w:color="auto"/>
        <w:bottom w:val="none" w:sz="0" w:space="0" w:color="auto"/>
        <w:right w:val="none" w:sz="0" w:space="0" w:color="auto"/>
      </w:divBdr>
    </w:div>
    <w:div w:id="1571576135">
      <w:marLeft w:val="0"/>
      <w:marRight w:val="0"/>
      <w:marTop w:val="0"/>
      <w:marBottom w:val="0"/>
      <w:divBdr>
        <w:top w:val="none" w:sz="0" w:space="0" w:color="auto"/>
        <w:left w:val="none" w:sz="0" w:space="0" w:color="auto"/>
        <w:bottom w:val="none" w:sz="0" w:space="0" w:color="auto"/>
        <w:right w:val="none" w:sz="0" w:space="0" w:color="auto"/>
      </w:divBdr>
    </w:div>
    <w:div w:id="1571576136">
      <w:marLeft w:val="0"/>
      <w:marRight w:val="0"/>
      <w:marTop w:val="0"/>
      <w:marBottom w:val="0"/>
      <w:divBdr>
        <w:top w:val="none" w:sz="0" w:space="0" w:color="auto"/>
        <w:left w:val="none" w:sz="0" w:space="0" w:color="auto"/>
        <w:bottom w:val="none" w:sz="0" w:space="0" w:color="auto"/>
        <w:right w:val="none" w:sz="0" w:space="0" w:color="auto"/>
      </w:divBdr>
    </w:div>
    <w:div w:id="1571576137">
      <w:marLeft w:val="0"/>
      <w:marRight w:val="0"/>
      <w:marTop w:val="0"/>
      <w:marBottom w:val="0"/>
      <w:divBdr>
        <w:top w:val="none" w:sz="0" w:space="0" w:color="auto"/>
        <w:left w:val="none" w:sz="0" w:space="0" w:color="auto"/>
        <w:bottom w:val="none" w:sz="0" w:space="0" w:color="auto"/>
        <w:right w:val="none" w:sz="0" w:space="0" w:color="auto"/>
      </w:divBdr>
    </w:div>
    <w:div w:id="1571576138">
      <w:marLeft w:val="0"/>
      <w:marRight w:val="0"/>
      <w:marTop w:val="0"/>
      <w:marBottom w:val="0"/>
      <w:divBdr>
        <w:top w:val="none" w:sz="0" w:space="0" w:color="auto"/>
        <w:left w:val="none" w:sz="0" w:space="0" w:color="auto"/>
        <w:bottom w:val="none" w:sz="0" w:space="0" w:color="auto"/>
        <w:right w:val="none" w:sz="0" w:space="0" w:color="auto"/>
      </w:divBdr>
    </w:div>
    <w:div w:id="1571576139">
      <w:marLeft w:val="0"/>
      <w:marRight w:val="0"/>
      <w:marTop w:val="0"/>
      <w:marBottom w:val="0"/>
      <w:divBdr>
        <w:top w:val="none" w:sz="0" w:space="0" w:color="auto"/>
        <w:left w:val="none" w:sz="0" w:space="0" w:color="auto"/>
        <w:bottom w:val="none" w:sz="0" w:space="0" w:color="auto"/>
        <w:right w:val="none" w:sz="0" w:space="0" w:color="auto"/>
      </w:divBdr>
    </w:div>
    <w:div w:id="1571576140">
      <w:marLeft w:val="0"/>
      <w:marRight w:val="0"/>
      <w:marTop w:val="0"/>
      <w:marBottom w:val="0"/>
      <w:divBdr>
        <w:top w:val="none" w:sz="0" w:space="0" w:color="auto"/>
        <w:left w:val="none" w:sz="0" w:space="0" w:color="auto"/>
        <w:bottom w:val="none" w:sz="0" w:space="0" w:color="auto"/>
        <w:right w:val="none" w:sz="0" w:space="0" w:color="auto"/>
      </w:divBdr>
    </w:div>
    <w:div w:id="1571576141">
      <w:marLeft w:val="0"/>
      <w:marRight w:val="0"/>
      <w:marTop w:val="0"/>
      <w:marBottom w:val="0"/>
      <w:divBdr>
        <w:top w:val="none" w:sz="0" w:space="0" w:color="auto"/>
        <w:left w:val="none" w:sz="0" w:space="0" w:color="auto"/>
        <w:bottom w:val="none" w:sz="0" w:space="0" w:color="auto"/>
        <w:right w:val="none" w:sz="0" w:space="0" w:color="auto"/>
      </w:divBdr>
    </w:div>
    <w:div w:id="1571576142">
      <w:marLeft w:val="0"/>
      <w:marRight w:val="0"/>
      <w:marTop w:val="0"/>
      <w:marBottom w:val="0"/>
      <w:divBdr>
        <w:top w:val="none" w:sz="0" w:space="0" w:color="auto"/>
        <w:left w:val="none" w:sz="0" w:space="0" w:color="auto"/>
        <w:bottom w:val="none" w:sz="0" w:space="0" w:color="auto"/>
        <w:right w:val="none" w:sz="0" w:space="0" w:color="auto"/>
      </w:divBdr>
    </w:div>
    <w:div w:id="1571576143">
      <w:marLeft w:val="0"/>
      <w:marRight w:val="0"/>
      <w:marTop w:val="0"/>
      <w:marBottom w:val="0"/>
      <w:divBdr>
        <w:top w:val="none" w:sz="0" w:space="0" w:color="auto"/>
        <w:left w:val="none" w:sz="0" w:space="0" w:color="auto"/>
        <w:bottom w:val="none" w:sz="0" w:space="0" w:color="auto"/>
        <w:right w:val="none" w:sz="0" w:space="0" w:color="auto"/>
      </w:divBdr>
    </w:div>
    <w:div w:id="1571576145">
      <w:marLeft w:val="0"/>
      <w:marRight w:val="0"/>
      <w:marTop w:val="0"/>
      <w:marBottom w:val="0"/>
      <w:divBdr>
        <w:top w:val="none" w:sz="0" w:space="0" w:color="auto"/>
        <w:left w:val="none" w:sz="0" w:space="0" w:color="auto"/>
        <w:bottom w:val="none" w:sz="0" w:space="0" w:color="auto"/>
        <w:right w:val="none" w:sz="0" w:space="0" w:color="auto"/>
      </w:divBdr>
    </w:div>
    <w:div w:id="1575312545">
      <w:bodyDiv w:val="1"/>
      <w:marLeft w:val="0"/>
      <w:marRight w:val="0"/>
      <w:marTop w:val="0"/>
      <w:marBottom w:val="0"/>
      <w:divBdr>
        <w:top w:val="none" w:sz="0" w:space="0" w:color="auto"/>
        <w:left w:val="none" w:sz="0" w:space="0" w:color="auto"/>
        <w:bottom w:val="none" w:sz="0" w:space="0" w:color="auto"/>
        <w:right w:val="none" w:sz="0" w:space="0" w:color="auto"/>
      </w:divBdr>
    </w:div>
    <w:div w:id="1710181868">
      <w:bodyDiv w:val="1"/>
      <w:marLeft w:val="0"/>
      <w:marRight w:val="0"/>
      <w:marTop w:val="0"/>
      <w:marBottom w:val="0"/>
      <w:divBdr>
        <w:top w:val="none" w:sz="0" w:space="0" w:color="auto"/>
        <w:left w:val="none" w:sz="0" w:space="0" w:color="auto"/>
        <w:bottom w:val="none" w:sz="0" w:space="0" w:color="auto"/>
        <w:right w:val="none" w:sz="0" w:space="0" w:color="auto"/>
      </w:divBdr>
    </w:div>
    <w:div w:id="1714963823">
      <w:bodyDiv w:val="1"/>
      <w:marLeft w:val="0"/>
      <w:marRight w:val="0"/>
      <w:marTop w:val="0"/>
      <w:marBottom w:val="0"/>
      <w:divBdr>
        <w:top w:val="none" w:sz="0" w:space="0" w:color="auto"/>
        <w:left w:val="none" w:sz="0" w:space="0" w:color="auto"/>
        <w:bottom w:val="none" w:sz="0" w:space="0" w:color="auto"/>
        <w:right w:val="none" w:sz="0" w:space="0" w:color="auto"/>
      </w:divBdr>
    </w:div>
    <w:div w:id="1747996504">
      <w:bodyDiv w:val="1"/>
      <w:marLeft w:val="0"/>
      <w:marRight w:val="0"/>
      <w:marTop w:val="0"/>
      <w:marBottom w:val="0"/>
      <w:divBdr>
        <w:top w:val="none" w:sz="0" w:space="0" w:color="auto"/>
        <w:left w:val="none" w:sz="0" w:space="0" w:color="auto"/>
        <w:bottom w:val="none" w:sz="0" w:space="0" w:color="auto"/>
        <w:right w:val="none" w:sz="0" w:space="0" w:color="auto"/>
      </w:divBdr>
    </w:div>
    <w:div w:id="1771855431">
      <w:bodyDiv w:val="1"/>
      <w:marLeft w:val="0"/>
      <w:marRight w:val="0"/>
      <w:marTop w:val="0"/>
      <w:marBottom w:val="0"/>
      <w:divBdr>
        <w:top w:val="none" w:sz="0" w:space="0" w:color="auto"/>
        <w:left w:val="none" w:sz="0" w:space="0" w:color="auto"/>
        <w:bottom w:val="none" w:sz="0" w:space="0" w:color="auto"/>
        <w:right w:val="none" w:sz="0" w:space="0" w:color="auto"/>
      </w:divBdr>
    </w:div>
    <w:div w:id="1792673795">
      <w:bodyDiv w:val="1"/>
      <w:marLeft w:val="0"/>
      <w:marRight w:val="0"/>
      <w:marTop w:val="0"/>
      <w:marBottom w:val="0"/>
      <w:divBdr>
        <w:top w:val="none" w:sz="0" w:space="0" w:color="auto"/>
        <w:left w:val="none" w:sz="0" w:space="0" w:color="auto"/>
        <w:bottom w:val="none" w:sz="0" w:space="0" w:color="auto"/>
        <w:right w:val="none" w:sz="0" w:space="0" w:color="auto"/>
      </w:divBdr>
    </w:div>
    <w:div w:id="1798067728">
      <w:bodyDiv w:val="1"/>
      <w:marLeft w:val="0"/>
      <w:marRight w:val="0"/>
      <w:marTop w:val="0"/>
      <w:marBottom w:val="0"/>
      <w:divBdr>
        <w:top w:val="none" w:sz="0" w:space="0" w:color="auto"/>
        <w:left w:val="none" w:sz="0" w:space="0" w:color="auto"/>
        <w:bottom w:val="none" w:sz="0" w:space="0" w:color="auto"/>
        <w:right w:val="none" w:sz="0" w:space="0" w:color="auto"/>
      </w:divBdr>
    </w:div>
    <w:div w:id="1841195091">
      <w:bodyDiv w:val="1"/>
      <w:marLeft w:val="0"/>
      <w:marRight w:val="0"/>
      <w:marTop w:val="0"/>
      <w:marBottom w:val="0"/>
      <w:divBdr>
        <w:top w:val="none" w:sz="0" w:space="0" w:color="auto"/>
        <w:left w:val="none" w:sz="0" w:space="0" w:color="auto"/>
        <w:bottom w:val="none" w:sz="0" w:space="0" w:color="auto"/>
        <w:right w:val="none" w:sz="0" w:space="0" w:color="auto"/>
      </w:divBdr>
    </w:div>
    <w:div w:id="1854226255">
      <w:bodyDiv w:val="1"/>
      <w:marLeft w:val="0"/>
      <w:marRight w:val="0"/>
      <w:marTop w:val="0"/>
      <w:marBottom w:val="0"/>
      <w:divBdr>
        <w:top w:val="none" w:sz="0" w:space="0" w:color="auto"/>
        <w:left w:val="none" w:sz="0" w:space="0" w:color="auto"/>
        <w:bottom w:val="none" w:sz="0" w:space="0" w:color="auto"/>
        <w:right w:val="none" w:sz="0" w:space="0" w:color="auto"/>
      </w:divBdr>
    </w:div>
    <w:div w:id="1882015310">
      <w:bodyDiv w:val="1"/>
      <w:marLeft w:val="0"/>
      <w:marRight w:val="0"/>
      <w:marTop w:val="0"/>
      <w:marBottom w:val="0"/>
      <w:divBdr>
        <w:top w:val="none" w:sz="0" w:space="0" w:color="auto"/>
        <w:left w:val="none" w:sz="0" w:space="0" w:color="auto"/>
        <w:bottom w:val="none" w:sz="0" w:space="0" w:color="auto"/>
        <w:right w:val="none" w:sz="0" w:space="0" w:color="auto"/>
      </w:divBdr>
    </w:div>
    <w:div w:id="1943368268">
      <w:bodyDiv w:val="1"/>
      <w:marLeft w:val="0"/>
      <w:marRight w:val="0"/>
      <w:marTop w:val="0"/>
      <w:marBottom w:val="0"/>
      <w:divBdr>
        <w:top w:val="none" w:sz="0" w:space="0" w:color="auto"/>
        <w:left w:val="none" w:sz="0" w:space="0" w:color="auto"/>
        <w:bottom w:val="none" w:sz="0" w:space="0" w:color="auto"/>
        <w:right w:val="none" w:sz="0" w:space="0" w:color="auto"/>
      </w:divBdr>
    </w:div>
    <w:div w:id="1949505772">
      <w:bodyDiv w:val="1"/>
      <w:marLeft w:val="0"/>
      <w:marRight w:val="0"/>
      <w:marTop w:val="0"/>
      <w:marBottom w:val="0"/>
      <w:divBdr>
        <w:top w:val="none" w:sz="0" w:space="0" w:color="auto"/>
        <w:left w:val="none" w:sz="0" w:space="0" w:color="auto"/>
        <w:bottom w:val="none" w:sz="0" w:space="0" w:color="auto"/>
        <w:right w:val="none" w:sz="0" w:space="0" w:color="auto"/>
      </w:divBdr>
    </w:div>
    <w:div w:id="1951161477">
      <w:bodyDiv w:val="1"/>
      <w:marLeft w:val="0"/>
      <w:marRight w:val="0"/>
      <w:marTop w:val="0"/>
      <w:marBottom w:val="0"/>
      <w:divBdr>
        <w:top w:val="none" w:sz="0" w:space="0" w:color="auto"/>
        <w:left w:val="none" w:sz="0" w:space="0" w:color="auto"/>
        <w:bottom w:val="none" w:sz="0" w:space="0" w:color="auto"/>
        <w:right w:val="none" w:sz="0" w:space="0" w:color="auto"/>
      </w:divBdr>
    </w:div>
    <w:div w:id="2002151615">
      <w:bodyDiv w:val="1"/>
      <w:marLeft w:val="0"/>
      <w:marRight w:val="0"/>
      <w:marTop w:val="0"/>
      <w:marBottom w:val="0"/>
      <w:divBdr>
        <w:top w:val="none" w:sz="0" w:space="0" w:color="auto"/>
        <w:left w:val="none" w:sz="0" w:space="0" w:color="auto"/>
        <w:bottom w:val="none" w:sz="0" w:space="0" w:color="auto"/>
        <w:right w:val="none" w:sz="0" w:space="0" w:color="auto"/>
      </w:divBdr>
    </w:div>
    <w:div w:id="2048407328">
      <w:bodyDiv w:val="1"/>
      <w:marLeft w:val="0"/>
      <w:marRight w:val="0"/>
      <w:marTop w:val="0"/>
      <w:marBottom w:val="0"/>
      <w:divBdr>
        <w:top w:val="none" w:sz="0" w:space="0" w:color="auto"/>
        <w:left w:val="none" w:sz="0" w:space="0" w:color="auto"/>
        <w:bottom w:val="none" w:sz="0" w:space="0" w:color="auto"/>
        <w:right w:val="none" w:sz="0" w:space="0" w:color="auto"/>
      </w:divBdr>
    </w:div>
    <w:div w:id="2059158040">
      <w:bodyDiv w:val="1"/>
      <w:marLeft w:val="0"/>
      <w:marRight w:val="0"/>
      <w:marTop w:val="0"/>
      <w:marBottom w:val="0"/>
      <w:divBdr>
        <w:top w:val="none" w:sz="0" w:space="0" w:color="auto"/>
        <w:left w:val="none" w:sz="0" w:space="0" w:color="auto"/>
        <w:bottom w:val="none" w:sz="0" w:space="0" w:color="auto"/>
        <w:right w:val="none" w:sz="0" w:space="0" w:color="auto"/>
      </w:divBdr>
    </w:div>
    <w:div w:id="2077825134">
      <w:bodyDiv w:val="1"/>
      <w:marLeft w:val="0"/>
      <w:marRight w:val="0"/>
      <w:marTop w:val="0"/>
      <w:marBottom w:val="0"/>
      <w:divBdr>
        <w:top w:val="none" w:sz="0" w:space="0" w:color="auto"/>
        <w:left w:val="none" w:sz="0" w:space="0" w:color="auto"/>
        <w:bottom w:val="none" w:sz="0" w:space="0" w:color="auto"/>
        <w:right w:val="none" w:sz="0" w:space="0" w:color="auto"/>
      </w:divBdr>
    </w:div>
    <w:div w:id="2085224837">
      <w:bodyDiv w:val="1"/>
      <w:marLeft w:val="0"/>
      <w:marRight w:val="0"/>
      <w:marTop w:val="0"/>
      <w:marBottom w:val="0"/>
      <w:divBdr>
        <w:top w:val="none" w:sz="0" w:space="0" w:color="auto"/>
        <w:left w:val="none" w:sz="0" w:space="0" w:color="auto"/>
        <w:bottom w:val="none" w:sz="0" w:space="0" w:color="auto"/>
        <w:right w:val="none" w:sz="0" w:space="0" w:color="auto"/>
      </w:divBdr>
    </w:div>
    <w:div w:id="2095935134">
      <w:bodyDiv w:val="1"/>
      <w:marLeft w:val="0"/>
      <w:marRight w:val="0"/>
      <w:marTop w:val="0"/>
      <w:marBottom w:val="300"/>
      <w:divBdr>
        <w:top w:val="none" w:sz="0" w:space="0" w:color="auto"/>
        <w:left w:val="none" w:sz="0" w:space="0" w:color="auto"/>
        <w:bottom w:val="none" w:sz="0" w:space="0" w:color="auto"/>
        <w:right w:val="none" w:sz="0" w:space="0" w:color="auto"/>
      </w:divBdr>
      <w:divsChild>
        <w:div w:id="201483867">
          <w:marLeft w:val="0"/>
          <w:marRight w:val="0"/>
          <w:marTop w:val="0"/>
          <w:marBottom w:val="0"/>
          <w:divBdr>
            <w:top w:val="none" w:sz="0" w:space="0" w:color="auto"/>
            <w:left w:val="none" w:sz="0" w:space="0" w:color="auto"/>
            <w:bottom w:val="none" w:sz="0" w:space="0" w:color="auto"/>
            <w:right w:val="none" w:sz="0" w:space="0" w:color="auto"/>
          </w:divBdr>
        </w:div>
      </w:divsChild>
    </w:div>
    <w:div w:id="212515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Microsoft_Excel_Worksheet5.xlsx"/><Relationship Id="rId34" Type="http://schemas.openxmlformats.org/officeDocument/2006/relationships/image" Target="media/image14.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Word_Document3.docx"/><Relationship Id="rId25" Type="http://schemas.openxmlformats.org/officeDocument/2006/relationships/oleObject" Target="embeddings/oleObject2.bin"/><Relationship Id="rId33" Type="http://schemas.openxmlformats.org/officeDocument/2006/relationships/image" Target="cid:image001.png@01D29E2C.7150B530"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Word_97_-_2003_Document2.doc"/><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3.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Microsoft_PowerPoint_97-2003_Presentation1.ppt"/><Relationship Id="rId23" Type="http://schemas.openxmlformats.org/officeDocument/2006/relationships/oleObject" Target="embeddings/oleObject1.bin"/><Relationship Id="rId28" Type="http://schemas.openxmlformats.org/officeDocument/2006/relationships/image" Target="media/image11.emf"/><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Microsoft_Word_Document4.docx"/><Relationship Id="rId31" Type="http://schemas.openxmlformats.org/officeDocument/2006/relationships/package" Target="embeddings/Microsoft_Word_Document7.doc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6.docx"/><Relationship Id="rId30" Type="http://schemas.openxmlformats.org/officeDocument/2006/relationships/image" Target="media/image12.emf"/><Relationship Id="rId35" Type="http://schemas.openxmlformats.org/officeDocument/2006/relationships/package" Target="embeddings/Microsoft_Word_Document8.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00B96-236A-4DFE-93B6-0EFCD6A96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4808</Words>
  <Characters>27410</Characters>
  <Application>Microsoft Office Word</Application>
  <DocSecurity>0</DocSecurity>
  <Lines>228</Lines>
  <Paragraphs>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SMPG TAX Subgroup telco</vt:lpstr>
      <vt:lpstr>SMPG TAX Subgroup telco</vt:lpstr>
    </vt:vector>
  </TitlesOfParts>
  <Company>SWIFT</Company>
  <LinksUpToDate>false</LinksUpToDate>
  <CharactersWithSpaces>32154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SMPG TAX Subgroup telco</dc:title>
  <dc:creator>JKLAK@statestreet.com</dc:creator>
  <cp:lastModifiedBy>KLAK, Jean-Pierre</cp:lastModifiedBy>
  <cp:revision>2</cp:revision>
  <cp:lastPrinted>2017-03-14T17:35:00Z</cp:lastPrinted>
  <dcterms:created xsi:type="dcterms:W3CDTF">2017-06-12T18:22:00Z</dcterms:created>
  <dcterms:modified xsi:type="dcterms:W3CDTF">2017-06-12T18:22:00Z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