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C3BD4" w14:textId="77777777" w:rsidR="00416D73" w:rsidRPr="0069353F" w:rsidRDefault="0069353F">
      <w:pPr>
        <w:rPr>
          <w:rFonts w:cs="Arial"/>
          <w:b/>
          <w:sz w:val="24"/>
          <w:szCs w:val="24"/>
        </w:rPr>
      </w:pPr>
      <w:r w:rsidRPr="0069353F">
        <w:rPr>
          <w:rFonts w:cs="Arial"/>
          <w:b/>
          <w:sz w:val="24"/>
          <w:szCs w:val="24"/>
        </w:rPr>
        <w:t xml:space="preserve">CA512 - </w:t>
      </w:r>
      <w:r w:rsidRPr="0069353F">
        <w:rPr>
          <w:rFonts w:cs="Arial"/>
          <w:b/>
          <w:sz w:val="24"/>
          <w:szCs w:val="24"/>
        </w:rPr>
        <w:t>CA - Review DRIP CHOS with Interim template</w:t>
      </w:r>
      <w:r>
        <w:rPr>
          <w:rFonts w:cs="Arial"/>
          <w:b/>
          <w:sz w:val="24"/>
          <w:szCs w:val="24"/>
        </w:rPr>
        <w:t xml:space="preserve"> (Mari)</w:t>
      </w:r>
      <w:bookmarkStart w:id="0" w:name="_GoBack"/>
      <w:bookmarkEnd w:id="0"/>
    </w:p>
    <w:p w14:paraId="6E1FF400" w14:textId="77777777" w:rsidR="0069353F" w:rsidRDefault="0069353F"/>
    <w:p w14:paraId="5AE0A8D9" w14:textId="77777777" w:rsidR="0069353F" w:rsidRDefault="0069353F" w:rsidP="0069353F">
      <w:pPr>
        <w:rPr>
          <w:rFonts w:ascii="Calibri" w:hAnsi="Calibri"/>
          <w:color w:val="1F497D"/>
        </w:rPr>
      </w:pPr>
      <w:r>
        <w:rPr>
          <w:color w:val="1F497D"/>
        </w:rPr>
        <w:t>You may be aware that there are a lot of discussions at the moment on the way DRIPs are managed in The Netherlands as they were removed in 2017 and they have been re-introduced in 2020.</w:t>
      </w:r>
    </w:p>
    <w:p w14:paraId="77BA689E" w14:textId="77777777" w:rsidR="0069353F" w:rsidRDefault="0069353F" w:rsidP="0069353F">
      <w:pPr>
        <w:rPr>
          <w:color w:val="1F497D"/>
        </w:rPr>
      </w:pPr>
    </w:p>
    <w:p w14:paraId="454C62CB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>Based on GMP1:</w:t>
      </w:r>
    </w:p>
    <w:p w14:paraId="1E76E715" w14:textId="77777777" w:rsidR="0069353F" w:rsidRDefault="0069353F" w:rsidP="0069353F">
      <w:pPr>
        <w:pStyle w:val="ListParagraph"/>
        <w:numPr>
          <w:ilvl w:val="0"/>
          <w:numId w:val="21"/>
        </w:numPr>
        <w:contextualSpacing w:val="0"/>
        <w:rPr>
          <w:color w:val="1F497D"/>
          <w:lang w:val="en-US"/>
        </w:rPr>
      </w:pPr>
      <w:r>
        <w:rPr>
          <w:color w:val="1F497D"/>
        </w:rPr>
        <w:t>section 8.28</w:t>
      </w:r>
      <w:r>
        <w:rPr>
          <w:color w:val="1F497D"/>
          <w:lang w:val="en-US"/>
        </w:rPr>
        <w:t>:</w:t>
      </w:r>
    </w:p>
    <w:p w14:paraId="528BC23B" w14:textId="77777777" w:rsidR="0069353F" w:rsidRDefault="0069353F" w:rsidP="0069353F">
      <w:r>
        <w:t>The price element Generic Cash Price Paid Per Product [:90a::PRPP] is only to be included in the securities movement sequence when there will be no cash movement in the option (for instance for dividend reinvestment [DRIP] or scrip dividend [DVSC] events in UK).</w:t>
      </w:r>
    </w:p>
    <w:p w14:paraId="56A734B6" w14:textId="77777777" w:rsidR="0069353F" w:rsidRDefault="0069353F" w:rsidP="0069353F">
      <w:pPr>
        <w:pStyle w:val="ListParagraph"/>
        <w:numPr>
          <w:ilvl w:val="0"/>
          <w:numId w:val="21"/>
        </w:numPr>
        <w:contextualSpacing w:val="0"/>
        <w:rPr>
          <w:color w:val="1F497D"/>
        </w:rPr>
      </w:pPr>
      <w:r>
        <w:rPr>
          <w:color w:val="1F497D"/>
          <w:lang w:val="en-US"/>
        </w:rPr>
        <w:t xml:space="preserve">section 8.26 </w:t>
      </w:r>
    </w:p>
    <w:p w14:paraId="679E1DCE" w14:textId="77777777" w:rsidR="0069353F" w:rsidRDefault="0069353F" w:rsidP="0069353F">
      <w:pPr>
        <w:rPr>
          <w:color w:val="1F497D"/>
        </w:rPr>
      </w:pPr>
      <w:r>
        <w:t>Fees and charges should be quoted separately from the main rates and prices of the event, i.e. not be combined/aggregated with other rates. For instance, a solicitation fee rate [MT564 – Seq. E2 - :92a::SOFE &lt;&gt; seev.031 – E2 / RateAndAmountDetails / SolicitationFeeRate] or an early solicitation fee rate [MT564 – Seq. E2 - :92a::ESOF &lt;&gt; seev.031 – E2 / RateAndAmountDetails / EarlySolicitationFeeRate] should be provided separately from the main event rate.</w:t>
      </w:r>
    </w:p>
    <w:p w14:paraId="37EA530F" w14:textId="77777777" w:rsidR="0069353F" w:rsidRDefault="0069353F" w:rsidP="0069353F">
      <w:pPr>
        <w:pStyle w:val="ListParagraph"/>
        <w:ind w:left="765"/>
        <w:rPr>
          <w:color w:val="1F497D"/>
        </w:rPr>
      </w:pPr>
    </w:p>
    <w:p w14:paraId="33813D84" w14:textId="77777777" w:rsidR="0069353F" w:rsidRDefault="0069353F" w:rsidP="0069353F">
      <w:pPr>
        <w:pStyle w:val="ListParagraph"/>
        <w:ind w:left="0"/>
        <w:rPr>
          <w:color w:val="1F497D"/>
        </w:rPr>
      </w:pPr>
      <w:r>
        <w:rPr>
          <w:color w:val="1F497D"/>
        </w:rPr>
        <w:t>In the UK, both the above rules are followed when announcing DVOP and DRIP events, whether as one event or two events (using RHDI and DVOP) – see the example of the DRIP treated as one event:</w:t>
      </w:r>
    </w:p>
    <w:p w14:paraId="0021CD58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 xml:space="preserve">16R   SECMOVE                                           </w:t>
      </w:r>
    </w:p>
    <w:p w14:paraId="2BCF5B06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 xml:space="preserve">22H   :CRDB//CRED                                       </w:t>
      </w:r>
    </w:p>
    <w:p w14:paraId="4CE3B58B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 xml:space="preserve">35B   ISIN GB0008706128                                 </w:t>
      </w:r>
    </w:p>
    <w:p w14:paraId="56B87ED8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 xml:space="preserve">35B   /GB/0870612/LLOYDS BANKING GROUP PL               </w:t>
      </w:r>
    </w:p>
    <w:p w14:paraId="7EE70D24" w14:textId="77777777" w:rsidR="0069353F" w:rsidRDefault="0069353F" w:rsidP="0069353F">
      <w:pPr>
        <w:rPr>
          <w:color w:val="1F497D"/>
          <w:lang w:val="it-IT"/>
        </w:rPr>
      </w:pPr>
      <w:r>
        <w:rPr>
          <w:color w:val="1F497D"/>
          <w:lang w:val="it-IT"/>
        </w:rPr>
        <w:t xml:space="preserve">35B   C/ORD GBP0.10                                     </w:t>
      </w:r>
    </w:p>
    <w:p w14:paraId="00F014C5" w14:textId="77777777" w:rsidR="0069353F" w:rsidRDefault="0069353F" w:rsidP="0069353F">
      <w:pPr>
        <w:rPr>
          <w:color w:val="1F497D"/>
          <w:lang w:val="it-IT"/>
        </w:rPr>
      </w:pPr>
      <w:r>
        <w:rPr>
          <w:color w:val="1F497D"/>
          <w:lang w:val="it-IT"/>
        </w:rPr>
        <w:t>16R   FIA                                               </w:t>
      </w:r>
    </w:p>
    <w:p w14:paraId="15597241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 xml:space="preserve">94B   :PLIS//EXCH/XLON                                  </w:t>
      </w:r>
    </w:p>
    <w:p w14:paraId="2380F34B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 xml:space="preserve">16S   FIA                                               </w:t>
      </w:r>
    </w:p>
    <w:p w14:paraId="250254C2" w14:textId="77777777" w:rsidR="0069353F" w:rsidRDefault="0069353F" w:rsidP="0069353F">
      <w:p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90B   :PRPP//ACTU/GBP0,436345                           </w:t>
      </w:r>
    </w:p>
    <w:p w14:paraId="657A63C3" w14:textId="77777777" w:rsidR="0069353F" w:rsidRDefault="0069353F" w:rsidP="0069353F">
      <w:p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92D   :ADEX//1,/65,1261194                              </w:t>
      </w:r>
    </w:p>
    <w:p w14:paraId="23522AC3" w14:textId="77777777" w:rsidR="0069353F" w:rsidRDefault="0069353F" w:rsidP="0069353F">
      <w:p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92A   :CHAR//1,                                         </w:t>
      </w:r>
    </w:p>
    <w:p w14:paraId="223F40D3" w14:textId="77777777" w:rsidR="0069353F" w:rsidRDefault="0069353F" w:rsidP="0069353F">
      <w:pPr>
        <w:rPr>
          <w:color w:val="1F497D"/>
        </w:rPr>
      </w:pPr>
      <w:r>
        <w:rPr>
          <w:color w:val="1F497D"/>
          <w:highlight w:val="yellow"/>
        </w:rPr>
        <w:t>92A   :FISC//0,5</w:t>
      </w:r>
      <w:r>
        <w:rPr>
          <w:color w:val="1F497D"/>
        </w:rPr>
        <w:t xml:space="preserve">                                        </w:t>
      </w:r>
    </w:p>
    <w:p w14:paraId="6FA6AB27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 xml:space="preserve">98A   :PAYD//20210917                                   </w:t>
      </w:r>
    </w:p>
    <w:p w14:paraId="6800E277" w14:textId="77777777" w:rsidR="0069353F" w:rsidRDefault="0069353F" w:rsidP="0069353F">
      <w:pPr>
        <w:rPr>
          <w:color w:val="1F497D"/>
        </w:rPr>
      </w:pPr>
      <w:r>
        <w:rPr>
          <w:color w:val="1F497D"/>
        </w:rPr>
        <w:t>16S   SECMOVE</w:t>
      </w:r>
    </w:p>
    <w:p w14:paraId="04FCCD45" w14:textId="77777777" w:rsidR="0069353F" w:rsidRDefault="0069353F" w:rsidP="0069353F"/>
    <w:p w14:paraId="715B81F7" w14:textId="77777777" w:rsidR="0069353F" w:rsidRDefault="0069353F" w:rsidP="0069353F">
      <w:pPr>
        <w:pStyle w:val="ListParagraph"/>
        <w:ind w:left="0"/>
        <w:rPr>
          <w:color w:val="1F497D"/>
        </w:rPr>
      </w:pPr>
      <w:r>
        <w:rPr>
          <w:color w:val="1F497D"/>
        </w:rPr>
        <w:t>However, when I look at the templates that were prepared for DRIPs announced as two events (</w:t>
      </w:r>
      <w:hyperlink r:id="rId11" w:history="1">
        <w:r>
          <w:rPr>
            <w:rStyle w:val="Hyperlink"/>
          </w:rPr>
          <w:t>https://www.smpg.info/fileadmin/documents/1_Corporate%20Actions%20WG/A_Final%20Market%20Practices/4_SMPG_CA_EventTemplates_SR2021_V1_0.docx</w:t>
        </w:r>
      </w:hyperlink>
      <w:r>
        <w:rPr>
          <w:color w:val="1F497D"/>
        </w:rPr>
        <w:t xml:space="preserve">) that rule is not followed at all. Only NEWO is quoted in the example and there is neither PRPP or CHAR. </w:t>
      </w:r>
    </w:p>
    <w:p w14:paraId="5E95DFE2" w14:textId="77777777" w:rsidR="0069353F" w:rsidRDefault="0069353F" w:rsidP="0069353F">
      <w:pPr>
        <w:pStyle w:val="ListParagraph"/>
        <w:ind w:left="0"/>
        <w:rPr>
          <w:color w:val="1F497D"/>
        </w:rPr>
      </w:pPr>
    </w:p>
    <w:p w14:paraId="36BAC462" w14:textId="77777777" w:rsidR="0069353F" w:rsidRDefault="0069353F" w:rsidP="0069353F">
      <w:r>
        <w:rPr>
          <w:color w:val="1F497D"/>
        </w:rPr>
        <w:t>At the back of such templates, the issuer CSD in NL is reporting PRPP and CHAR in narratives</w:t>
      </w:r>
    </w:p>
    <w:sectPr w:rsidR="0069353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4D62D" w14:textId="77777777" w:rsidR="0069353F" w:rsidRDefault="0069353F">
      <w:r>
        <w:separator/>
      </w:r>
    </w:p>
  </w:endnote>
  <w:endnote w:type="continuationSeparator" w:id="0">
    <w:p w14:paraId="13032F99" w14:textId="77777777" w:rsidR="0069353F" w:rsidRDefault="006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7002" w14:textId="6BB7734A" w:rsidR="00416D73" w:rsidRDefault="0069353F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1CC1" w14:textId="77777777" w:rsidR="0069353F" w:rsidRDefault="0069353F">
      <w:r>
        <w:separator/>
      </w:r>
    </w:p>
  </w:footnote>
  <w:footnote w:type="continuationSeparator" w:id="0">
    <w:p w14:paraId="5F516ECB" w14:textId="77777777" w:rsidR="0069353F" w:rsidRDefault="0069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945131A"/>
    <w:multiLevelType w:val="hybridMultilevel"/>
    <w:tmpl w:val="F8E4CC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53F"/>
    <w:rsid w:val="00416D73"/>
    <w:rsid w:val="004F531B"/>
    <w:rsid w:val="0069353F"/>
    <w:rsid w:val="00720A65"/>
    <w:rsid w:val="0077696E"/>
    <w:rsid w:val="009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1FD3D"/>
  <w15:chartTrackingRefBased/>
  <w15:docId w15:val="{07C2594D-4086-46B5-87FF-177C4D8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93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pg.info/fileadmin/documents/1_Corporate%20Actions%20WG/A_Final%20Market%20Practices/4_SMPG_CA_EventTemplates_SR2021_V1_0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8C1DB19-1414-4837-BF1A-2F8624DCD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EA704-FF6A-4E15-986D-C7832D892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63F9A-2003-4D80-82FE-935EF17984D4}">
  <ds:schemaRefs>
    <ds:schemaRef ds:uri="http://purl.org/dc/dcmitype/"/>
    <ds:schemaRef ds:uri="e236a67c-0d8c-4c77-80ff-598638e803c0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1</cp:revision>
  <dcterms:created xsi:type="dcterms:W3CDTF">2021-09-28T15:12:00Z</dcterms:created>
  <dcterms:modified xsi:type="dcterms:W3CDTF">2021-09-28T15:14:00Z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2021-09-28T15:12:32Z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8c8fe7c8-db9f-45d5-a205-9ef97ed29189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</Properties>
</file>