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4224" w14:textId="28C2E15C" w:rsidR="00D103D7" w:rsidRDefault="00D103D7" w:rsidP="00E35EF1">
      <w:r>
        <w:t xml:space="preserve">TNDP Events: </w:t>
      </w:r>
    </w:p>
    <w:p w14:paraId="1081081C" w14:textId="243F6EBF" w:rsidR="00287E85" w:rsidRDefault="00287E85" w:rsidP="00E35EF1">
      <w:r>
        <w:t xml:space="preserve">305(c) Announcements: </w:t>
      </w:r>
      <w:r w:rsidR="00D103D7" w:rsidRPr="00D103D7">
        <w:t>Section 305(c) considers that holders of convertible securities may be deemed to have received a dividend as a result of a corporate action on the underlying common stock</w:t>
      </w:r>
      <w:r w:rsidR="00885CFA">
        <w:t xml:space="preserve">. </w:t>
      </w:r>
      <w:r w:rsidR="000F0EE9">
        <w:t xml:space="preserve"> The most common scenario is a </w:t>
      </w:r>
      <w:r w:rsidR="00C00139">
        <w:t xml:space="preserve">dividend on a </w:t>
      </w:r>
      <w:r w:rsidR="000F0EE9">
        <w:t xml:space="preserve">common stock </w:t>
      </w:r>
      <w:r w:rsidR="00C00139">
        <w:t xml:space="preserve">triggers </w:t>
      </w:r>
      <w:r w:rsidR="000F0EE9">
        <w:t xml:space="preserve">an increase </w:t>
      </w:r>
      <w:r w:rsidR="00C00139">
        <w:t xml:space="preserve">to </w:t>
      </w:r>
      <w:r w:rsidR="000F0EE9">
        <w:t>the conversion rate of a convertible note.  Th</w:t>
      </w:r>
      <w:r w:rsidR="00C00139">
        <w:t>is</w:t>
      </w:r>
      <w:r w:rsidR="000F0EE9">
        <w:t xml:space="preserve"> increase in the conversion </w:t>
      </w:r>
      <w:r w:rsidR="00C00139">
        <w:t xml:space="preserve">rate is considered a </w:t>
      </w:r>
      <w:r w:rsidR="00EA2210">
        <w:t xml:space="preserve">deemed dividend subject to US withholding tax if the bond is held by a non-US investor.  </w:t>
      </w:r>
    </w:p>
    <w:p w14:paraId="03136136" w14:textId="2FC4F9D4" w:rsidR="00885CFA" w:rsidRDefault="00885CFA" w:rsidP="00E35EF1">
      <w:r>
        <w:t xml:space="preserve">871(m) Announcements: </w:t>
      </w:r>
      <w:r w:rsidR="00DF18D3" w:rsidRPr="00DF18D3">
        <w:t>Section 871(m) imposes a 30 percent withholding tax on dividend equivalent payments that are made or deemed to be made to non-U.S. persons with respect to certain derivatives that reference equity (“Equity Derivatives”) of a U.S. issuer.</w:t>
      </w:r>
    </w:p>
    <w:p w14:paraId="32B100C0" w14:textId="6F273DAC" w:rsidR="00F85E44" w:rsidRDefault="00F85E44" w:rsidP="00E35EF1">
      <w:r>
        <w:t xml:space="preserve">ECNI Announcements: </w:t>
      </w:r>
      <w:r w:rsidR="00327139">
        <w:t xml:space="preserve">Notification if a </w:t>
      </w:r>
      <w:r w:rsidRPr="00F85E44">
        <w:t>distribution is in excess of Cumulative Net Income (“CNI”)</w:t>
      </w:r>
      <w:r w:rsidR="00327139">
        <w:t xml:space="preserve">.  This </w:t>
      </w:r>
      <w:r w:rsidR="00F975CD">
        <w:t xml:space="preserve">potentially </w:t>
      </w:r>
      <w:r w:rsidR="00327139">
        <w:t xml:space="preserve">imposes a </w:t>
      </w:r>
      <w:r w:rsidR="00F975CD">
        <w:t>2</w:t>
      </w:r>
      <w:r w:rsidR="00F975CD" w:rsidRPr="00F975CD">
        <w:rPr>
          <w:vertAlign w:val="superscript"/>
        </w:rPr>
        <w:t>nd</w:t>
      </w:r>
      <w:r w:rsidR="00F975CD">
        <w:t xml:space="preserve"> level US withholding tax on a distribution from a publicly traded partnership. </w:t>
      </w:r>
    </w:p>
    <w:p w14:paraId="16B61C6F" w14:textId="77777777" w:rsidR="00F31A17" w:rsidRDefault="00F31A17" w:rsidP="00E35EF1"/>
    <w:p w14:paraId="7A6205B7" w14:textId="636D79DB" w:rsidR="00F975CD" w:rsidRDefault="00F975CD" w:rsidP="00E35EF1">
      <w:r>
        <w:t>OTHR Events;</w:t>
      </w:r>
    </w:p>
    <w:p w14:paraId="40C6DCFD" w14:textId="15D8E249" w:rsidR="00C15A40" w:rsidRDefault="00BC6196" w:rsidP="00E35EF1">
      <w:r>
        <w:t xml:space="preserve">US Tax </w:t>
      </w:r>
      <w:r w:rsidR="000E3B55">
        <w:t>Re</w:t>
      </w:r>
      <w:r w:rsidR="00E44EFF">
        <w:t>-</w:t>
      </w:r>
      <w:r>
        <w:t>Classifications</w:t>
      </w:r>
      <w:r w:rsidR="00C04D75">
        <w:t xml:space="preserve"> Examples</w:t>
      </w:r>
    </w:p>
    <w:p w14:paraId="3A4D8A8F" w14:textId="131FCAE4" w:rsidR="00BC6196" w:rsidRDefault="00BC6196" w:rsidP="00E35EF1">
      <w:r>
        <w:t xml:space="preserve">Terms: </w:t>
      </w:r>
    </w:p>
    <w:p w14:paraId="45B75702" w14:textId="3EFA748B" w:rsidR="00BC6196" w:rsidRDefault="00BC6196" w:rsidP="00E35EF1">
      <w:r>
        <w:t xml:space="preserve">1042-S.  US Internal Revenue Service </w:t>
      </w:r>
      <w:r w:rsidR="00E44EFF">
        <w:t>T</w:t>
      </w:r>
      <w:r>
        <w:t xml:space="preserve">ax form for reporting US sourced income to non-US persons. </w:t>
      </w:r>
    </w:p>
    <w:p w14:paraId="3214A0EE" w14:textId="77777777" w:rsidR="000A6695" w:rsidRPr="00BC6196" w:rsidRDefault="000A6695" w:rsidP="00E35EF1"/>
    <w:p w14:paraId="0A68060E" w14:textId="501250A9" w:rsidR="00DB4B6E" w:rsidRPr="00DB4B6E" w:rsidRDefault="000A6695" w:rsidP="00E35EF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DTC’s </w:t>
      </w:r>
      <w:r w:rsidR="00DB4B6E" w:rsidRPr="00DB4B6E">
        <w:rPr>
          <w:b/>
          <w:bCs/>
          <w:u w:val="single"/>
        </w:rPr>
        <w:t>1042-S Classification</w:t>
      </w:r>
      <w:r>
        <w:rPr>
          <w:b/>
          <w:bCs/>
          <w:u w:val="single"/>
        </w:rPr>
        <w:t xml:space="preserve"> Announcements</w:t>
      </w:r>
    </w:p>
    <w:p w14:paraId="6904D172" w14:textId="63D4B612" w:rsidR="00CF5BEE" w:rsidRDefault="00CF5BEE" w:rsidP="00567274">
      <w:pPr>
        <w:spacing w:after="0"/>
      </w:pPr>
      <w:r>
        <w:t xml:space="preserve">There will be an announcement on a security.  DTC will announce the distribution with a corporate action event type based on the security (generally a DVCA event) and assign an IRSX code based the type of security (e.g. ETF, partnership, corporation, </w:t>
      </w:r>
      <w:proofErr w:type="spellStart"/>
      <w:r>
        <w:t>etc</w:t>
      </w:r>
      <w:proofErr w:type="spellEnd"/>
      <w:r>
        <w:t xml:space="preserve">…) making the distribution.  Sometime after the announcement date, but on or before the record date, the issuer will notify DTC that the distribution has multiple components for 1042-S purposes.  </w:t>
      </w:r>
    </w:p>
    <w:p w14:paraId="5CCCAA03" w14:textId="781A8392" w:rsidR="00CF5BEE" w:rsidRDefault="00CF5BEE" w:rsidP="00567274">
      <w:pPr>
        <w:spacing w:after="0"/>
      </w:pPr>
    </w:p>
    <w:p w14:paraId="2EB4BAF7" w14:textId="7AFBC04E" w:rsidR="001C3664" w:rsidRDefault="00D75340" w:rsidP="00567274">
      <w:pPr>
        <w:spacing w:after="0"/>
      </w:pPr>
      <w:r>
        <w:t xml:space="preserve">When the issuer </w:t>
      </w:r>
      <w:r w:rsidR="00FE3085">
        <w:t xml:space="preserve">provides </w:t>
      </w:r>
      <w:r>
        <w:t xml:space="preserve">DTC </w:t>
      </w:r>
      <w:r w:rsidR="00FE3085">
        <w:t xml:space="preserve">with </w:t>
      </w:r>
      <w:r>
        <w:t>the classification</w:t>
      </w:r>
      <w:r w:rsidR="00FE3085">
        <w:t>s</w:t>
      </w:r>
      <w:r>
        <w:t xml:space="preserve"> then the IRSX Code on the DVCA event is updated to 99, which denotes that the event has multiple components for 1042-S purposes, and that a separate announcement will be created with those components</w:t>
      </w:r>
      <w:r w:rsidR="00A60341">
        <w:t xml:space="preserve"> with the event type OTHR</w:t>
      </w:r>
      <w:r>
        <w:t xml:space="preserve">.  </w:t>
      </w:r>
      <w:r w:rsidR="001607D4">
        <w:t xml:space="preserve">Each component will have its own Payout Type and IRSX Code on the OTHR event. </w:t>
      </w:r>
      <w:r w:rsidR="001C3664">
        <w:t>These 2 events, the OTHR and DVCA, are linked with a Related Events linkage.</w:t>
      </w:r>
    </w:p>
    <w:p w14:paraId="270D5EEF" w14:textId="46FFAE32" w:rsidR="001C3664" w:rsidRDefault="001C3664" w:rsidP="00567274">
      <w:pPr>
        <w:spacing w:after="0"/>
      </w:pPr>
    </w:p>
    <w:p w14:paraId="59CA96EB" w14:textId="62C0152C" w:rsidR="001C3664" w:rsidRDefault="00FC102E" w:rsidP="00567274">
      <w:pPr>
        <w:spacing w:after="0"/>
      </w:pPr>
      <w:r>
        <w:t xml:space="preserve">DTC </w:t>
      </w:r>
      <w:r w:rsidR="00191877">
        <w:t>pays all clients on the DVCA event, and debits tax from non-US clients on the OTHR event.  US clients receive the OTHR as information only.</w:t>
      </w:r>
    </w:p>
    <w:p w14:paraId="34DC8DFF" w14:textId="77777777" w:rsidR="00CF5BEE" w:rsidRDefault="00CF5BEE" w:rsidP="00567274">
      <w:pPr>
        <w:spacing w:after="0"/>
      </w:pPr>
    </w:p>
    <w:p w14:paraId="065702B0" w14:textId="77777777" w:rsidR="006A7C3B" w:rsidRDefault="006A7C3B" w:rsidP="00567274">
      <w:pPr>
        <w:spacing w:after="0"/>
      </w:pPr>
    </w:p>
    <w:p w14:paraId="4E59D4B5" w14:textId="3E8B7011" w:rsidR="00567274" w:rsidRPr="00783E07" w:rsidRDefault="000A6695" w:rsidP="00567274">
      <w:pPr>
        <w:spacing w:after="0"/>
        <w:rPr>
          <w:strike/>
        </w:rPr>
      </w:pPr>
      <w:r w:rsidRPr="00783E07">
        <w:rPr>
          <w:strike/>
        </w:rPr>
        <w:t xml:space="preserve">DTC uses its 1042-S Classification Announcement to </w:t>
      </w:r>
      <w:r w:rsidR="00455593" w:rsidRPr="00783E07">
        <w:rPr>
          <w:strike/>
        </w:rPr>
        <w:t xml:space="preserve">disseminate </w:t>
      </w:r>
      <w:r w:rsidRPr="00783E07">
        <w:rPr>
          <w:strike/>
        </w:rPr>
        <w:t xml:space="preserve">1042-S Income Codes </w:t>
      </w:r>
      <w:r w:rsidR="00C50816" w:rsidRPr="00783E07">
        <w:rPr>
          <w:strike/>
        </w:rPr>
        <w:t xml:space="preserve">if the data is received from an issuer on </w:t>
      </w:r>
      <w:r w:rsidR="00281E7B" w:rsidRPr="00783E07">
        <w:rPr>
          <w:strike/>
        </w:rPr>
        <w:t xml:space="preserve">or before </w:t>
      </w:r>
      <w:r w:rsidR="00C50816" w:rsidRPr="00783E07">
        <w:rPr>
          <w:strike/>
        </w:rPr>
        <w:t>a record date.  In this situation, DTC will create 2 events</w:t>
      </w:r>
      <w:r w:rsidR="009E455A" w:rsidRPr="00783E07">
        <w:rPr>
          <w:strike/>
        </w:rPr>
        <w:t xml:space="preserve"> and </w:t>
      </w:r>
      <w:r w:rsidR="002B38F9" w:rsidRPr="00783E07">
        <w:rPr>
          <w:strike/>
        </w:rPr>
        <w:t>link the 2 events with a Related Events linkage</w:t>
      </w:r>
      <w:r w:rsidR="00455593" w:rsidRPr="00783E07">
        <w:rPr>
          <w:strike/>
        </w:rPr>
        <w:t xml:space="preserve">.  </w:t>
      </w:r>
      <w:r w:rsidR="00567274" w:rsidRPr="00783E07">
        <w:rPr>
          <w:strike/>
        </w:rPr>
        <w:t xml:space="preserve"> In this example, an ETF provides DTC with data classifying a single distribution into multiple components for 1042-S withholding and reporting purposes. </w:t>
      </w:r>
    </w:p>
    <w:p w14:paraId="159184B8" w14:textId="6742047C" w:rsidR="00DB4B6E" w:rsidRDefault="00DB4B6E" w:rsidP="00E35EF1"/>
    <w:p w14:paraId="1F276335" w14:textId="20BCCFD2" w:rsidR="00455593" w:rsidRPr="00783E07" w:rsidRDefault="009D28D6" w:rsidP="00E35EF1">
      <w:pPr>
        <w:rPr>
          <w:b/>
          <w:bCs/>
        </w:rPr>
      </w:pPr>
      <w:r w:rsidRPr="00783E07">
        <w:rPr>
          <w:b/>
          <w:bCs/>
        </w:rPr>
        <w:t>Example of a 1042-S Classification Announcement:</w:t>
      </w:r>
    </w:p>
    <w:p w14:paraId="31B0A4F1" w14:textId="5034270E" w:rsidR="00CD51D3" w:rsidRDefault="00CD51D3" w:rsidP="00CD51D3">
      <w:pPr>
        <w:spacing w:after="0"/>
      </w:pPr>
      <w:r>
        <w:lastRenderedPageBreak/>
        <w:t>ISO Event Code: DVCA</w:t>
      </w:r>
    </w:p>
    <w:p w14:paraId="7B3BFBBF" w14:textId="109611EB" w:rsidR="00CD51D3" w:rsidRDefault="001513BC" w:rsidP="00CD51D3">
      <w:r>
        <w:t>CA ID</w:t>
      </w:r>
      <w:r w:rsidR="00CD51D3">
        <w:t xml:space="preserve">: </w:t>
      </w:r>
      <w:r w:rsidR="00CD51D3" w:rsidRPr="00384435">
        <w:t>140824683</w:t>
      </w:r>
    </w:p>
    <w:p w14:paraId="645350EC" w14:textId="71E35F98" w:rsidR="009D28D6" w:rsidRDefault="00CB412E" w:rsidP="00E35EF1">
      <w:r>
        <w:t xml:space="preserve">The event will </w:t>
      </w:r>
      <w:r w:rsidR="005F3411">
        <w:t xml:space="preserve">be </w:t>
      </w:r>
      <w:r w:rsidR="006D60E1">
        <w:t xml:space="preserve">originally be </w:t>
      </w:r>
      <w:r w:rsidR="005F3411">
        <w:t>announced as a DVCA event with IRSX Code 06</w:t>
      </w:r>
      <w:r w:rsidR="00037640">
        <w:t xml:space="preserve"> (“Dividend”)</w:t>
      </w:r>
      <w:r w:rsidR="005F3411">
        <w:t>.  IRSX Code 06 denotes a dividend payment</w:t>
      </w:r>
      <w:r w:rsidR="004C3479">
        <w:t xml:space="preserve"> for US tax purposes and is the default 1042-S code on distributions </w:t>
      </w:r>
      <w:r w:rsidR="00B631DB">
        <w:t xml:space="preserve">from </w:t>
      </w:r>
      <w:r w:rsidR="004C3479">
        <w:t xml:space="preserve">ETFs </w:t>
      </w:r>
      <w:r w:rsidR="00B631DB">
        <w:t>that are</w:t>
      </w:r>
      <w:r w:rsidR="009D48EB">
        <w:t xml:space="preserve"> generally</w:t>
      </w:r>
      <w:r w:rsidR="00B631DB">
        <w:t xml:space="preserve"> </w:t>
      </w:r>
      <w:r w:rsidR="004C3479">
        <w:t xml:space="preserve">classified as corporations for </w:t>
      </w:r>
      <w:r w:rsidR="00B631DB">
        <w:t xml:space="preserve">US </w:t>
      </w:r>
      <w:r w:rsidR="004C3479">
        <w:t>tax purposes.</w:t>
      </w:r>
    </w:p>
    <w:p w14:paraId="6413AD3C" w14:textId="65EC30C5" w:rsidR="004C3479" w:rsidRDefault="004C3479" w:rsidP="00E35EF1">
      <w:r>
        <w:t>When the</w:t>
      </w:r>
      <w:r w:rsidR="009D48EB">
        <w:t xml:space="preserve"> </w:t>
      </w:r>
      <w:r>
        <w:t>issuer</w:t>
      </w:r>
      <w:r w:rsidR="009D48EB">
        <w:t xml:space="preserve"> (e.g. ETF)</w:t>
      </w:r>
      <w:r w:rsidR="0011008F">
        <w:t xml:space="preserve">, provides DTC with the classification then the IRSX Code </w:t>
      </w:r>
      <w:r w:rsidR="006D60E1">
        <w:t xml:space="preserve">on the DVCA event </w:t>
      </w:r>
      <w:r w:rsidR="0011008F">
        <w:t>is updated to 99, which denotes that the event has multiple components for 1042-S purposes</w:t>
      </w:r>
      <w:r w:rsidR="00B85FB4">
        <w:t xml:space="preserve">, and that a separate announcement will be created with those components. </w:t>
      </w:r>
      <w:r w:rsidR="005D6E97">
        <w:t xml:space="preserve"> Cash is paid on the DVCA event.  </w:t>
      </w:r>
    </w:p>
    <w:p w14:paraId="37F8C5D6" w14:textId="77777777" w:rsidR="00BD1C91" w:rsidRDefault="00BD1C91" w:rsidP="004A5989">
      <w:pPr>
        <w:spacing w:after="0"/>
      </w:pPr>
    </w:p>
    <w:p w14:paraId="2872707F" w14:textId="6C7AA42A" w:rsidR="004A5989" w:rsidRDefault="004A5989" w:rsidP="004A5989">
      <w:pPr>
        <w:spacing w:after="0"/>
      </w:pPr>
      <w:r>
        <w:t>ISO Event Code: OTHR</w:t>
      </w:r>
    </w:p>
    <w:p w14:paraId="49526EFC" w14:textId="77777777" w:rsidR="004A5989" w:rsidRDefault="004A5989" w:rsidP="004A5989">
      <w:pPr>
        <w:spacing w:after="0"/>
      </w:pPr>
      <w:r>
        <w:t>Event Type: Tax Event</w:t>
      </w:r>
    </w:p>
    <w:p w14:paraId="7A7891E2" w14:textId="77777777" w:rsidR="004A5989" w:rsidRDefault="004A5989" w:rsidP="004A5989">
      <w:pPr>
        <w:spacing w:after="0"/>
      </w:pPr>
      <w:r>
        <w:t>Sub Event Type: 1042-S Classifications</w:t>
      </w:r>
    </w:p>
    <w:p w14:paraId="7E819138" w14:textId="63F7AA74" w:rsidR="004A5989" w:rsidRDefault="001513BC" w:rsidP="00BD1C91">
      <w:r>
        <w:t>CA ID</w:t>
      </w:r>
      <w:r w:rsidR="004A5989">
        <w:t>:</w:t>
      </w:r>
      <w:r w:rsidR="004A5989" w:rsidRPr="000949AF">
        <w:t xml:space="preserve"> 141237464</w:t>
      </w:r>
    </w:p>
    <w:p w14:paraId="6864EBD2" w14:textId="6D59690E" w:rsidR="004A5989" w:rsidRDefault="00BD1C91" w:rsidP="00BD1C91">
      <w:pPr>
        <w:spacing w:after="0"/>
      </w:pPr>
      <w:r>
        <w:t>A separate e</w:t>
      </w:r>
      <w:r w:rsidR="004A5989">
        <w:t>vent breaks distribution into multiple components for 1042-S purposes.  In this example the distribution by a US ETF to a non-US holder is broken into two payouts</w:t>
      </w:r>
      <w:r>
        <w:t xml:space="preserve">.  </w:t>
      </w:r>
    </w:p>
    <w:p w14:paraId="286DF022" w14:textId="77777777" w:rsidR="00BD1C91" w:rsidRDefault="004A5989" w:rsidP="004A5989">
      <w:pPr>
        <w:pStyle w:val="ListParagraph"/>
        <w:numPr>
          <w:ilvl w:val="0"/>
          <w:numId w:val="2"/>
        </w:numPr>
        <w:spacing w:after="0"/>
      </w:pPr>
      <w:r>
        <w:t>Payout 1: Interest (IRSX Code 01).  Generally not subject to US withholding tax</w:t>
      </w:r>
    </w:p>
    <w:p w14:paraId="6203AC3F" w14:textId="40152CA7" w:rsidR="004A5989" w:rsidRDefault="004A5989" w:rsidP="00BD1C91">
      <w:pPr>
        <w:pStyle w:val="ListParagraph"/>
        <w:numPr>
          <w:ilvl w:val="0"/>
          <w:numId w:val="2"/>
        </w:numPr>
      </w:pPr>
      <w:r>
        <w:t>Payout 2: Dividend (IRSX Code 06). Subject to a 30% US withholding tax</w:t>
      </w:r>
    </w:p>
    <w:p w14:paraId="075EC9EE" w14:textId="41B3810E" w:rsidR="00BD1C91" w:rsidRDefault="00E61200" w:rsidP="00BD1C91">
      <w:r>
        <w:t xml:space="preserve">DTC used the OTHR event solely for 1042-S Tax </w:t>
      </w:r>
      <w:r w:rsidR="00C22D6D">
        <w:t>processing</w:t>
      </w:r>
      <w:r>
        <w:t xml:space="preserve">, including any tax </w:t>
      </w:r>
      <w:r w:rsidR="00C22D6D">
        <w:t>withholding</w:t>
      </w:r>
      <w:r>
        <w:t xml:space="preserve"> </w:t>
      </w:r>
      <w:r w:rsidR="00C22D6D">
        <w:t xml:space="preserve">(debit movements) </w:t>
      </w:r>
      <w:r>
        <w:t>on the payment to non-US clients</w:t>
      </w:r>
      <w:r w:rsidR="00C22D6D">
        <w:t>.</w:t>
      </w:r>
    </w:p>
    <w:p w14:paraId="1031BCA7" w14:textId="664DD8D3" w:rsidR="004C3479" w:rsidRDefault="004C3479" w:rsidP="00E35EF1"/>
    <w:p w14:paraId="538413DB" w14:textId="0CFAA668" w:rsidR="001278AA" w:rsidRDefault="001278AA" w:rsidP="00E35EF1"/>
    <w:p w14:paraId="06CEA233" w14:textId="40313DC4" w:rsidR="001278AA" w:rsidRDefault="001278AA" w:rsidP="00E35EF1"/>
    <w:p w14:paraId="3C1B6DBB" w14:textId="77777777" w:rsidR="001278AA" w:rsidRDefault="001278AA" w:rsidP="00E35EF1"/>
    <w:p w14:paraId="47E9F339" w14:textId="70A2B53A" w:rsidR="004A5989" w:rsidRPr="00DB4B6E" w:rsidRDefault="0097780B" w:rsidP="004A598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Traditional </w:t>
      </w:r>
      <w:r w:rsidR="00C22D6D">
        <w:rPr>
          <w:b/>
          <w:bCs/>
          <w:u w:val="single"/>
        </w:rPr>
        <w:t>Reclassification Process</w:t>
      </w:r>
      <w:r w:rsidR="003A5BA1">
        <w:rPr>
          <w:b/>
          <w:bCs/>
          <w:u w:val="single"/>
        </w:rPr>
        <w:t xml:space="preserve"> in the US</w:t>
      </w:r>
      <w:r w:rsidR="002E1422">
        <w:rPr>
          <w:b/>
          <w:bCs/>
          <w:u w:val="single"/>
        </w:rPr>
        <w:t xml:space="preserve"> – after year end</w:t>
      </w:r>
    </w:p>
    <w:p w14:paraId="24AA9799" w14:textId="362FAD45" w:rsidR="00DB4B6E" w:rsidRDefault="004D0D81" w:rsidP="00E35EF1">
      <w:r>
        <w:t>See email from Liz</w:t>
      </w:r>
      <w:r w:rsidR="002B2914">
        <w:t xml:space="preserve">, </w:t>
      </w:r>
      <w:r w:rsidR="00C22D6D">
        <w:t xml:space="preserve">My understanding is that most firms have traditionally waited until </w:t>
      </w:r>
      <w:r w:rsidR="004457DD">
        <w:t xml:space="preserve">after year end to perform the reclassification.  In the example above, firms will pay out the DVCA and treat 100% of the distribution as a dividend and withhold tax at 30% (or a reduced treaty rate).  Then at year they perform a </w:t>
      </w:r>
      <w:proofErr w:type="spellStart"/>
      <w:r w:rsidR="004457DD">
        <w:t>Reclassificatoin</w:t>
      </w:r>
      <w:proofErr w:type="spellEnd"/>
      <w:r w:rsidR="004457DD">
        <w:t xml:space="preserve"> process in which they refund any taxes withheld on the portion that is reclassified from Dividends to Interest.  </w:t>
      </w:r>
    </w:p>
    <w:p w14:paraId="39C75F9E" w14:textId="033A86F6" w:rsidR="00DB4B6E" w:rsidRDefault="00DB4B6E" w:rsidP="00E35EF1"/>
    <w:p w14:paraId="0EAF1ED0" w14:textId="48DEDBDF" w:rsidR="003A5BA1" w:rsidRPr="00DB4B6E" w:rsidRDefault="002B2914" w:rsidP="003A5BA1">
      <w:pPr>
        <w:rPr>
          <w:b/>
          <w:bCs/>
          <w:u w:val="single"/>
        </w:rPr>
      </w:pPr>
      <w:r>
        <w:rPr>
          <w:b/>
          <w:bCs/>
          <w:u w:val="single"/>
        </w:rPr>
        <w:t>Distributions with multiple sources of income</w:t>
      </w:r>
    </w:p>
    <w:p w14:paraId="7C294985" w14:textId="064EDB52" w:rsidR="009338D1" w:rsidRDefault="00813321" w:rsidP="00E35EF1">
      <w:r>
        <w:t xml:space="preserve">Granite REIT: </w:t>
      </w:r>
      <w:proofErr w:type="spellStart"/>
      <w:r>
        <w:t>Cusip</w:t>
      </w:r>
      <w:proofErr w:type="spellEnd"/>
      <w:r>
        <w:t xml:space="preserve"> 387437114.  </w:t>
      </w:r>
    </w:p>
    <w:p w14:paraId="1A407CE8" w14:textId="7CD57CDE" w:rsidR="00813321" w:rsidRDefault="00813321" w:rsidP="00E35EF1">
      <w:r>
        <w:t>See March 15</w:t>
      </w:r>
      <w:r w:rsidRPr="00813321">
        <w:rPr>
          <w:vertAlign w:val="superscript"/>
        </w:rPr>
        <w:t>th</w:t>
      </w:r>
      <w:r>
        <w:t xml:space="preserve">, 2024 payable date distribution.  </w:t>
      </w:r>
      <w:r w:rsidR="00401E92">
        <w:t>$0.275 is Canadian sourced distribution subject to Canadian withholding tax.  The same $0.275 is also subject to US withholding tax as $0.1</w:t>
      </w:r>
      <w:r w:rsidR="00A0531C">
        <w:t>20</w:t>
      </w:r>
      <w:r w:rsidR="00401E92">
        <w:t xml:space="preserve"> is US sourced dividends and $</w:t>
      </w:r>
      <w:r w:rsidR="00A0531C">
        <w:t>0</w:t>
      </w:r>
      <w:r w:rsidR="00401E92">
        <w:t>.</w:t>
      </w:r>
      <w:r w:rsidR="00A0531C">
        <w:t xml:space="preserve">155 is US sourced interest. </w:t>
      </w:r>
    </w:p>
    <w:p w14:paraId="25244384" w14:textId="04F01461" w:rsidR="00A0531C" w:rsidRDefault="00911A09" w:rsidP="00E35EF1">
      <w:r>
        <w:lastRenderedPageBreak/>
        <w:t xml:space="preserve">See CA ID </w:t>
      </w:r>
      <w:r w:rsidR="00C91B9B" w:rsidRPr="00C91B9B">
        <w:t>142482901</w:t>
      </w:r>
      <w:r>
        <w:t>.  DVCA CHOS</w:t>
      </w:r>
      <w:r w:rsidR="00274FA8">
        <w:t xml:space="preserve">, rate of $0.275 </w:t>
      </w:r>
      <w:r>
        <w:t xml:space="preserve">event for clients to instruct </w:t>
      </w:r>
      <w:r w:rsidR="00E12FB2">
        <w:t xml:space="preserve">Canadian withholding rates. </w:t>
      </w:r>
      <w:r w:rsidR="00F22F19">
        <w:t xml:space="preserve">  Clients can either get paid $0.275 or less 25% Canadian </w:t>
      </w:r>
      <w:r w:rsidR="00D920C7">
        <w:t>taxes</w:t>
      </w:r>
      <w:r w:rsidR="001D015F">
        <w:t>.  IRSX Code set to 99.</w:t>
      </w:r>
    </w:p>
    <w:p w14:paraId="32D91DE0" w14:textId="66EB99D4" w:rsidR="00E12FB2" w:rsidRDefault="00E12FB2" w:rsidP="00E35EF1">
      <w:r>
        <w:t xml:space="preserve">See CA ID </w:t>
      </w:r>
      <w:r w:rsidR="00274FA8" w:rsidRPr="00274FA8">
        <w:t>142928479</w:t>
      </w:r>
      <w:r w:rsidR="00274FA8">
        <w:t xml:space="preserve">.  OTHR Event – with two payouts for the 2 components that are US sourced income.  DTC does not allocate on this event but may debit US withholding taxes from its non-US clients. </w:t>
      </w:r>
    </w:p>
    <w:p w14:paraId="777954E5" w14:textId="32CAC192" w:rsidR="00383863" w:rsidRDefault="00444F55" w:rsidP="00E35EF1">
      <w:r>
        <w:t xml:space="preserve">Instead of using OTHR, we are recommending to use </w:t>
      </w:r>
      <w:r w:rsidR="00383863">
        <w:t xml:space="preserve">RCLA </w:t>
      </w:r>
      <w:r w:rsidR="001A4913">
        <w:t xml:space="preserve">event </w:t>
      </w:r>
      <w:r w:rsidR="00AE181E">
        <w:t xml:space="preserve">to provide the </w:t>
      </w:r>
      <w:r w:rsidR="001A4913">
        <w:t xml:space="preserve">US tax components for 1042-S tax withholding.  </w:t>
      </w:r>
      <w:r w:rsidR="00AE181E">
        <w:t xml:space="preserve">In this example, RCLA needs to be an information only announcement. </w:t>
      </w:r>
      <w:r w:rsidR="00B67623">
        <w:t xml:space="preserve">RCLA would inform clients that it is tax related.  </w:t>
      </w:r>
    </w:p>
    <w:p w14:paraId="36BC395F" w14:textId="77777777" w:rsidR="00A0531C" w:rsidRDefault="00A0531C" w:rsidP="00E35EF1"/>
    <w:p w14:paraId="6CA79740" w14:textId="77777777" w:rsidR="00813321" w:rsidRDefault="00813321" w:rsidP="00E35EF1"/>
    <w:p w14:paraId="7218D622" w14:textId="77777777" w:rsidR="00813321" w:rsidRDefault="00813321" w:rsidP="00E35EF1"/>
    <w:p w14:paraId="5281DE4C" w14:textId="5B39F13C" w:rsidR="00DB4B6E" w:rsidRDefault="00DB4B6E" w:rsidP="00E35EF1"/>
    <w:p w14:paraId="58E86CA7" w14:textId="679D250C" w:rsidR="00DB4B6E" w:rsidRDefault="00DB4B6E" w:rsidP="00E35EF1"/>
    <w:p w14:paraId="145B82BB" w14:textId="73365AF8" w:rsidR="00DB4B6E" w:rsidRDefault="00DB4B6E" w:rsidP="00E35EF1">
      <w:r>
        <w:t>Reason(s) for separate event:</w:t>
      </w:r>
    </w:p>
    <w:p w14:paraId="44C9A642" w14:textId="77777777" w:rsidR="0011754B" w:rsidRDefault="00B4001C" w:rsidP="00DB4B6E">
      <w:pPr>
        <w:pStyle w:val="ListParagraph"/>
        <w:numPr>
          <w:ilvl w:val="0"/>
          <w:numId w:val="1"/>
        </w:numPr>
      </w:pPr>
      <w:r>
        <w:t xml:space="preserve">A specific payment </w:t>
      </w:r>
      <w:r w:rsidR="00DB4B6E">
        <w:t xml:space="preserve">can be classified differently </w:t>
      </w:r>
      <w:r>
        <w:t xml:space="preserve">in </w:t>
      </w:r>
      <w:r w:rsidR="0011754B">
        <w:t>different jurisdictions</w:t>
      </w:r>
      <w:r w:rsidR="00DB4B6E">
        <w:t>.</w:t>
      </w:r>
      <w:r w:rsidR="0011754B">
        <w:t xml:space="preserve"> For example, a</w:t>
      </w:r>
      <w:r w:rsidR="00DB4B6E">
        <w:t xml:space="preserve"> distribution may be considered a Return of Capital for Canadian tax purposes and dividend for US tax purposes</w:t>
      </w:r>
      <w:r w:rsidR="0011754B">
        <w:t xml:space="preserve">. </w:t>
      </w:r>
    </w:p>
    <w:p w14:paraId="074CCBBE" w14:textId="301002D2" w:rsidR="00DB4B6E" w:rsidRDefault="0064654B" w:rsidP="00DB4B6E">
      <w:pPr>
        <w:pStyle w:val="ListParagraph"/>
        <w:numPr>
          <w:ilvl w:val="0"/>
          <w:numId w:val="1"/>
        </w:numPr>
      </w:pPr>
      <w:r>
        <w:t xml:space="preserve">Similarly, a distribution may be taxed different depending on the jurisdiction on of the investor.  For example, </w:t>
      </w:r>
      <w:r w:rsidR="0085130B">
        <w:t xml:space="preserve">a </w:t>
      </w:r>
      <w:r w:rsidR="00DB4B6E">
        <w:t xml:space="preserve">distribution by a partnership is generally considered as a Return of Capital for US partners but may have other classifications to non-US partners for US tax withholding regulations. </w:t>
      </w:r>
    </w:p>
    <w:p w14:paraId="71490D40" w14:textId="225340B9" w:rsidR="00854452" w:rsidRDefault="00854452" w:rsidP="00DB4B6E">
      <w:pPr>
        <w:pStyle w:val="ListParagraph"/>
        <w:numPr>
          <w:ilvl w:val="0"/>
          <w:numId w:val="1"/>
        </w:numPr>
      </w:pPr>
      <w:r>
        <w:t xml:space="preserve">Feedback we received was that breaking the DVCA event into multiple components </w:t>
      </w:r>
      <w:r w:rsidR="000E13FE">
        <w:t xml:space="preserve">potentially broke STP and the cash allocation process.  It also was forcing clients into </w:t>
      </w:r>
      <w:r w:rsidR="00645D8A">
        <w:t>processing the tax classification process whether or not they had non-US holders</w:t>
      </w:r>
    </w:p>
    <w:p w14:paraId="6EE6D118" w14:textId="4D933411" w:rsidR="00645D8A" w:rsidRDefault="00E117BF" w:rsidP="00DB4B6E">
      <w:pPr>
        <w:pStyle w:val="ListParagraph"/>
        <w:numPr>
          <w:ilvl w:val="0"/>
          <w:numId w:val="1"/>
        </w:numPr>
      </w:pPr>
      <w:r>
        <w:t xml:space="preserve">By providing the data on a separate announcement </w:t>
      </w:r>
      <w:r w:rsidR="00473E5C">
        <w:t xml:space="preserve">and linking the 2 announcements, receivers of the Tax data can decide how they want to consume the data. </w:t>
      </w:r>
    </w:p>
    <w:sectPr w:rsidR="00645D8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468F" w14:textId="77777777" w:rsidR="007F5912" w:rsidRDefault="007F5912" w:rsidP="00D404FB">
      <w:pPr>
        <w:spacing w:after="0" w:line="240" w:lineRule="auto"/>
      </w:pPr>
      <w:r>
        <w:separator/>
      </w:r>
    </w:p>
  </w:endnote>
  <w:endnote w:type="continuationSeparator" w:id="0">
    <w:p w14:paraId="4A5ECDB5" w14:textId="77777777" w:rsidR="007F5912" w:rsidRDefault="007F5912" w:rsidP="00D4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8AC1" w14:textId="279FA9E8" w:rsidR="00DB4B6E" w:rsidRDefault="00DB4B6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45E766" wp14:editId="67280FD5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" name="MSIPCM8ef54aa1b346a2df241d0aeb" descr="{&quot;HashCode&quot;:-10109136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A70D7A" w14:textId="0E8D3CDA" w:rsidR="00DB4B6E" w:rsidRPr="00DB4B6E" w:rsidRDefault="00DB4B6E" w:rsidP="00DB4B6E">
                          <w:pPr>
                            <w:spacing w:after="0"/>
                            <w:rPr>
                              <w:rFonts w:cs="Arial"/>
                              <w:color w:val="737373"/>
                            </w:rPr>
                          </w:pPr>
                          <w:r w:rsidRPr="00DB4B6E">
                            <w:rPr>
                              <w:rFonts w:cs="Arial"/>
                              <w:color w:val="737373"/>
                            </w:rPr>
                            <w:t>DTCC Internal (Green)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45E766" id="_x0000_t202" coordsize="21600,21600" o:spt="202" path="m,l,21600r21600,l21600,xe">
              <v:stroke joinstyle="miter"/>
              <v:path gradientshapeok="t" o:connecttype="rect"/>
            </v:shapetype>
            <v:shape id="MSIPCM8ef54aa1b346a2df241d0aeb" o:spid="_x0000_s1026" type="#_x0000_t202" alt="{&quot;HashCode&quot;:-101091367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6EA70D7A" w14:textId="0E8D3CDA" w:rsidR="00DB4B6E" w:rsidRPr="00DB4B6E" w:rsidRDefault="00DB4B6E" w:rsidP="00DB4B6E">
                    <w:pPr>
                      <w:spacing w:after="0"/>
                      <w:rPr>
                        <w:rFonts w:cs="Arial"/>
                        <w:color w:val="737373"/>
                      </w:rPr>
                    </w:pPr>
                    <w:r w:rsidRPr="00DB4B6E">
                      <w:rPr>
                        <w:rFonts w:cs="Arial"/>
                        <w:color w:val="737373"/>
                      </w:rPr>
                      <w:t>DTCC Internal (Green)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444A1" w14:textId="77777777" w:rsidR="007F5912" w:rsidRDefault="007F5912" w:rsidP="00D404FB">
      <w:pPr>
        <w:spacing w:after="0" w:line="240" w:lineRule="auto"/>
      </w:pPr>
      <w:r>
        <w:separator/>
      </w:r>
    </w:p>
  </w:footnote>
  <w:footnote w:type="continuationSeparator" w:id="0">
    <w:p w14:paraId="637BF340" w14:textId="77777777" w:rsidR="007F5912" w:rsidRDefault="007F5912" w:rsidP="00D4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51DB8"/>
    <w:multiLevelType w:val="hybridMultilevel"/>
    <w:tmpl w:val="DA9C5362"/>
    <w:lvl w:ilvl="0" w:tplc="42226818">
      <w:start w:val="10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F4D10"/>
    <w:multiLevelType w:val="hybridMultilevel"/>
    <w:tmpl w:val="308AA20A"/>
    <w:lvl w:ilvl="0" w:tplc="7826D552">
      <w:start w:val="10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443085">
    <w:abstractNumId w:val="0"/>
  </w:num>
  <w:num w:numId="2" w16cid:durableId="1175613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6E"/>
    <w:rsid w:val="00001CCB"/>
    <w:rsid w:val="000330C9"/>
    <w:rsid w:val="00037640"/>
    <w:rsid w:val="00091D76"/>
    <w:rsid w:val="000949AF"/>
    <w:rsid w:val="000A6695"/>
    <w:rsid w:val="000E13FE"/>
    <w:rsid w:val="000E3B55"/>
    <w:rsid w:val="000F08F0"/>
    <w:rsid w:val="000F0EE9"/>
    <w:rsid w:val="0011008F"/>
    <w:rsid w:val="0011754B"/>
    <w:rsid w:val="001278AA"/>
    <w:rsid w:val="001513BC"/>
    <w:rsid w:val="001607D4"/>
    <w:rsid w:val="00191877"/>
    <w:rsid w:val="001A4913"/>
    <w:rsid w:val="001B4EE0"/>
    <w:rsid w:val="001C3664"/>
    <w:rsid w:val="001D015F"/>
    <w:rsid w:val="002024A0"/>
    <w:rsid w:val="00215528"/>
    <w:rsid w:val="00227560"/>
    <w:rsid w:val="00274FA8"/>
    <w:rsid w:val="00281E7B"/>
    <w:rsid w:val="00287E85"/>
    <w:rsid w:val="002B2914"/>
    <w:rsid w:val="002B38F9"/>
    <w:rsid w:val="002C021A"/>
    <w:rsid w:val="002E1422"/>
    <w:rsid w:val="00327139"/>
    <w:rsid w:val="00327AD7"/>
    <w:rsid w:val="00383863"/>
    <w:rsid w:val="00384435"/>
    <w:rsid w:val="003A5BA1"/>
    <w:rsid w:val="003D2DB5"/>
    <w:rsid w:val="00401E92"/>
    <w:rsid w:val="00444F55"/>
    <w:rsid w:val="004457DD"/>
    <w:rsid w:val="00455593"/>
    <w:rsid w:val="00466F75"/>
    <w:rsid w:val="00473E5C"/>
    <w:rsid w:val="004A5989"/>
    <w:rsid w:val="004C3479"/>
    <w:rsid w:val="004D0D81"/>
    <w:rsid w:val="005048F9"/>
    <w:rsid w:val="00523B59"/>
    <w:rsid w:val="00567274"/>
    <w:rsid w:val="005D6E97"/>
    <w:rsid w:val="005F3411"/>
    <w:rsid w:val="00645D8A"/>
    <w:rsid w:val="0064654B"/>
    <w:rsid w:val="006A7C3B"/>
    <w:rsid w:val="006D2340"/>
    <w:rsid w:val="006D60E1"/>
    <w:rsid w:val="006F0680"/>
    <w:rsid w:val="00783E07"/>
    <w:rsid w:val="007F5912"/>
    <w:rsid w:val="00813321"/>
    <w:rsid w:val="0085130B"/>
    <w:rsid w:val="00854452"/>
    <w:rsid w:val="00885CFA"/>
    <w:rsid w:val="00911A09"/>
    <w:rsid w:val="009338D1"/>
    <w:rsid w:val="0097780B"/>
    <w:rsid w:val="009D28D6"/>
    <w:rsid w:val="009D48EB"/>
    <w:rsid w:val="009E455A"/>
    <w:rsid w:val="00A0531C"/>
    <w:rsid w:val="00A40F01"/>
    <w:rsid w:val="00A60341"/>
    <w:rsid w:val="00A80BBF"/>
    <w:rsid w:val="00AE181E"/>
    <w:rsid w:val="00B2352D"/>
    <w:rsid w:val="00B4001C"/>
    <w:rsid w:val="00B40937"/>
    <w:rsid w:val="00B631DB"/>
    <w:rsid w:val="00B67623"/>
    <w:rsid w:val="00B85FB4"/>
    <w:rsid w:val="00BC6196"/>
    <w:rsid w:val="00BD1C91"/>
    <w:rsid w:val="00BE70CB"/>
    <w:rsid w:val="00BF0B5C"/>
    <w:rsid w:val="00C00139"/>
    <w:rsid w:val="00C04D75"/>
    <w:rsid w:val="00C15A40"/>
    <w:rsid w:val="00C22D6D"/>
    <w:rsid w:val="00C35AD1"/>
    <w:rsid w:val="00C50816"/>
    <w:rsid w:val="00C845D5"/>
    <w:rsid w:val="00C91B9B"/>
    <w:rsid w:val="00CB412E"/>
    <w:rsid w:val="00CD51D3"/>
    <w:rsid w:val="00CF5BEE"/>
    <w:rsid w:val="00D103D7"/>
    <w:rsid w:val="00D404FB"/>
    <w:rsid w:val="00D75340"/>
    <w:rsid w:val="00D920C7"/>
    <w:rsid w:val="00DB4B6E"/>
    <w:rsid w:val="00DC25D9"/>
    <w:rsid w:val="00DF18D3"/>
    <w:rsid w:val="00E117BF"/>
    <w:rsid w:val="00E12FB2"/>
    <w:rsid w:val="00E178B6"/>
    <w:rsid w:val="00E35EF1"/>
    <w:rsid w:val="00E44EFF"/>
    <w:rsid w:val="00E54033"/>
    <w:rsid w:val="00E61200"/>
    <w:rsid w:val="00EA2210"/>
    <w:rsid w:val="00EB076A"/>
    <w:rsid w:val="00F22F19"/>
    <w:rsid w:val="00F31A17"/>
    <w:rsid w:val="00F85E44"/>
    <w:rsid w:val="00F975CD"/>
    <w:rsid w:val="00FA58D3"/>
    <w:rsid w:val="00FC102E"/>
    <w:rsid w:val="00FC6FBC"/>
    <w:rsid w:val="00FD3E0C"/>
    <w:rsid w:val="00FE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8160E"/>
  <w15:chartTrackingRefBased/>
  <w15:docId w15:val="{DA49EEE0-11B9-4BA5-923A-EBD9D48D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E0C"/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D76"/>
    <w:pPr>
      <w:keepNext/>
      <w:keepLines/>
      <w:spacing w:after="0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033"/>
    <w:pPr>
      <w:keepNext/>
      <w:keepLines/>
      <w:spacing w:before="200" w:after="120"/>
      <w:ind w:left="288" w:right="144"/>
      <w:outlineLvl w:val="1"/>
    </w:pPr>
    <w:rPr>
      <w:rFonts w:ascii="Arial Narrow" w:hAnsi="Arial Narrow" w:cstheme="majorBidi"/>
      <w:b/>
      <w:bCs/>
      <w:color w:val="0E5447" w:themeColor="accent1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D76"/>
    <w:rPr>
      <w:rFonts w:ascii="Arial Narrow" w:eastAsiaTheme="majorEastAsia" w:hAnsi="Arial Narrow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4033"/>
    <w:rPr>
      <w:rFonts w:ascii="Arial Narrow" w:hAnsi="Arial Narrow" w:cstheme="majorBidi"/>
      <w:b/>
      <w:bCs/>
      <w:color w:val="0E5447" w:themeColor="accent1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327AD7"/>
    <w:pPr>
      <w:pBdr>
        <w:bottom w:val="single" w:sz="8" w:space="4" w:color="0E5447" w:themeColor="accent1"/>
      </w:pBdr>
      <w:spacing w:after="300" w:line="240" w:lineRule="auto"/>
      <w:contextualSpacing/>
    </w:pPr>
    <w:rPr>
      <w:rFonts w:ascii="Arial Narrow" w:eastAsiaTheme="majorEastAsia" w:hAnsi="Arial Narrow" w:cstheme="majorBidi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7AD7"/>
    <w:rPr>
      <w:rFonts w:ascii="Arial Narrow" w:eastAsiaTheme="majorEastAsia" w:hAnsi="Arial Narrow" w:cstheme="majorBidi"/>
      <w:spacing w:val="5"/>
      <w:kern w:val="28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AD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AD7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6F0680"/>
    <w:rPr>
      <w:b/>
      <w:bCs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6F0680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27AD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27AD7"/>
    <w:rPr>
      <w:rFonts w:ascii="Arial" w:hAnsi="Arial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7AD7"/>
    <w:pPr>
      <w:pBdr>
        <w:bottom w:val="single" w:sz="4" w:space="4" w:color="0E5447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7AD7"/>
    <w:rPr>
      <w:rFonts w:ascii="Arial" w:hAnsi="Arial"/>
      <w:b/>
      <w:bCs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6F0680"/>
    <w:rPr>
      <w:smallCaps/>
      <w:color w:val="000000" w:themeColor="text1"/>
      <w:u w:val="single"/>
    </w:rPr>
  </w:style>
  <w:style w:type="character" w:styleId="IntenseReference">
    <w:name w:val="Intense Reference"/>
    <w:basedOn w:val="DefaultParagraphFont"/>
    <w:uiPriority w:val="32"/>
    <w:qFormat/>
    <w:rsid w:val="006F0680"/>
    <w:rPr>
      <w:b/>
      <w:bCs/>
      <w:smallCaps/>
      <w:color w:val="000000" w:themeColor="text1"/>
      <w:spacing w:val="5"/>
      <w:u w:val="single"/>
    </w:rPr>
  </w:style>
  <w:style w:type="table" w:customStyle="1" w:styleId="IRStable">
    <w:name w:val="IRS table"/>
    <w:basedOn w:val="TableNormal"/>
    <w:uiPriority w:val="99"/>
    <w:rsid w:val="00FC6FBC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DB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B6E"/>
    <w:rPr>
      <w:rFonts w:ascii="Arial" w:hAnsi="Arial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DB4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B6E"/>
    <w:rPr>
      <w:rFonts w:ascii="Arial" w:hAnsi="Arial"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DB4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TCC">
      <a:dk1>
        <a:sysClr val="windowText" lastClr="000000"/>
      </a:dk1>
      <a:lt1>
        <a:srgbClr val="FFFFFF"/>
      </a:lt1>
      <a:dk2>
        <a:srgbClr val="7F7F7F"/>
      </a:dk2>
      <a:lt2>
        <a:srgbClr val="FBF9F3"/>
      </a:lt2>
      <a:accent1>
        <a:srgbClr val="0E5447"/>
      </a:accent1>
      <a:accent2>
        <a:srgbClr val="F5EAD9"/>
      </a:accent2>
      <a:accent3>
        <a:srgbClr val="FF7540"/>
      </a:accent3>
      <a:accent4>
        <a:srgbClr val="FFA700"/>
      </a:accent4>
      <a:accent5>
        <a:srgbClr val="F6C544"/>
      </a:accent5>
      <a:accent6>
        <a:srgbClr val="B8E0D5"/>
      </a:accent6>
      <a:hlink>
        <a:srgbClr val="0000FF"/>
      </a:hlink>
      <a:folHlink>
        <a:srgbClr val="800080"/>
      </a:folHlink>
    </a:clrScheme>
    <a:fontScheme name="DTCC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931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Sacia, Ian</dc:creator>
  <cp:keywords/>
  <dc:description/>
  <cp:lastModifiedBy>De Sacia, Ian</cp:lastModifiedBy>
  <cp:revision>18</cp:revision>
  <dcterms:created xsi:type="dcterms:W3CDTF">2024-03-18T19:16:00Z</dcterms:created>
  <dcterms:modified xsi:type="dcterms:W3CDTF">2024-03-18T19:37:00Z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4770cc-86a8-4dbd-aec7-670b38aa4b4d_Enabled">
    <vt:lpwstr>true</vt:lpwstr>
  </property>
  <property fmtid="{D5CDD505-2E9C-101B-9397-08002B2CF9AE}" pid="3" name="MSIP_Label_024770cc-86a8-4dbd-aec7-670b38aa4b4d_SetDate">
    <vt:lpwstr>2024-03-18T19:16:29Z</vt:lpwstr>
  </property>
  <property fmtid="{D5CDD505-2E9C-101B-9397-08002B2CF9AE}" pid="4" name="MSIP_Label_024770cc-86a8-4dbd-aec7-670b38aa4b4d_Method">
    <vt:lpwstr>Privileged</vt:lpwstr>
  </property>
  <property fmtid="{D5CDD505-2E9C-101B-9397-08002B2CF9AE}" pid="5" name="MSIP_Label_024770cc-86a8-4dbd-aec7-670b38aa4b4d_Name">
    <vt:lpwstr>024770cc-86a8-4dbd-aec7-670b38aa4b4d</vt:lpwstr>
  </property>
  <property fmtid="{D5CDD505-2E9C-101B-9397-08002B2CF9AE}" pid="6" name="MSIP_Label_024770cc-86a8-4dbd-aec7-670b38aa4b4d_SiteId">
    <vt:lpwstr>0465519d-7f55-4d47-998b-55e2a86f04a8</vt:lpwstr>
  </property>
  <property fmtid="{D5CDD505-2E9C-101B-9397-08002B2CF9AE}" pid="7" name="MSIP_Label_024770cc-86a8-4dbd-aec7-670b38aa4b4d_ActionId">
    <vt:lpwstr>29bfd7e2-497e-410e-a56a-9e61903eddc1</vt:lpwstr>
  </property>
  <property fmtid="{D5CDD505-2E9C-101B-9397-08002B2CF9AE}" pid="8" name="MSIP_Label_024770cc-86a8-4dbd-aec7-670b38aa4b4d_ContentBits">
    <vt:lpwstr>2</vt:lpwstr>
  </property>
</Properties>
</file>