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8F2" w14:textId="77777777" w:rsidR="00416D73" w:rsidRPr="008944FA" w:rsidRDefault="008944FA">
      <w:pPr>
        <w:rPr>
          <w:b/>
          <w:sz w:val="36"/>
          <w:szCs w:val="36"/>
        </w:rPr>
      </w:pPr>
      <w:r w:rsidRPr="008944FA">
        <w:rPr>
          <w:b/>
          <w:sz w:val="36"/>
          <w:szCs w:val="36"/>
        </w:rPr>
        <w:t xml:space="preserve">CA493 </w:t>
      </w:r>
      <w:r>
        <w:rPr>
          <w:b/>
          <w:sz w:val="36"/>
          <w:szCs w:val="36"/>
        </w:rPr>
        <w:t xml:space="preserve">- </w:t>
      </w:r>
      <w:r w:rsidRPr="008944FA">
        <w:rPr>
          <w:b/>
          <w:sz w:val="36"/>
          <w:szCs w:val="36"/>
        </w:rPr>
        <w:t>Repetitive 94a Place of Safekeeping (SAFE) in MT564, MT 535</w:t>
      </w:r>
    </w:p>
    <w:p w14:paraId="09397C0D" w14:textId="77777777" w:rsidR="008944FA" w:rsidRDefault="008944FA"/>
    <w:p w14:paraId="7D58B3EB" w14:textId="77777777" w:rsidR="008944FA" w:rsidRPr="008944FA" w:rsidRDefault="008944FA" w:rsidP="008944FA">
      <w:pPr>
        <w:rPr>
          <w:u w:val="single"/>
        </w:rPr>
      </w:pPr>
      <w:r w:rsidRPr="008944FA">
        <w:rPr>
          <w:u w:val="single"/>
        </w:rPr>
        <w:t>Input from: Mariangela Fumagalli</w:t>
      </w:r>
      <w:r>
        <w:rPr>
          <w:u w:val="single"/>
        </w:rPr>
        <w:t xml:space="preserve"> – April 5, 2021</w:t>
      </w:r>
    </w:p>
    <w:p w14:paraId="4EFB3D39" w14:textId="77777777" w:rsidR="008944FA" w:rsidRDefault="008944FA" w:rsidP="008944FA"/>
    <w:p w14:paraId="1768A17B" w14:textId="77777777" w:rsidR="008944FA" w:rsidRDefault="008944FA" w:rsidP="008944FA">
      <w:r>
        <w:t xml:space="preserve">This is to target the ever more complex scenario of clients using investor CSDs and still wanting to know where the assets are held. As an example, as a global custodian I </w:t>
      </w:r>
      <w:proofErr w:type="gramStart"/>
      <w:r>
        <w:t>safe-keep</w:t>
      </w:r>
      <w:proofErr w:type="gramEnd"/>
      <w:r>
        <w:t xml:space="preserve"> some Banco Santander shares for my client in Germany with my German sub-custodian which has them deposited with </w:t>
      </w:r>
      <w:proofErr w:type="spellStart"/>
      <w:r>
        <w:t>Clearstream</w:t>
      </w:r>
      <w:proofErr w:type="spellEnd"/>
      <w:r>
        <w:t xml:space="preserve"> Frankfurt which has them sub-deposited with </w:t>
      </w:r>
      <w:proofErr w:type="spellStart"/>
      <w:r>
        <w:t>Clearstream</w:t>
      </w:r>
      <w:proofErr w:type="spellEnd"/>
      <w:r>
        <w:t xml:space="preserve"> Banking Lux.</w:t>
      </w:r>
    </w:p>
    <w:p w14:paraId="2407A322" w14:textId="77777777" w:rsidR="008944FA" w:rsidRDefault="008944FA" w:rsidP="008944FA"/>
    <w:p w14:paraId="540A12B6" w14:textId="77777777" w:rsidR="008944FA" w:rsidRDefault="008944FA" w:rsidP="008944FA">
      <w:r>
        <w:t xml:space="preserve">In our current scenario, I can only report the BIC of my German sub-custodian as place of </w:t>
      </w:r>
      <w:proofErr w:type="gramStart"/>
      <w:r>
        <w:t>safekeeping</w:t>
      </w:r>
      <w:proofErr w:type="gramEnd"/>
      <w:r>
        <w:t xml:space="preserve"> but this is not enough for my client to understand that the shares are actually in CBL. By making SAFE repetitive, we could provide a better reporting.</w:t>
      </w:r>
    </w:p>
    <w:p w14:paraId="217CB546" w14:textId="77777777" w:rsidR="008944FA" w:rsidRDefault="008944FA" w:rsidP="008944FA"/>
    <w:p w14:paraId="4842FA26" w14:textId="77777777" w:rsidR="008944FA" w:rsidRDefault="008944FA" w:rsidP="008944FA">
      <w:r>
        <w:t>This has an impact on both MT535 and MT564 messages.</w:t>
      </w:r>
    </w:p>
    <w:p w14:paraId="4C8354BA" w14:textId="77777777" w:rsidR="008944FA" w:rsidRDefault="008944FA" w:rsidP="008944FA"/>
    <w:p w14:paraId="65564400" w14:textId="77777777" w:rsidR="008944FA" w:rsidRPr="008944FA" w:rsidRDefault="008944FA" w:rsidP="008944FA">
      <w:pPr>
        <w:rPr>
          <w:u w:val="single"/>
        </w:rPr>
      </w:pPr>
      <w:r>
        <w:rPr>
          <w:u w:val="single"/>
        </w:rPr>
        <w:t>Initial answer f</w:t>
      </w:r>
      <w:r w:rsidRPr="008944FA">
        <w:rPr>
          <w:u w:val="single"/>
        </w:rPr>
        <w:t>rom Robin Leary</w:t>
      </w:r>
    </w:p>
    <w:p w14:paraId="397BAB70" w14:textId="77777777" w:rsidR="008944FA" w:rsidRDefault="008944FA"/>
    <w:p w14:paraId="586CAFB1" w14:textId="77777777" w:rsidR="008944FA" w:rsidRDefault="008944FA" w:rsidP="008944FA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So</w:t>
      </w:r>
      <w:proofErr w:type="gramEnd"/>
      <w:r>
        <w:rPr>
          <w:rFonts w:ascii="Segoe UI" w:hAnsi="Segoe UI" w:cs="Segoe UI"/>
        </w:rPr>
        <w:t xml:space="preserve"> a client wants to see at every step where the securities are held and not just where they’re safekept from a client perspective?</w:t>
      </w:r>
    </w:p>
    <w:p w14:paraId="5C9D087E" w14:textId="77777777" w:rsidR="008944FA" w:rsidRDefault="008944FA" w:rsidP="008944FA">
      <w:pPr>
        <w:rPr>
          <w:rFonts w:ascii="Segoe UI" w:hAnsi="Segoe UI" w:cs="Segoe UI"/>
        </w:rPr>
      </w:pPr>
    </w:p>
    <w:p w14:paraId="0F5BB8E5" w14:textId="77777777" w:rsidR="008944FA" w:rsidRDefault="008944FA" w:rsidP="008944FA">
      <w:pPr>
        <w:rPr>
          <w:rFonts w:ascii="Segoe UI" w:hAnsi="Segoe UI" w:cs="Segoe UI"/>
        </w:rPr>
      </w:pPr>
      <w:commentRangeStart w:id="0"/>
      <w:r>
        <w:rPr>
          <w:rFonts w:ascii="Segoe UI" w:hAnsi="Segoe UI" w:cs="Segoe UI"/>
        </w:rPr>
        <w:t>It ties in, in a way, to some discussions we’re having around what is the correct BIC (if using 94F) to populate in different circumstances. Taking the MT535 as an example, technically an IM going through a GC should have the sub-custodian as the PSAFE on the statement from the GC to IM.</w:t>
      </w:r>
      <w:commentRangeEnd w:id="0"/>
      <w:r w:rsidR="00A53DBE">
        <w:rPr>
          <w:rStyle w:val="CommentReference"/>
        </w:rPr>
        <w:commentReference w:id="0"/>
      </w:r>
    </w:p>
    <w:p w14:paraId="4CD0EAFA" w14:textId="77777777" w:rsidR="008944FA" w:rsidRDefault="008944FA" w:rsidP="008944FA">
      <w:pPr>
        <w:rPr>
          <w:rFonts w:ascii="Segoe UI" w:hAnsi="Segoe UI" w:cs="Segoe UI"/>
        </w:rPr>
      </w:pPr>
    </w:p>
    <w:p w14:paraId="05D36518" w14:textId="77777777" w:rsidR="008944FA" w:rsidRDefault="008944FA" w:rsidP="008944FA">
      <w:pPr>
        <w:rPr>
          <w:rFonts w:ascii="Segoe UI" w:hAnsi="Segoe UI" w:cs="Segoe UI"/>
        </w:rPr>
      </w:pPr>
      <w:r>
        <w:rPr>
          <w:rFonts w:ascii="Segoe UI" w:hAnsi="Segoe UI" w:cs="Segoe UI"/>
        </w:rPr>
        <w:t>The PSAFE on a MT535 from a sub-custodian to the GC would be the CSD. And, using the below example, the MT535 from the CSD to the sub-custodian should have the ICSD.</w:t>
      </w:r>
    </w:p>
    <w:p w14:paraId="19DA0F41" w14:textId="77777777" w:rsidR="008944FA" w:rsidRDefault="008944FA" w:rsidP="008944FA">
      <w:pPr>
        <w:rPr>
          <w:rFonts w:ascii="Segoe UI" w:hAnsi="Segoe UI" w:cs="Segoe UI"/>
        </w:rPr>
      </w:pPr>
    </w:p>
    <w:p w14:paraId="5D87F9AB" w14:textId="77777777" w:rsidR="008944FA" w:rsidRDefault="008944FA" w:rsidP="008944FA">
      <w:pPr>
        <w:rPr>
          <w:rFonts w:ascii="Segoe UI" w:hAnsi="Segoe UI" w:cs="Segoe UI"/>
        </w:rPr>
      </w:pPr>
      <w:r>
        <w:rPr>
          <w:rFonts w:ascii="Segoe UI" w:hAnsi="Segoe UI" w:cs="Segoe UI"/>
        </w:rPr>
        <w:t>We’re not really seeing any asks for that level of detail in the statements or CA messages and any asks are more around which BIC so go in (</w:t>
      </w:r>
      <w:proofErr w:type="spellStart"/>
      <w:proofErr w:type="gramStart"/>
      <w:r>
        <w:rPr>
          <w:rFonts w:ascii="Segoe UI" w:hAnsi="Segoe UI" w:cs="Segoe UI"/>
        </w:rPr>
        <w:t>eg</w:t>
      </w:r>
      <w:proofErr w:type="spellEnd"/>
      <w:proofErr w:type="gramEnd"/>
      <w:r>
        <w:rPr>
          <w:rFonts w:ascii="Segoe UI" w:hAnsi="Segoe UI" w:cs="Segoe UI"/>
        </w:rPr>
        <w:t xml:space="preserve"> some IM’s want to see the CSD BIC and others the sub-custodian BIC) unless there’s something I’m not hearing about but sounds like it’s similar, in a way, to the Settlement Party structure in MT54x messages.</w:t>
      </w:r>
    </w:p>
    <w:p w14:paraId="4481F2C8" w14:textId="77777777" w:rsidR="008944FA" w:rsidRDefault="008944FA" w:rsidP="008944FA">
      <w:pPr>
        <w:rPr>
          <w:rFonts w:ascii="Segoe UI" w:hAnsi="Segoe UI" w:cs="Segoe UI"/>
        </w:rPr>
      </w:pPr>
    </w:p>
    <w:p w14:paraId="484BBE71" w14:textId="77777777" w:rsidR="008944FA" w:rsidRDefault="008944FA" w:rsidP="008944FA">
      <w:pPr>
        <w:rPr>
          <w:rFonts w:ascii="Segoe UI" w:hAnsi="Segoe UI" w:cs="Segoe UI"/>
        </w:rPr>
      </w:pPr>
      <w:r>
        <w:rPr>
          <w:rFonts w:ascii="Segoe UI" w:hAnsi="Segoe UI" w:cs="Segoe UI"/>
        </w:rPr>
        <w:t>I’ve no objections as such around the ask (other than it may lead to requests we don’t see at the moment which could lead to quite a complex development depending on what information different clients want to see) but if we go down the route of raising a CR, we’d probably need additional Place Codes as well (</w:t>
      </w:r>
      <w:proofErr w:type="spellStart"/>
      <w:r>
        <w:rPr>
          <w:rFonts w:ascii="Segoe UI" w:hAnsi="Segoe UI" w:cs="Segoe UI"/>
        </w:rPr>
        <w:t>eg</w:t>
      </w:r>
      <w:proofErr w:type="spellEnd"/>
      <w:r>
        <w:rPr>
          <w:rFonts w:ascii="Segoe UI" w:hAnsi="Segoe UI" w:cs="Segoe UI"/>
        </w:rPr>
        <w:t xml:space="preserve"> would you use CUST for both the GC and Sub or should a new one be added and the existing one redefined and do we need to the same number of levels as the settlement instructions in case of intermediaries?).</w:t>
      </w:r>
    </w:p>
    <w:p w14:paraId="1CD5E273" w14:textId="77777777" w:rsidR="008944FA" w:rsidRDefault="008944FA"/>
    <w:p w14:paraId="545D10BF" w14:textId="77777777" w:rsidR="00CB1D59" w:rsidRDefault="008944FA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Definitely worth</w:t>
      </w:r>
      <w:proofErr w:type="gramEnd"/>
      <w:r>
        <w:rPr>
          <w:rFonts w:ascii="Segoe UI" w:hAnsi="Segoe UI" w:cs="Segoe UI"/>
        </w:rPr>
        <w:t xml:space="preserve"> a discussion though to gauge feedback!</w:t>
      </w:r>
    </w:p>
    <w:p w14:paraId="1158475B" w14:textId="77777777" w:rsidR="00CB1D59" w:rsidRDefault="00CB1D59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02B62AFB" w14:textId="77777777" w:rsidR="00CB1D59" w:rsidRDefault="00CB1D59">
      <w:pPr>
        <w:rPr>
          <w:noProof/>
          <w:lang w:val="en-US"/>
        </w:rPr>
      </w:pPr>
      <w:r>
        <w:rPr>
          <w:noProof/>
          <w:lang w:val="en-US"/>
        </w:rPr>
        <w:lastRenderedPageBreak/>
        <w:t>Illustration of safekeeping options of Royal Dutch A shares.</w:t>
      </w:r>
    </w:p>
    <w:p w14:paraId="219B8626" w14:textId="77777777" w:rsidR="008944FA" w:rsidRDefault="00CB1D59">
      <w:pPr>
        <w:rPr>
          <w:rFonts w:ascii="Segoe UI" w:hAnsi="Segoe UI" w:cs="Segoe UI"/>
        </w:rPr>
      </w:pPr>
      <w:r>
        <w:rPr>
          <w:noProof/>
          <w:lang w:val="en-US"/>
        </w:rPr>
        <w:drawing>
          <wp:inline distT="0" distB="0" distL="0" distR="0" wp14:anchorId="6CA8905C" wp14:editId="19B71475">
            <wp:extent cx="5732145" cy="4773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624AA" w14:textId="77777777" w:rsidR="00CB1D59" w:rsidRDefault="00CB1D59">
      <w:pPr>
        <w:rPr>
          <w:rFonts w:ascii="Segoe UI" w:hAnsi="Segoe UI" w:cs="Segoe UI"/>
        </w:rPr>
      </w:pPr>
    </w:p>
    <w:p w14:paraId="5D697BD3" w14:textId="77777777" w:rsidR="00CB1D59" w:rsidRDefault="00CB1D59" w:rsidP="00CB1D59">
      <w:pPr>
        <w:rPr>
          <w:noProof/>
          <w:lang w:val="en-US"/>
        </w:rPr>
      </w:pPr>
      <w:r>
        <w:rPr>
          <w:noProof/>
          <w:lang w:val="en-US"/>
        </w:rPr>
        <w:t xml:space="preserve">Areas marked yellow are causing issues. </w:t>
      </w:r>
    </w:p>
    <w:p w14:paraId="32C04756" w14:textId="77777777" w:rsidR="00CB1D59" w:rsidRDefault="00CB1D59" w:rsidP="00CB1D59">
      <w:pPr>
        <w:rPr>
          <w:noProof/>
          <w:lang w:val="en-US"/>
        </w:rPr>
      </w:pPr>
      <w:r>
        <w:rPr>
          <w:noProof/>
          <w:lang w:val="en-US"/>
        </w:rPr>
        <w:t>In MT535 we currently only report first level of custodians/CSDs (e.g. EB, CBL and SIX SIS).</w:t>
      </w:r>
      <w:r w:rsidR="00EA23F5">
        <w:rPr>
          <w:noProof/>
          <w:lang w:val="en-US"/>
        </w:rPr>
        <w:t xml:space="preserve"> </w:t>
      </w:r>
    </w:p>
    <w:p w14:paraId="157D877C" w14:textId="77777777" w:rsidR="00EA23F5" w:rsidRDefault="00EA23F5" w:rsidP="00CB1D59">
      <w:pPr>
        <w:rPr>
          <w:noProof/>
          <w:lang w:val="en-US"/>
        </w:rPr>
      </w:pPr>
      <w:r>
        <w:rPr>
          <w:noProof/>
          <w:lang w:val="en-US"/>
        </w:rPr>
        <w:t xml:space="preserve">For the distinct pools of stock their can be differences in the way CA’s are being handled and if clients want do deliver from a specific pool this has to be indicated in the instruction. This can be mandatory in case of  a  cross border instruction towards a domestic market. </w:t>
      </w:r>
    </w:p>
    <w:p w14:paraId="0BC36057" w14:textId="77777777" w:rsidR="00EA23F5" w:rsidRDefault="00EA23F5" w:rsidP="00CB1D59">
      <w:pPr>
        <w:rPr>
          <w:noProof/>
          <w:lang w:val="en-US"/>
        </w:rPr>
      </w:pPr>
      <w:r>
        <w:rPr>
          <w:noProof/>
          <w:lang w:val="en-US"/>
        </w:rPr>
        <w:t xml:space="preserve">Basically we have a need to report the underlying safekeeping. </w:t>
      </w:r>
    </w:p>
    <w:p w14:paraId="6153973C" w14:textId="77777777" w:rsidR="00CB1D59" w:rsidRDefault="00CB1D59" w:rsidP="00CB1D59">
      <w:pPr>
        <w:rPr>
          <w:noProof/>
          <w:lang w:val="en-US"/>
        </w:rPr>
      </w:pPr>
    </w:p>
    <w:p w14:paraId="5EDDCA63" w14:textId="77777777" w:rsidR="00EA23F5" w:rsidRDefault="00EA23F5">
      <w:pPr>
        <w:rPr>
          <w:rFonts w:ascii="Segoe UI" w:hAnsi="Segoe UI" w:cs="Segoe UI"/>
        </w:rPr>
        <w:sectPr w:rsidR="00EA23F5">
          <w:footerReference w:type="default" r:id="rId12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DAA1FE3" w14:textId="77777777" w:rsidR="00EA23F5" w:rsidRDefault="00EA23F5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Theoretical </w:t>
      </w:r>
      <w:proofErr w:type="gramStart"/>
      <w:r>
        <w:rPr>
          <w:rFonts w:ascii="Segoe UI" w:hAnsi="Segoe UI" w:cs="Segoe UI"/>
        </w:rPr>
        <w:t>option  to</w:t>
      </w:r>
      <w:proofErr w:type="gramEnd"/>
      <w:r>
        <w:rPr>
          <w:rFonts w:ascii="Segoe UI" w:hAnsi="Segoe UI" w:cs="Segoe UI"/>
        </w:rPr>
        <w:t xml:space="preserve"> report second level of Safekeeping in MT535: </w:t>
      </w:r>
    </w:p>
    <w:p w14:paraId="02964533" w14:textId="77777777" w:rsidR="00EA23F5" w:rsidRDefault="00EA23F5">
      <w:pPr>
        <w:rPr>
          <w:rFonts w:ascii="Segoe UI" w:hAnsi="Segoe UI" w:cs="Segoe UI"/>
        </w:rPr>
      </w:pPr>
    </w:p>
    <w:tbl>
      <w:tblPr>
        <w:tblW w:w="1310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42"/>
        <w:gridCol w:w="3227"/>
        <w:gridCol w:w="3227"/>
        <w:gridCol w:w="105"/>
        <w:gridCol w:w="3227"/>
        <w:gridCol w:w="105"/>
        <w:gridCol w:w="49"/>
        <w:gridCol w:w="2729"/>
        <w:gridCol w:w="64"/>
        <w:gridCol w:w="41"/>
        <w:gridCol w:w="49"/>
      </w:tblGrid>
      <w:tr w:rsidR="00EA23F5" w14:paraId="36DBED93" w14:textId="77777777" w:rsidTr="00914DA3">
        <w:trPr>
          <w:trHeight w:val="230"/>
        </w:trPr>
        <w:tc>
          <w:tcPr>
            <w:tcW w:w="3511" w:type="dxa"/>
            <w:gridSpan w:val="3"/>
          </w:tcPr>
          <w:p w14:paraId="59E96136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Activity flag (sequence A)</w:t>
            </w:r>
          </w:p>
        </w:tc>
        <w:tc>
          <w:tcPr>
            <w:tcW w:w="3332" w:type="dxa"/>
            <w:gridSpan w:val="2"/>
          </w:tcPr>
          <w:p w14:paraId="69432A7C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:17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ACTI//Y</w:t>
            </w:r>
          </w:p>
        </w:tc>
        <w:tc>
          <w:tcPr>
            <w:tcW w:w="3381" w:type="dxa"/>
            <w:gridSpan w:val="3"/>
          </w:tcPr>
          <w:p w14:paraId="50C1CE08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:17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ACTI//Y</w:t>
            </w:r>
          </w:p>
        </w:tc>
        <w:tc>
          <w:tcPr>
            <w:tcW w:w="2883" w:type="dxa"/>
            <w:gridSpan w:val="4"/>
            <w:vMerge w:val="restart"/>
            <w:tcBorders>
              <w:top w:val="nil"/>
              <w:right w:val="nil"/>
            </w:tcBorders>
          </w:tcPr>
          <w:p w14:paraId="3609F3D4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A23F5" w14:paraId="1ABB801E" w14:textId="77777777" w:rsidTr="00914DA3">
        <w:trPr>
          <w:trHeight w:val="230"/>
        </w:trPr>
        <w:tc>
          <w:tcPr>
            <w:tcW w:w="3511" w:type="dxa"/>
            <w:gridSpan w:val="3"/>
          </w:tcPr>
          <w:p w14:paraId="2E35E6E9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Sub-account statement flag</w:t>
            </w:r>
          </w:p>
        </w:tc>
        <w:tc>
          <w:tcPr>
            <w:tcW w:w="3332" w:type="dxa"/>
            <w:gridSpan w:val="2"/>
          </w:tcPr>
          <w:p w14:paraId="64E84F8F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:17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CONS//N</w:t>
            </w:r>
          </w:p>
        </w:tc>
        <w:tc>
          <w:tcPr>
            <w:tcW w:w="3381" w:type="dxa"/>
            <w:gridSpan w:val="3"/>
          </w:tcPr>
          <w:p w14:paraId="3F4115C3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:17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CONS//N</w:t>
            </w:r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3EECBA7F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64B4424B" w14:textId="77777777" w:rsidTr="00914DA3">
        <w:trPr>
          <w:trHeight w:val="230"/>
        </w:trPr>
        <w:tc>
          <w:tcPr>
            <w:tcW w:w="3511" w:type="dxa"/>
            <w:gridSpan w:val="3"/>
            <w:shd w:val="clear" w:color="auto" w:fill="DFDFDF"/>
          </w:tcPr>
          <w:p w14:paraId="262EBA8B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 of general sequence A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69B73073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S:GENL</w:t>
            </w:r>
            <w:proofErr w:type="gramEnd"/>
          </w:p>
        </w:tc>
        <w:tc>
          <w:tcPr>
            <w:tcW w:w="3381" w:type="dxa"/>
            <w:gridSpan w:val="3"/>
          </w:tcPr>
          <w:p w14:paraId="33CA9055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S:GENL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7D0FDD93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001A3107" w14:textId="77777777" w:rsidTr="00914DA3">
        <w:trPr>
          <w:trHeight w:val="230"/>
        </w:trPr>
        <w:tc>
          <w:tcPr>
            <w:tcW w:w="3511" w:type="dxa"/>
            <w:gridSpan w:val="3"/>
            <w:shd w:val="clear" w:color="auto" w:fill="DFDFDF"/>
          </w:tcPr>
          <w:p w14:paraId="726014AE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Start of sub-safekeeping a/c seq. 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6B064474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R:SUBSAFE</w:t>
            </w:r>
            <w:proofErr w:type="gramEnd"/>
          </w:p>
        </w:tc>
        <w:tc>
          <w:tcPr>
            <w:tcW w:w="3381" w:type="dxa"/>
            <w:gridSpan w:val="3"/>
          </w:tcPr>
          <w:p w14:paraId="6A7D100C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R:SUBSAFE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5ADD8A94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405969A3" w14:textId="77777777" w:rsidTr="00914DA3">
        <w:trPr>
          <w:trHeight w:val="366"/>
        </w:trPr>
        <w:tc>
          <w:tcPr>
            <w:tcW w:w="3511" w:type="dxa"/>
            <w:gridSpan w:val="3"/>
          </w:tcPr>
          <w:p w14:paraId="07D7842E" w14:textId="77777777" w:rsidR="00EA23F5" w:rsidRDefault="00EA23F5" w:rsidP="00914DA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Place of safekeeping</w:t>
            </w:r>
          </w:p>
        </w:tc>
        <w:tc>
          <w:tcPr>
            <w:tcW w:w="3332" w:type="dxa"/>
            <w:gridSpan w:val="2"/>
          </w:tcPr>
          <w:p w14:paraId="71F699BF" w14:textId="77777777" w:rsidR="00EA23F5" w:rsidRDefault="00EA23F5" w:rsidP="00914DA3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:94</w:t>
            </w:r>
            <w:proofErr w:type="gramStart"/>
            <w:r>
              <w:rPr>
                <w:b/>
                <w:sz w:val="20"/>
              </w:rPr>
              <w:t>F::</w:t>
            </w:r>
            <w:proofErr w:type="gramEnd"/>
            <w:r>
              <w:rPr>
                <w:b/>
                <w:sz w:val="20"/>
              </w:rPr>
              <w:t>SAFE//NCSD/NCSD11XX</w:t>
            </w:r>
          </w:p>
        </w:tc>
        <w:tc>
          <w:tcPr>
            <w:tcW w:w="3381" w:type="dxa"/>
            <w:gridSpan w:val="3"/>
          </w:tcPr>
          <w:p w14:paraId="1C753615" w14:textId="77777777" w:rsidR="00EA23F5" w:rsidRDefault="00EA23F5" w:rsidP="00914DA3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:94</w:t>
            </w:r>
            <w:proofErr w:type="gramStart"/>
            <w:r>
              <w:rPr>
                <w:b/>
                <w:sz w:val="20"/>
              </w:rPr>
              <w:t>F::</w:t>
            </w:r>
            <w:proofErr w:type="gramEnd"/>
            <w:r>
              <w:rPr>
                <w:b/>
                <w:sz w:val="20"/>
              </w:rPr>
              <w:t>SAFE//NCSD/NCSD11XX</w:t>
            </w:r>
          </w:p>
        </w:tc>
        <w:tc>
          <w:tcPr>
            <w:tcW w:w="2793" w:type="dxa"/>
            <w:gridSpan w:val="2"/>
          </w:tcPr>
          <w:p w14:paraId="57A87801" w14:textId="77777777" w:rsidR="00EA23F5" w:rsidRDefault="00EA23F5" w:rsidP="00914DA3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All FIN sequences B1 following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</w:p>
          <w:p w14:paraId="751096ED" w14:textId="77777777" w:rsidR="00EA23F5" w:rsidRDefault="00EA23F5" w:rsidP="00914DA3">
            <w:pPr>
              <w:pStyle w:val="TableParagraph"/>
              <w:spacing w:before="1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NCSD11XX for place of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safekeeping</w:t>
            </w:r>
          </w:p>
        </w:tc>
        <w:tc>
          <w:tcPr>
            <w:tcW w:w="90" w:type="dxa"/>
            <w:gridSpan w:val="2"/>
            <w:tcBorders>
              <w:top w:val="nil"/>
              <w:bottom w:val="nil"/>
              <w:right w:val="nil"/>
            </w:tcBorders>
          </w:tcPr>
          <w:p w14:paraId="187AF6C4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A23F5" w14:paraId="20E3DAB9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left w:val="nil"/>
              <w:bottom w:val="nil"/>
            </w:tcBorders>
          </w:tcPr>
          <w:p w14:paraId="4136610A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  <w:shd w:val="clear" w:color="auto" w:fill="DFDFDF"/>
          </w:tcPr>
          <w:p w14:paraId="5E3599C4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Start of Financial instr.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4958EBF0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R:FIN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73603A10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R:FIN</w:t>
            </w:r>
            <w:proofErr w:type="gramEnd"/>
          </w:p>
        </w:tc>
        <w:tc>
          <w:tcPr>
            <w:tcW w:w="2883" w:type="dxa"/>
            <w:gridSpan w:val="4"/>
            <w:vMerge w:val="restart"/>
            <w:tcBorders>
              <w:right w:val="nil"/>
            </w:tcBorders>
          </w:tcPr>
          <w:p w14:paraId="4DA07CE2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A23F5" w14:paraId="721E29BC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04A9EE8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</w:tcPr>
          <w:p w14:paraId="29BF10DC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Identification of the financial inst.</w:t>
            </w:r>
          </w:p>
        </w:tc>
        <w:tc>
          <w:tcPr>
            <w:tcW w:w="3332" w:type="dxa"/>
            <w:gridSpan w:val="2"/>
          </w:tcPr>
          <w:p w14:paraId="21F694F3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:35</w:t>
            </w:r>
            <w:proofErr w:type="gramStart"/>
            <w:r>
              <w:rPr>
                <w:sz w:val="20"/>
              </w:rPr>
              <w:t>B:ISIN</w:t>
            </w:r>
            <w:proofErr w:type="gramEnd"/>
            <w:r>
              <w:rPr>
                <w:sz w:val="20"/>
              </w:rPr>
              <w:t xml:space="preserve"> XX1234567890</w:t>
            </w:r>
          </w:p>
        </w:tc>
        <w:tc>
          <w:tcPr>
            <w:tcW w:w="3332" w:type="dxa"/>
            <w:gridSpan w:val="2"/>
          </w:tcPr>
          <w:p w14:paraId="0BBCFDA1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:35</w:t>
            </w:r>
            <w:proofErr w:type="gramStart"/>
            <w:r>
              <w:rPr>
                <w:sz w:val="20"/>
              </w:rPr>
              <w:t>B:ISIN</w:t>
            </w:r>
            <w:proofErr w:type="gramEnd"/>
            <w:r>
              <w:rPr>
                <w:sz w:val="20"/>
              </w:rPr>
              <w:t xml:space="preserve"> XX1234567890</w:t>
            </w:r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6C5ACAAC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3F6D9DDF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A33F7E1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</w:tcPr>
          <w:p w14:paraId="06B9197B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Aggregate balance</w:t>
            </w:r>
          </w:p>
        </w:tc>
        <w:tc>
          <w:tcPr>
            <w:tcW w:w="3332" w:type="dxa"/>
            <w:gridSpan w:val="2"/>
          </w:tcPr>
          <w:p w14:paraId="061333A4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AGGR//UNIT/33000,</w:t>
            </w:r>
          </w:p>
        </w:tc>
        <w:tc>
          <w:tcPr>
            <w:tcW w:w="3332" w:type="dxa"/>
            <w:gridSpan w:val="2"/>
          </w:tcPr>
          <w:p w14:paraId="29B0D7A5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AGGR//UNIT/33000,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004DB035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5356E866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B4E4BD4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</w:tcPr>
          <w:p w14:paraId="35BFE7BF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Available balance</w:t>
            </w:r>
          </w:p>
        </w:tc>
        <w:tc>
          <w:tcPr>
            <w:tcW w:w="3332" w:type="dxa"/>
            <w:gridSpan w:val="2"/>
          </w:tcPr>
          <w:p w14:paraId="1E2A5B3D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AVAI//UNIT/24000,</w:t>
            </w:r>
          </w:p>
        </w:tc>
        <w:tc>
          <w:tcPr>
            <w:tcW w:w="3332" w:type="dxa"/>
            <w:gridSpan w:val="2"/>
          </w:tcPr>
          <w:p w14:paraId="59FAE643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AVAI//UNIT/24000,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09606D89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2949DBF3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81E83C5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</w:tcPr>
          <w:p w14:paraId="55B1F9ED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Unavailable balance</w:t>
            </w:r>
          </w:p>
        </w:tc>
        <w:tc>
          <w:tcPr>
            <w:tcW w:w="3332" w:type="dxa"/>
            <w:gridSpan w:val="2"/>
          </w:tcPr>
          <w:p w14:paraId="27CDDF60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NAVL//UNIT/9000,</w:t>
            </w:r>
          </w:p>
        </w:tc>
        <w:tc>
          <w:tcPr>
            <w:tcW w:w="3332" w:type="dxa"/>
            <w:gridSpan w:val="2"/>
          </w:tcPr>
          <w:p w14:paraId="1FFF3D65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NAVL//UNIT/9000,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1DE3052A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47B92A86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 w:val="restart"/>
            <w:tcBorders>
              <w:left w:val="nil"/>
              <w:bottom w:val="nil"/>
            </w:tcBorders>
          </w:tcPr>
          <w:p w14:paraId="1187BBE4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27" w:type="dxa"/>
            <w:shd w:val="clear" w:color="auto" w:fill="DFDFDF"/>
          </w:tcPr>
          <w:p w14:paraId="1F3FDFAA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Start of Sub-balance.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70743B52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R:SUBBAL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3614AC54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R:SUBBAL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5223EFF3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0043122F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5A12A14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32D7FB1D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Sub-balance use example</w:t>
            </w:r>
          </w:p>
        </w:tc>
        <w:tc>
          <w:tcPr>
            <w:tcW w:w="3332" w:type="dxa"/>
            <w:gridSpan w:val="2"/>
          </w:tcPr>
          <w:p w14:paraId="22C943B4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C::</w:t>
            </w:r>
            <w:proofErr w:type="gramEnd"/>
            <w:r>
              <w:rPr>
                <w:sz w:val="20"/>
              </w:rPr>
              <w:t>BLOK//UNIT/NAVL/9000,</w:t>
            </w:r>
          </w:p>
        </w:tc>
        <w:tc>
          <w:tcPr>
            <w:tcW w:w="3332" w:type="dxa"/>
            <w:gridSpan w:val="2"/>
          </w:tcPr>
          <w:p w14:paraId="1E3724C3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C::</w:t>
            </w:r>
            <w:proofErr w:type="gramEnd"/>
            <w:r>
              <w:rPr>
                <w:sz w:val="20"/>
              </w:rPr>
              <w:t>BLOK//UNIT/NAVL/9000,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448A148C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0EDE33A1" w14:textId="77777777" w:rsidTr="00914DA3">
        <w:trPr>
          <w:gridAfter w:val="3"/>
          <w:wAfter w:w="154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1D47F4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14:paraId="065E1BEF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27" w:type="dxa"/>
            <w:shd w:val="clear" w:color="auto" w:fill="DFDFDF"/>
          </w:tcPr>
          <w:p w14:paraId="63625BD7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S:SUBBAL</w:t>
            </w:r>
            <w:proofErr w:type="gramEnd"/>
          </w:p>
        </w:tc>
        <w:tc>
          <w:tcPr>
            <w:tcW w:w="3227" w:type="dxa"/>
            <w:shd w:val="clear" w:color="auto" w:fill="DFDFDF"/>
          </w:tcPr>
          <w:p w14:paraId="4F6A33E7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End of Sub-balance.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3855F4DE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S:SUBBAL</w:t>
            </w:r>
            <w:proofErr w:type="gramEnd"/>
          </w:p>
        </w:tc>
        <w:tc>
          <w:tcPr>
            <w:tcW w:w="2883" w:type="dxa"/>
            <w:gridSpan w:val="3"/>
            <w:tcBorders>
              <w:top w:val="nil"/>
              <w:right w:val="nil"/>
            </w:tcBorders>
          </w:tcPr>
          <w:p w14:paraId="549FBB38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6DEB7F52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D6F6A9F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  <w:shd w:val="clear" w:color="auto" w:fill="DFDFDF"/>
          </w:tcPr>
          <w:p w14:paraId="365A4C60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End of Financial instr.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4130C708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S:FIN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075054AD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S:FIN</w:t>
            </w:r>
            <w:proofErr w:type="gramEnd"/>
          </w:p>
        </w:tc>
        <w:tc>
          <w:tcPr>
            <w:tcW w:w="2883" w:type="dxa"/>
            <w:gridSpan w:val="4"/>
            <w:vMerge w:val="restart"/>
            <w:tcBorders>
              <w:top w:val="nil"/>
              <w:right w:val="nil"/>
            </w:tcBorders>
          </w:tcPr>
          <w:p w14:paraId="2FCD315D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170E7569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E805204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  <w:shd w:val="clear" w:color="auto" w:fill="DFDFDF"/>
          </w:tcPr>
          <w:p w14:paraId="1BD74C94" w14:textId="77777777" w:rsidR="00EA23F5" w:rsidRDefault="00EA23F5" w:rsidP="00914DA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Start of Financial instr.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2DA19D9D" w14:textId="77777777" w:rsidR="00EA23F5" w:rsidRDefault="00EA23F5" w:rsidP="00914DA3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R:FIN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2C284D54" w14:textId="77777777" w:rsidR="00EA23F5" w:rsidRDefault="00EA23F5" w:rsidP="00914DA3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R:FIN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212B5952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79687054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0BAEFB9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</w:tcPr>
          <w:p w14:paraId="3E8B56FC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Identification of the financial inst.</w:t>
            </w:r>
          </w:p>
        </w:tc>
        <w:tc>
          <w:tcPr>
            <w:tcW w:w="3332" w:type="dxa"/>
            <w:gridSpan w:val="2"/>
          </w:tcPr>
          <w:p w14:paraId="0294E608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:35</w:t>
            </w:r>
            <w:proofErr w:type="gramStart"/>
            <w:r>
              <w:rPr>
                <w:sz w:val="20"/>
              </w:rPr>
              <w:t>B:ISIN</w:t>
            </w:r>
            <w:proofErr w:type="gramEnd"/>
            <w:r>
              <w:rPr>
                <w:sz w:val="20"/>
              </w:rPr>
              <w:t xml:space="preserve"> XX1234567891</w:t>
            </w:r>
          </w:p>
        </w:tc>
        <w:tc>
          <w:tcPr>
            <w:tcW w:w="3332" w:type="dxa"/>
            <w:gridSpan w:val="2"/>
          </w:tcPr>
          <w:p w14:paraId="25496446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:35</w:t>
            </w:r>
            <w:proofErr w:type="gramStart"/>
            <w:r>
              <w:rPr>
                <w:sz w:val="20"/>
              </w:rPr>
              <w:t>B:ISIN</w:t>
            </w:r>
            <w:proofErr w:type="gramEnd"/>
            <w:r>
              <w:rPr>
                <w:sz w:val="20"/>
              </w:rPr>
              <w:t xml:space="preserve"> XX1234567891</w:t>
            </w:r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0B98A116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5361F6D0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6AA2E38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</w:tcPr>
          <w:p w14:paraId="39BBDCCE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Aggregate balance</w:t>
            </w:r>
          </w:p>
        </w:tc>
        <w:tc>
          <w:tcPr>
            <w:tcW w:w="3332" w:type="dxa"/>
            <w:gridSpan w:val="2"/>
          </w:tcPr>
          <w:p w14:paraId="7712A918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AGGR//UNIT/20000,</w:t>
            </w:r>
          </w:p>
        </w:tc>
        <w:tc>
          <w:tcPr>
            <w:tcW w:w="3332" w:type="dxa"/>
            <w:gridSpan w:val="2"/>
          </w:tcPr>
          <w:p w14:paraId="21EDEAE4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AGGR//UNIT/20000,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3F58F955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137EE29B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0466798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</w:tcPr>
          <w:p w14:paraId="580130D9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Available balance</w:t>
            </w:r>
          </w:p>
        </w:tc>
        <w:tc>
          <w:tcPr>
            <w:tcW w:w="3332" w:type="dxa"/>
            <w:gridSpan w:val="2"/>
          </w:tcPr>
          <w:p w14:paraId="40BBCDC6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AVAI//UNIT/20000,</w:t>
            </w:r>
          </w:p>
        </w:tc>
        <w:tc>
          <w:tcPr>
            <w:tcW w:w="3332" w:type="dxa"/>
            <w:gridSpan w:val="2"/>
          </w:tcPr>
          <w:p w14:paraId="7FD1EFB4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AVAI//UNIT/20000,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33E5D73C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47B3891D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</w:tcBorders>
          </w:tcPr>
          <w:p w14:paraId="05C80491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  <w:shd w:val="clear" w:color="auto" w:fill="DFDFDF"/>
          </w:tcPr>
          <w:p w14:paraId="6563E140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End of Financial instr.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43C54564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S:FIN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0203F1D0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S:FIN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right w:val="nil"/>
            </w:tcBorders>
          </w:tcPr>
          <w:p w14:paraId="6C605BED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14:paraId="66A82209" w14:textId="77777777" w:rsidTr="00914DA3">
        <w:trPr>
          <w:trHeight w:val="369"/>
        </w:trPr>
        <w:tc>
          <w:tcPr>
            <w:tcW w:w="3511" w:type="dxa"/>
            <w:gridSpan w:val="3"/>
            <w:shd w:val="clear" w:color="auto" w:fill="DFDFDF"/>
          </w:tcPr>
          <w:p w14:paraId="4D9FEB3C" w14:textId="77777777" w:rsidR="00EA23F5" w:rsidRDefault="00EA23F5" w:rsidP="00914DA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End of sub-safekeeping a/c seq. 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0B104480" w14:textId="77777777" w:rsidR="00EA23F5" w:rsidRDefault="00EA23F5" w:rsidP="00914DA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S:SUBSAFE</w:t>
            </w:r>
            <w:proofErr w:type="gramEnd"/>
          </w:p>
        </w:tc>
        <w:tc>
          <w:tcPr>
            <w:tcW w:w="3381" w:type="dxa"/>
            <w:gridSpan w:val="3"/>
          </w:tcPr>
          <w:p w14:paraId="0A20A4F7" w14:textId="77777777" w:rsidR="00EA23F5" w:rsidRDefault="00EA23F5" w:rsidP="00914DA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S:SUBSAFE</w:t>
            </w:r>
            <w:proofErr w:type="gramEnd"/>
          </w:p>
        </w:tc>
        <w:tc>
          <w:tcPr>
            <w:tcW w:w="2883" w:type="dxa"/>
            <w:gridSpan w:val="4"/>
          </w:tcPr>
          <w:p w14:paraId="21654FA1" w14:textId="77777777" w:rsidR="00EA23F5" w:rsidRDefault="00EA23F5" w:rsidP="00914DA3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End of reporting for holdings held at one</w:t>
            </w:r>
          </w:p>
          <w:p w14:paraId="46AC9A4C" w14:textId="77777777" w:rsidR="00EA23F5" w:rsidRDefault="00EA23F5" w:rsidP="00914DA3">
            <w:pPr>
              <w:pStyle w:val="TableParagraph"/>
              <w:spacing w:before="1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CSD.</w:t>
            </w:r>
          </w:p>
        </w:tc>
      </w:tr>
      <w:tr w:rsidR="00EA23F5" w14:paraId="1409BED5" w14:textId="77777777" w:rsidTr="00914DA3">
        <w:trPr>
          <w:trHeight w:val="366"/>
        </w:trPr>
        <w:tc>
          <w:tcPr>
            <w:tcW w:w="3511" w:type="dxa"/>
            <w:gridSpan w:val="3"/>
            <w:shd w:val="clear" w:color="auto" w:fill="DFDFDF"/>
          </w:tcPr>
          <w:p w14:paraId="5B2E9799" w14:textId="77777777" w:rsidR="00EA23F5" w:rsidRDefault="00EA23F5" w:rsidP="00914DA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Start of sub-safekeeping a/c seq. 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257AAABD" w14:textId="77777777" w:rsidR="00EA23F5" w:rsidRDefault="00EA23F5" w:rsidP="00914DA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R:SUBSAFE</w:t>
            </w:r>
            <w:proofErr w:type="gramEnd"/>
          </w:p>
        </w:tc>
        <w:tc>
          <w:tcPr>
            <w:tcW w:w="3381" w:type="dxa"/>
            <w:gridSpan w:val="3"/>
          </w:tcPr>
          <w:p w14:paraId="6DF4EC8C" w14:textId="77777777" w:rsidR="00EA23F5" w:rsidRPr="001E27EC" w:rsidRDefault="00EA23F5" w:rsidP="00914DA3">
            <w:pPr>
              <w:pStyle w:val="TableParagraph"/>
              <w:spacing w:line="223" w:lineRule="exact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:16</w:t>
            </w:r>
            <w:proofErr w:type="gramStart"/>
            <w:r w:rsidRPr="001E27EC">
              <w:rPr>
                <w:sz w:val="20"/>
                <w:highlight w:val="yellow"/>
              </w:rPr>
              <w:t>R:SUBSAFE</w:t>
            </w:r>
            <w:proofErr w:type="gramEnd"/>
          </w:p>
        </w:tc>
        <w:tc>
          <w:tcPr>
            <w:tcW w:w="2883" w:type="dxa"/>
            <w:gridSpan w:val="4"/>
          </w:tcPr>
          <w:p w14:paraId="6823B988" w14:textId="77777777" w:rsidR="00EA23F5" w:rsidRDefault="00EA23F5" w:rsidP="00914DA3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Start of reporting for holdings with</w:t>
            </w:r>
          </w:p>
          <w:p w14:paraId="3D918E38" w14:textId="77777777" w:rsidR="00EA23F5" w:rsidRDefault="00EA23F5" w:rsidP="00914DA3">
            <w:pPr>
              <w:pStyle w:val="TableParagraph"/>
              <w:spacing w:before="1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multiple places of reporting</w:t>
            </w:r>
          </w:p>
        </w:tc>
      </w:tr>
      <w:tr w:rsidR="00EA23F5" w14:paraId="2F616C2F" w14:textId="77777777" w:rsidTr="00914DA3">
        <w:trPr>
          <w:trHeight w:val="366"/>
        </w:trPr>
        <w:tc>
          <w:tcPr>
            <w:tcW w:w="3511" w:type="dxa"/>
            <w:gridSpan w:val="3"/>
            <w:shd w:val="clear" w:color="auto" w:fill="DFDFDF"/>
          </w:tcPr>
          <w:p w14:paraId="54EAA59A" w14:textId="77777777" w:rsidR="00EA23F5" w:rsidRDefault="00EA23F5" w:rsidP="00914DA3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3332" w:type="dxa"/>
            <w:gridSpan w:val="2"/>
            <w:shd w:val="clear" w:color="auto" w:fill="DFDFDF"/>
          </w:tcPr>
          <w:p w14:paraId="48DFF5F0" w14:textId="77777777" w:rsidR="00EA23F5" w:rsidRDefault="00EA23F5" w:rsidP="00914DA3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3381" w:type="dxa"/>
            <w:gridSpan w:val="3"/>
          </w:tcPr>
          <w:p w14:paraId="52EACEBB" w14:textId="77777777" w:rsidR="00EA23F5" w:rsidRPr="001E27EC" w:rsidRDefault="00EA23F5" w:rsidP="00914DA3">
            <w:pPr>
              <w:pStyle w:val="TableParagraph"/>
              <w:spacing w:line="223" w:lineRule="exact"/>
              <w:ind w:left="106"/>
              <w:rPr>
                <w:sz w:val="20"/>
                <w:highlight w:val="yellow"/>
              </w:rPr>
            </w:pPr>
            <w:r w:rsidRPr="001E27EC">
              <w:rPr>
                <w:b/>
                <w:sz w:val="20"/>
                <w:highlight w:val="yellow"/>
              </w:rPr>
              <w:t>:94</w:t>
            </w:r>
            <w:proofErr w:type="gramStart"/>
            <w:r w:rsidRPr="001E27EC">
              <w:rPr>
                <w:b/>
                <w:sz w:val="20"/>
                <w:highlight w:val="yellow"/>
              </w:rPr>
              <w:t>F::</w:t>
            </w:r>
            <w:proofErr w:type="gramEnd"/>
            <w:r w:rsidRPr="001E27EC">
              <w:rPr>
                <w:b/>
                <w:sz w:val="20"/>
                <w:highlight w:val="yellow"/>
              </w:rPr>
              <w:t>SAFE//ICSD/ICSDLUBE</w:t>
            </w:r>
          </w:p>
        </w:tc>
        <w:tc>
          <w:tcPr>
            <w:tcW w:w="2883" w:type="dxa"/>
            <w:gridSpan w:val="4"/>
          </w:tcPr>
          <w:p w14:paraId="1509ADE8" w14:textId="77777777" w:rsidR="00EA23F5" w:rsidRDefault="00EA23F5" w:rsidP="00914DA3">
            <w:pPr>
              <w:pStyle w:val="TableParagraph"/>
              <w:spacing w:line="178" w:lineRule="exact"/>
              <w:ind w:left="105"/>
              <w:rPr>
                <w:sz w:val="16"/>
              </w:rPr>
            </w:pPr>
          </w:p>
        </w:tc>
      </w:tr>
      <w:tr w:rsidR="00EA23F5" w14:paraId="59D1D85D" w14:textId="77777777" w:rsidTr="00914DA3">
        <w:trPr>
          <w:trHeight w:val="230"/>
        </w:trPr>
        <w:tc>
          <w:tcPr>
            <w:tcW w:w="3511" w:type="dxa"/>
            <w:gridSpan w:val="3"/>
            <w:shd w:val="clear" w:color="auto" w:fill="DFDFDF"/>
          </w:tcPr>
          <w:p w14:paraId="478004D1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Start of Financial instr.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1545932E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R:FIN</w:t>
            </w:r>
            <w:proofErr w:type="gramEnd"/>
          </w:p>
        </w:tc>
        <w:tc>
          <w:tcPr>
            <w:tcW w:w="3381" w:type="dxa"/>
            <w:gridSpan w:val="3"/>
          </w:tcPr>
          <w:p w14:paraId="292C099A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:16</w:t>
            </w:r>
            <w:proofErr w:type="gramStart"/>
            <w:r w:rsidRPr="001E27EC">
              <w:rPr>
                <w:sz w:val="20"/>
                <w:highlight w:val="yellow"/>
              </w:rPr>
              <w:t>R:FIN</w:t>
            </w:r>
            <w:proofErr w:type="gramEnd"/>
          </w:p>
        </w:tc>
        <w:tc>
          <w:tcPr>
            <w:tcW w:w="2883" w:type="dxa"/>
            <w:gridSpan w:val="4"/>
            <w:vMerge w:val="restart"/>
            <w:tcBorders>
              <w:bottom w:val="nil"/>
              <w:right w:val="nil"/>
            </w:tcBorders>
          </w:tcPr>
          <w:p w14:paraId="19793423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A23F5" w14:paraId="57CED0A7" w14:textId="77777777" w:rsidTr="00914DA3">
        <w:trPr>
          <w:trHeight w:val="230"/>
        </w:trPr>
        <w:tc>
          <w:tcPr>
            <w:tcW w:w="3511" w:type="dxa"/>
            <w:gridSpan w:val="3"/>
            <w:shd w:val="clear" w:color="auto" w:fill="DFDFDF"/>
          </w:tcPr>
          <w:p w14:paraId="626643B8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Identification of the financial inst.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0840E52E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:35</w:t>
            </w:r>
            <w:proofErr w:type="gramStart"/>
            <w:r>
              <w:rPr>
                <w:sz w:val="20"/>
              </w:rPr>
              <w:t>B:ISIN</w:t>
            </w:r>
            <w:proofErr w:type="gramEnd"/>
            <w:r>
              <w:rPr>
                <w:sz w:val="20"/>
              </w:rPr>
              <w:t xml:space="preserve"> XX1234567892</w:t>
            </w:r>
          </w:p>
        </w:tc>
        <w:tc>
          <w:tcPr>
            <w:tcW w:w="3381" w:type="dxa"/>
            <w:gridSpan w:val="3"/>
          </w:tcPr>
          <w:p w14:paraId="3CA4C870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:35</w:t>
            </w:r>
            <w:proofErr w:type="gramStart"/>
            <w:r w:rsidRPr="001E27EC">
              <w:rPr>
                <w:sz w:val="20"/>
                <w:highlight w:val="yellow"/>
              </w:rPr>
              <w:t>B:ISIN</w:t>
            </w:r>
            <w:proofErr w:type="gramEnd"/>
            <w:r w:rsidRPr="001E27EC">
              <w:rPr>
                <w:sz w:val="20"/>
                <w:highlight w:val="yellow"/>
              </w:rPr>
              <w:t xml:space="preserve"> XX1234567892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8AA4968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  <w:tr w:rsidR="00EA23F5" w:rsidRPr="001E27EC" w14:paraId="697CD1C8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left w:val="nil"/>
              <w:bottom w:val="nil"/>
            </w:tcBorders>
          </w:tcPr>
          <w:p w14:paraId="34278783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</w:tcPr>
          <w:p w14:paraId="6B867531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Aggregate balance</w:t>
            </w:r>
          </w:p>
        </w:tc>
        <w:tc>
          <w:tcPr>
            <w:tcW w:w="3332" w:type="dxa"/>
            <w:gridSpan w:val="2"/>
          </w:tcPr>
          <w:p w14:paraId="204AD961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AGGR//UNIT/35000,</w:t>
            </w:r>
          </w:p>
        </w:tc>
        <w:tc>
          <w:tcPr>
            <w:tcW w:w="3332" w:type="dxa"/>
            <w:gridSpan w:val="2"/>
          </w:tcPr>
          <w:p w14:paraId="72822C63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:93</w:t>
            </w:r>
            <w:proofErr w:type="gramStart"/>
            <w:r w:rsidRPr="001E27EC">
              <w:rPr>
                <w:sz w:val="20"/>
                <w:highlight w:val="yellow"/>
              </w:rPr>
              <w:t>B::</w:t>
            </w:r>
            <w:proofErr w:type="gramEnd"/>
            <w:r w:rsidRPr="001E27EC">
              <w:rPr>
                <w:sz w:val="20"/>
                <w:highlight w:val="yellow"/>
              </w:rPr>
              <w:t>AGGR//UNIT/35000,</w:t>
            </w:r>
          </w:p>
        </w:tc>
        <w:tc>
          <w:tcPr>
            <w:tcW w:w="2883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06EDBD1E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5D0EB10D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488D419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</w:tcPr>
          <w:p w14:paraId="403DB93F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available balance</w:t>
            </w:r>
          </w:p>
        </w:tc>
        <w:tc>
          <w:tcPr>
            <w:tcW w:w="3332" w:type="dxa"/>
            <w:gridSpan w:val="2"/>
          </w:tcPr>
          <w:p w14:paraId="1AF86A99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AVAI//UNIT/25000,</w:t>
            </w:r>
          </w:p>
        </w:tc>
        <w:tc>
          <w:tcPr>
            <w:tcW w:w="3332" w:type="dxa"/>
            <w:gridSpan w:val="2"/>
          </w:tcPr>
          <w:p w14:paraId="471E38B6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:93</w:t>
            </w:r>
            <w:proofErr w:type="gramStart"/>
            <w:r w:rsidRPr="001E27EC">
              <w:rPr>
                <w:sz w:val="20"/>
                <w:highlight w:val="yellow"/>
              </w:rPr>
              <w:t>B::</w:t>
            </w:r>
            <w:proofErr w:type="gramEnd"/>
            <w:r w:rsidRPr="001E27EC">
              <w:rPr>
                <w:sz w:val="20"/>
                <w:highlight w:val="yellow"/>
              </w:rPr>
              <w:t>AVAI//UNIT/25000,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D7282BE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28766A3F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7AB2DA5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</w:tcPr>
          <w:p w14:paraId="1D02D854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not available balance</w:t>
            </w:r>
          </w:p>
        </w:tc>
        <w:tc>
          <w:tcPr>
            <w:tcW w:w="3332" w:type="dxa"/>
            <w:gridSpan w:val="2"/>
          </w:tcPr>
          <w:p w14:paraId="1131C9A3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NAVL//UNIT/10000,</w:t>
            </w:r>
          </w:p>
        </w:tc>
        <w:tc>
          <w:tcPr>
            <w:tcW w:w="3332" w:type="dxa"/>
            <w:gridSpan w:val="2"/>
          </w:tcPr>
          <w:p w14:paraId="3E1131C1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:93</w:t>
            </w:r>
            <w:proofErr w:type="gramStart"/>
            <w:r w:rsidRPr="001E27EC">
              <w:rPr>
                <w:sz w:val="20"/>
                <w:highlight w:val="yellow"/>
              </w:rPr>
              <w:t>B::</w:t>
            </w:r>
            <w:proofErr w:type="gramEnd"/>
            <w:r w:rsidRPr="001E27EC">
              <w:rPr>
                <w:sz w:val="20"/>
                <w:highlight w:val="yellow"/>
              </w:rPr>
              <w:t>NAVL//UNIT/10000,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4AE9427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4A966D32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 w:val="restart"/>
            <w:tcBorders>
              <w:left w:val="nil"/>
              <w:bottom w:val="nil"/>
            </w:tcBorders>
          </w:tcPr>
          <w:p w14:paraId="61D6B0B3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27" w:type="dxa"/>
            <w:shd w:val="clear" w:color="auto" w:fill="DFDFDF"/>
          </w:tcPr>
          <w:p w14:paraId="0445BD9D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Start of Sub-balance.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0287E9CF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R:SUBBAL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33215F66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:16</w:t>
            </w:r>
            <w:proofErr w:type="gramStart"/>
            <w:r w:rsidRPr="001E27EC">
              <w:rPr>
                <w:sz w:val="20"/>
                <w:highlight w:val="yellow"/>
              </w:rPr>
              <w:t>R:SUBBAL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255A48D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0B70BAFF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7E7E4F2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6646B9DB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Aggregate balance</w:t>
            </w:r>
          </w:p>
        </w:tc>
        <w:tc>
          <w:tcPr>
            <w:tcW w:w="3332" w:type="dxa"/>
            <w:gridSpan w:val="2"/>
          </w:tcPr>
          <w:p w14:paraId="4254EB43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AGGR//UNIT/10000,</w:t>
            </w:r>
          </w:p>
        </w:tc>
        <w:tc>
          <w:tcPr>
            <w:tcW w:w="3332" w:type="dxa"/>
            <w:gridSpan w:val="2"/>
          </w:tcPr>
          <w:p w14:paraId="4ED247F9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:93</w:t>
            </w:r>
            <w:proofErr w:type="gramStart"/>
            <w:r w:rsidRPr="001E27EC">
              <w:rPr>
                <w:sz w:val="20"/>
                <w:highlight w:val="yellow"/>
              </w:rPr>
              <w:t>B::</w:t>
            </w:r>
            <w:proofErr w:type="gramEnd"/>
            <w:r w:rsidRPr="001E27EC">
              <w:rPr>
                <w:sz w:val="20"/>
                <w:highlight w:val="yellow"/>
              </w:rPr>
              <w:t>AGGR//UNIT/10000,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420051A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35938A53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EC2888C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07FD60BE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available balance</w:t>
            </w:r>
          </w:p>
        </w:tc>
        <w:tc>
          <w:tcPr>
            <w:tcW w:w="3332" w:type="dxa"/>
            <w:gridSpan w:val="2"/>
          </w:tcPr>
          <w:p w14:paraId="1E75127F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AVAI//UNIT/5000,</w:t>
            </w:r>
          </w:p>
        </w:tc>
        <w:tc>
          <w:tcPr>
            <w:tcW w:w="3332" w:type="dxa"/>
            <w:gridSpan w:val="2"/>
          </w:tcPr>
          <w:p w14:paraId="0C5351D4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:93</w:t>
            </w:r>
            <w:proofErr w:type="gramStart"/>
            <w:r w:rsidRPr="001E27EC">
              <w:rPr>
                <w:sz w:val="20"/>
                <w:highlight w:val="yellow"/>
              </w:rPr>
              <w:t>B::</w:t>
            </w:r>
            <w:proofErr w:type="gramEnd"/>
            <w:r w:rsidRPr="001E27EC">
              <w:rPr>
                <w:sz w:val="20"/>
                <w:highlight w:val="yellow"/>
              </w:rPr>
              <w:t>AVAI//UNIT/5000,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376F4A0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3179F59E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82E50B7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23DB7006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not available balance</w:t>
            </w:r>
          </w:p>
        </w:tc>
        <w:tc>
          <w:tcPr>
            <w:tcW w:w="3332" w:type="dxa"/>
            <w:gridSpan w:val="2"/>
          </w:tcPr>
          <w:p w14:paraId="34654D41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NAVL//UNIT/5000,</w:t>
            </w:r>
          </w:p>
        </w:tc>
        <w:tc>
          <w:tcPr>
            <w:tcW w:w="3332" w:type="dxa"/>
            <w:gridSpan w:val="2"/>
          </w:tcPr>
          <w:p w14:paraId="2D517D7F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:93</w:t>
            </w:r>
            <w:proofErr w:type="gramStart"/>
            <w:r w:rsidRPr="001E27EC">
              <w:rPr>
                <w:sz w:val="20"/>
                <w:highlight w:val="yellow"/>
              </w:rPr>
              <w:t>B::</w:t>
            </w:r>
            <w:proofErr w:type="gramEnd"/>
            <w:r w:rsidRPr="001E27EC">
              <w:rPr>
                <w:sz w:val="20"/>
                <w:highlight w:val="yellow"/>
              </w:rPr>
              <w:t>NAVL//UNIT/5000,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A484489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70BD6286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ED06A91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0C95110C" w14:textId="77777777" w:rsidR="00EA23F5" w:rsidRDefault="00EA23F5" w:rsidP="00914D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Place of safekeeping</w:t>
            </w:r>
          </w:p>
        </w:tc>
        <w:tc>
          <w:tcPr>
            <w:tcW w:w="3332" w:type="dxa"/>
            <w:gridSpan w:val="2"/>
          </w:tcPr>
          <w:p w14:paraId="4DBBC111" w14:textId="77777777" w:rsidR="00EA23F5" w:rsidRDefault="00EA23F5" w:rsidP="00914DA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:94</w:t>
            </w:r>
            <w:proofErr w:type="gramStart"/>
            <w:r>
              <w:rPr>
                <w:b/>
                <w:sz w:val="20"/>
              </w:rPr>
              <w:t>F::</w:t>
            </w:r>
            <w:proofErr w:type="gramEnd"/>
            <w:r>
              <w:rPr>
                <w:b/>
                <w:sz w:val="20"/>
              </w:rPr>
              <w:t>SAFE//ICSD/ICSDLUBE</w:t>
            </w:r>
          </w:p>
        </w:tc>
        <w:tc>
          <w:tcPr>
            <w:tcW w:w="3332" w:type="dxa"/>
            <w:gridSpan w:val="2"/>
          </w:tcPr>
          <w:p w14:paraId="36EA7C7F" w14:textId="77777777" w:rsidR="00EA23F5" w:rsidRPr="001E27EC" w:rsidRDefault="00EA23F5" w:rsidP="00914DA3">
            <w:pPr>
              <w:pStyle w:val="TableParagraph"/>
              <w:ind w:left="106"/>
              <w:rPr>
                <w:b/>
                <w:sz w:val="20"/>
                <w:highlight w:val="yellow"/>
              </w:rPr>
            </w:pPr>
            <w:r w:rsidRPr="001E27EC">
              <w:rPr>
                <w:b/>
                <w:sz w:val="20"/>
                <w:highlight w:val="yellow"/>
              </w:rPr>
              <w:t>:94</w:t>
            </w:r>
            <w:proofErr w:type="gramStart"/>
            <w:r w:rsidRPr="001E27EC">
              <w:rPr>
                <w:b/>
                <w:sz w:val="20"/>
                <w:highlight w:val="yellow"/>
              </w:rPr>
              <w:t>F::</w:t>
            </w:r>
            <w:proofErr w:type="gramEnd"/>
            <w:r w:rsidRPr="001E27EC">
              <w:rPr>
                <w:b/>
                <w:sz w:val="20"/>
                <w:highlight w:val="yellow"/>
              </w:rPr>
              <w:t>SAFE//NCSD/NCSD11XX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CB6ED60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1D85490D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C79A90A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FDFDF"/>
          </w:tcPr>
          <w:p w14:paraId="5256AFEF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End of Sub-balance.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62A852B7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S:SUBBAL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6E7A3016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:16</w:t>
            </w:r>
            <w:proofErr w:type="gramStart"/>
            <w:r w:rsidRPr="001E27EC">
              <w:rPr>
                <w:sz w:val="20"/>
                <w:highlight w:val="yellow"/>
              </w:rPr>
              <w:t>S:SUBBAL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093B4A0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511C5295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D5032EB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FDFDF"/>
          </w:tcPr>
          <w:p w14:paraId="28BE27E1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Start of Sub-balance.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220CB9A8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R:SUBBAL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5D3B307B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:16</w:t>
            </w:r>
            <w:proofErr w:type="gramStart"/>
            <w:r w:rsidRPr="001E27EC">
              <w:rPr>
                <w:sz w:val="20"/>
                <w:highlight w:val="yellow"/>
              </w:rPr>
              <w:t>R:SUBBAL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2BFBF57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41BB01AF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6990023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76A708AB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Sub-balance example</w:t>
            </w:r>
          </w:p>
        </w:tc>
        <w:tc>
          <w:tcPr>
            <w:tcW w:w="3332" w:type="dxa"/>
            <w:gridSpan w:val="2"/>
          </w:tcPr>
          <w:p w14:paraId="01046CAE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C::</w:t>
            </w:r>
            <w:proofErr w:type="gramEnd"/>
            <w:r>
              <w:rPr>
                <w:sz w:val="20"/>
              </w:rPr>
              <w:t>BLOK//UNIT/NAVL/5000,</w:t>
            </w:r>
          </w:p>
        </w:tc>
        <w:tc>
          <w:tcPr>
            <w:tcW w:w="3332" w:type="dxa"/>
            <w:gridSpan w:val="2"/>
          </w:tcPr>
          <w:p w14:paraId="21C9F9B3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:93</w:t>
            </w:r>
            <w:proofErr w:type="gramStart"/>
            <w:r w:rsidRPr="001E27EC">
              <w:rPr>
                <w:sz w:val="20"/>
                <w:highlight w:val="yellow"/>
              </w:rPr>
              <w:t>C::</w:t>
            </w:r>
            <w:proofErr w:type="gramEnd"/>
            <w:r w:rsidRPr="001E27EC">
              <w:rPr>
                <w:sz w:val="20"/>
                <w:highlight w:val="yellow"/>
              </w:rPr>
              <w:t>BLOK//UNIT/NAVL/5000,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C7CFB21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65239688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E3C6CE4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2F2A4A42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Place of safekeeping</w:t>
            </w:r>
          </w:p>
        </w:tc>
        <w:tc>
          <w:tcPr>
            <w:tcW w:w="3332" w:type="dxa"/>
            <w:gridSpan w:val="2"/>
          </w:tcPr>
          <w:p w14:paraId="046FA13E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:94</w:t>
            </w:r>
            <w:proofErr w:type="gramStart"/>
            <w:r>
              <w:rPr>
                <w:sz w:val="20"/>
              </w:rPr>
              <w:t>F::</w:t>
            </w:r>
            <w:proofErr w:type="gramEnd"/>
            <w:r>
              <w:rPr>
                <w:sz w:val="20"/>
              </w:rPr>
              <w:t>SAFE//ICSD/ICSDLUBE</w:t>
            </w:r>
          </w:p>
        </w:tc>
        <w:tc>
          <w:tcPr>
            <w:tcW w:w="3332" w:type="dxa"/>
            <w:gridSpan w:val="2"/>
          </w:tcPr>
          <w:p w14:paraId="49898424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:94</w:t>
            </w:r>
            <w:proofErr w:type="gramStart"/>
            <w:r w:rsidRPr="001E27EC">
              <w:rPr>
                <w:sz w:val="20"/>
                <w:highlight w:val="yellow"/>
              </w:rPr>
              <w:t>F::</w:t>
            </w:r>
            <w:proofErr w:type="gramEnd"/>
            <w:r w:rsidRPr="001E27EC">
              <w:rPr>
                <w:sz w:val="20"/>
                <w:highlight w:val="yellow"/>
              </w:rPr>
              <w:t>SAFE//ICSD/ICSDLUBE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B9F30E5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1000ED0E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152DB57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FDFDF"/>
          </w:tcPr>
          <w:p w14:paraId="02B55CB8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End of Sub-balance.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02B2B698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S:SUBBAL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1D139E18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:16</w:t>
            </w:r>
            <w:proofErr w:type="gramStart"/>
            <w:r w:rsidRPr="001E27EC">
              <w:rPr>
                <w:sz w:val="20"/>
                <w:highlight w:val="yellow"/>
              </w:rPr>
              <w:t>S:SUBBAL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4A4C407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0E3E1E5F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E92E185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FDFDF"/>
          </w:tcPr>
          <w:p w14:paraId="33E25DF8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Start of Sub-balance.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0E3BC4D8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R:SUBBAL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25FB4C77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:16</w:t>
            </w:r>
            <w:proofErr w:type="gramStart"/>
            <w:r w:rsidRPr="001E27EC">
              <w:rPr>
                <w:sz w:val="20"/>
                <w:highlight w:val="yellow"/>
              </w:rPr>
              <w:t>R:SUBBAL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4B13B56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6F997509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01FEAF9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6385F85E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Aggregate balance</w:t>
            </w:r>
          </w:p>
        </w:tc>
        <w:tc>
          <w:tcPr>
            <w:tcW w:w="3332" w:type="dxa"/>
            <w:gridSpan w:val="2"/>
          </w:tcPr>
          <w:p w14:paraId="25962AE8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AGGR//UNIT/25000,</w:t>
            </w:r>
          </w:p>
        </w:tc>
        <w:tc>
          <w:tcPr>
            <w:tcW w:w="3332" w:type="dxa"/>
            <w:gridSpan w:val="2"/>
          </w:tcPr>
          <w:p w14:paraId="0CF8D8B5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:93</w:t>
            </w:r>
            <w:proofErr w:type="gramStart"/>
            <w:r w:rsidRPr="001E27EC">
              <w:rPr>
                <w:sz w:val="20"/>
                <w:highlight w:val="yellow"/>
              </w:rPr>
              <w:t>B::</w:t>
            </w:r>
            <w:proofErr w:type="gramEnd"/>
            <w:r w:rsidRPr="001E27EC">
              <w:rPr>
                <w:sz w:val="20"/>
                <w:highlight w:val="yellow"/>
              </w:rPr>
              <w:t>AGGR//UNIT/25000,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19E43BD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5D712981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D2BD021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44DC778D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available balance</w:t>
            </w:r>
          </w:p>
        </w:tc>
        <w:tc>
          <w:tcPr>
            <w:tcW w:w="3332" w:type="dxa"/>
            <w:gridSpan w:val="2"/>
          </w:tcPr>
          <w:p w14:paraId="58E335E9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:93</w:t>
            </w:r>
            <w:proofErr w:type="gramStart"/>
            <w:r>
              <w:rPr>
                <w:sz w:val="20"/>
              </w:rPr>
              <w:t>B::</w:t>
            </w:r>
            <w:proofErr w:type="gramEnd"/>
            <w:r>
              <w:rPr>
                <w:sz w:val="20"/>
              </w:rPr>
              <w:t>AVAI//UNIT/25000,</w:t>
            </w:r>
          </w:p>
        </w:tc>
        <w:tc>
          <w:tcPr>
            <w:tcW w:w="3332" w:type="dxa"/>
            <w:gridSpan w:val="2"/>
          </w:tcPr>
          <w:p w14:paraId="1F9815BF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:93</w:t>
            </w:r>
            <w:proofErr w:type="gramStart"/>
            <w:r w:rsidRPr="001E27EC">
              <w:rPr>
                <w:sz w:val="20"/>
                <w:highlight w:val="yellow"/>
              </w:rPr>
              <w:t>B::</w:t>
            </w:r>
            <w:proofErr w:type="gramEnd"/>
            <w:r w:rsidRPr="001E27EC">
              <w:rPr>
                <w:sz w:val="20"/>
                <w:highlight w:val="yellow"/>
              </w:rPr>
              <w:t>AVAI//UNIT/25000,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886FBA8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2421A18A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9523305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14:paraId="417C3C01" w14:textId="77777777" w:rsidR="00EA23F5" w:rsidRDefault="00EA23F5" w:rsidP="00914D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Place of safekeeping</w:t>
            </w:r>
          </w:p>
        </w:tc>
        <w:tc>
          <w:tcPr>
            <w:tcW w:w="3332" w:type="dxa"/>
            <w:gridSpan w:val="2"/>
          </w:tcPr>
          <w:p w14:paraId="5616CF80" w14:textId="77777777" w:rsidR="00EA23F5" w:rsidRDefault="00EA23F5" w:rsidP="00914DA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:94</w:t>
            </w:r>
            <w:proofErr w:type="gramStart"/>
            <w:r>
              <w:rPr>
                <w:b/>
                <w:sz w:val="20"/>
              </w:rPr>
              <w:t>F::</w:t>
            </w:r>
            <w:proofErr w:type="gramEnd"/>
            <w:r>
              <w:rPr>
                <w:b/>
                <w:sz w:val="20"/>
              </w:rPr>
              <w:t>SAFE//NCSD/NCSD22YY</w:t>
            </w:r>
          </w:p>
        </w:tc>
        <w:tc>
          <w:tcPr>
            <w:tcW w:w="3332" w:type="dxa"/>
            <w:gridSpan w:val="2"/>
          </w:tcPr>
          <w:p w14:paraId="442332DF" w14:textId="77777777" w:rsidR="00EA23F5" w:rsidRPr="001E27EC" w:rsidRDefault="00EA23F5" w:rsidP="00914DA3">
            <w:pPr>
              <w:pStyle w:val="TableParagraph"/>
              <w:ind w:left="106"/>
              <w:rPr>
                <w:b/>
                <w:sz w:val="20"/>
                <w:highlight w:val="yellow"/>
              </w:rPr>
            </w:pPr>
            <w:r w:rsidRPr="001E27EC">
              <w:rPr>
                <w:b/>
                <w:sz w:val="20"/>
                <w:highlight w:val="yellow"/>
              </w:rPr>
              <w:t>:94</w:t>
            </w:r>
            <w:proofErr w:type="gramStart"/>
            <w:r w:rsidRPr="001E27EC">
              <w:rPr>
                <w:b/>
                <w:sz w:val="20"/>
                <w:highlight w:val="yellow"/>
              </w:rPr>
              <w:t>F::</w:t>
            </w:r>
            <w:proofErr w:type="gramEnd"/>
            <w:r w:rsidRPr="001E27EC">
              <w:rPr>
                <w:b/>
                <w:sz w:val="20"/>
                <w:highlight w:val="yellow"/>
              </w:rPr>
              <w:t>SAFE//NCSD/NCSD22YY</w:t>
            </w:r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56378E5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6B820EFB" w14:textId="77777777" w:rsidTr="00914DA3">
        <w:trPr>
          <w:gridAfter w:val="1"/>
          <w:wAfter w:w="49" w:type="dxa"/>
          <w:trHeight w:val="230"/>
        </w:trPr>
        <w:tc>
          <w:tcPr>
            <w:tcW w:w="284" w:type="dxa"/>
            <w:gridSpan w:val="2"/>
            <w:tcBorders>
              <w:top w:val="nil"/>
              <w:left w:val="nil"/>
            </w:tcBorders>
          </w:tcPr>
          <w:p w14:paraId="393EF563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27" w:type="dxa"/>
            <w:shd w:val="clear" w:color="auto" w:fill="DFDFDF"/>
          </w:tcPr>
          <w:p w14:paraId="3F58B107" w14:textId="77777777" w:rsidR="00EA23F5" w:rsidRDefault="00EA23F5" w:rsidP="00914DA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End of Sub-balance.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488C401F" w14:textId="77777777" w:rsidR="00EA23F5" w:rsidRDefault="00EA23F5" w:rsidP="00914DA3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S:SUBBAL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4784B24A" w14:textId="77777777" w:rsidR="00EA23F5" w:rsidRPr="001E27EC" w:rsidRDefault="00EA23F5" w:rsidP="00914DA3">
            <w:pPr>
              <w:pStyle w:val="TableParagraph"/>
              <w:spacing w:line="211" w:lineRule="exact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:16</w:t>
            </w:r>
            <w:proofErr w:type="gramStart"/>
            <w:r w:rsidRPr="001E27EC">
              <w:rPr>
                <w:sz w:val="20"/>
                <w:highlight w:val="yellow"/>
              </w:rPr>
              <w:t>S:SUBBAL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8B8903B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:rsidRPr="001E27EC" w14:paraId="43AE8BEB" w14:textId="77777777" w:rsidTr="00914DA3">
        <w:trPr>
          <w:gridAfter w:val="1"/>
          <w:wAfter w:w="49" w:type="dxa"/>
          <w:trHeight w:val="230"/>
        </w:trPr>
        <w:tc>
          <w:tcPr>
            <w:tcW w:w="142" w:type="dxa"/>
            <w:tcBorders>
              <w:top w:val="nil"/>
              <w:left w:val="nil"/>
            </w:tcBorders>
          </w:tcPr>
          <w:p w14:paraId="7785B46F" w14:textId="77777777" w:rsidR="00EA23F5" w:rsidRDefault="00EA23F5" w:rsidP="00914DA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69" w:type="dxa"/>
            <w:gridSpan w:val="2"/>
            <w:shd w:val="clear" w:color="auto" w:fill="DFDFDF"/>
          </w:tcPr>
          <w:p w14:paraId="5F67ECE6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End of Financial instr. </w:t>
            </w:r>
            <w:proofErr w:type="spellStart"/>
            <w:r>
              <w:rPr>
                <w:sz w:val="20"/>
              </w:rPr>
              <w:t>subseq</w:t>
            </w:r>
            <w:proofErr w:type="spellEnd"/>
            <w:r>
              <w:rPr>
                <w:sz w:val="20"/>
              </w:rPr>
              <w:t>. B1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30F82705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S:FIN</w:t>
            </w:r>
            <w:proofErr w:type="gramEnd"/>
          </w:p>
        </w:tc>
        <w:tc>
          <w:tcPr>
            <w:tcW w:w="3332" w:type="dxa"/>
            <w:gridSpan w:val="2"/>
            <w:shd w:val="clear" w:color="auto" w:fill="DFDFDF"/>
          </w:tcPr>
          <w:p w14:paraId="3AFDC122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:16</w:t>
            </w:r>
            <w:proofErr w:type="gramStart"/>
            <w:r w:rsidRPr="001E27EC">
              <w:rPr>
                <w:sz w:val="20"/>
                <w:highlight w:val="yellow"/>
              </w:rPr>
              <w:t>S:FIN</w:t>
            </w:r>
            <w:proofErr w:type="gramEnd"/>
          </w:p>
        </w:tc>
        <w:tc>
          <w:tcPr>
            <w:tcW w:w="2883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3E718C8" w14:textId="77777777" w:rsidR="00EA23F5" w:rsidRPr="001E27EC" w:rsidRDefault="00EA23F5" w:rsidP="00914DA3">
            <w:pPr>
              <w:rPr>
                <w:sz w:val="2"/>
                <w:szCs w:val="2"/>
                <w:highlight w:val="yellow"/>
              </w:rPr>
            </w:pPr>
          </w:p>
        </w:tc>
      </w:tr>
      <w:tr w:rsidR="00EA23F5" w14:paraId="749067CC" w14:textId="77777777" w:rsidTr="00914DA3">
        <w:trPr>
          <w:trHeight w:val="230"/>
        </w:trPr>
        <w:tc>
          <w:tcPr>
            <w:tcW w:w="3511" w:type="dxa"/>
            <w:gridSpan w:val="3"/>
            <w:shd w:val="clear" w:color="auto" w:fill="DFDFDF"/>
          </w:tcPr>
          <w:p w14:paraId="1A3A995B" w14:textId="77777777" w:rsidR="00EA23F5" w:rsidRDefault="00EA23F5" w:rsidP="00914D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 of sub-safekeeping a/c seq. B</w:t>
            </w:r>
          </w:p>
        </w:tc>
        <w:tc>
          <w:tcPr>
            <w:tcW w:w="3332" w:type="dxa"/>
            <w:gridSpan w:val="2"/>
            <w:shd w:val="clear" w:color="auto" w:fill="DFDFDF"/>
          </w:tcPr>
          <w:p w14:paraId="5519E983" w14:textId="77777777" w:rsidR="00EA23F5" w:rsidRDefault="00EA23F5" w:rsidP="00914D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:16</w:t>
            </w:r>
            <w:proofErr w:type="gramStart"/>
            <w:r>
              <w:rPr>
                <w:sz w:val="20"/>
              </w:rPr>
              <w:t>S:SUBSAFE</w:t>
            </w:r>
            <w:proofErr w:type="gramEnd"/>
          </w:p>
        </w:tc>
        <w:tc>
          <w:tcPr>
            <w:tcW w:w="3381" w:type="dxa"/>
            <w:gridSpan w:val="3"/>
          </w:tcPr>
          <w:p w14:paraId="5E201BEF" w14:textId="77777777" w:rsidR="00EA23F5" w:rsidRPr="001E27EC" w:rsidRDefault="00EA23F5" w:rsidP="00914DA3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1E27EC">
              <w:rPr>
                <w:sz w:val="20"/>
                <w:highlight w:val="yellow"/>
              </w:rPr>
              <w:t>:16</w:t>
            </w:r>
            <w:proofErr w:type="gramStart"/>
            <w:r w:rsidRPr="001E27EC">
              <w:rPr>
                <w:sz w:val="20"/>
                <w:highlight w:val="yellow"/>
              </w:rPr>
              <w:t>S:SUBSAFE</w:t>
            </w:r>
            <w:proofErr w:type="gramEnd"/>
          </w:p>
        </w:tc>
        <w:tc>
          <w:tcPr>
            <w:tcW w:w="2883" w:type="dxa"/>
            <w:gridSpan w:val="4"/>
            <w:tcBorders>
              <w:top w:val="nil"/>
              <w:bottom w:val="nil"/>
              <w:right w:val="nil"/>
            </w:tcBorders>
          </w:tcPr>
          <w:p w14:paraId="10DC7565" w14:textId="77777777" w:rsidR="00EA23F5" w:rsidRDefault="00EA23F5" w:rsidP="00914DA3">
            <w:pPr>
              <w:rPr>
                <w:sz w:val="2"/>
                <w:szCs w:val="2"/>
              </w:rPr>
            </w:pPr>
          </w:p>
        </w:tc>
      </w:tr>
    </w:tbl>
    <w:p w14:paraId="62EB0195" w14:textId="77777777" w:rsidR="00EA23F5" w:rsidRDefault="00EA23F5">
      <w:pPr>
        <w:rPr>
          <w:rFonts w:ascii="Segoe UI" w:hAnsi="Segoe UI" w:cs="Segoe UI"/>
        </w:rPr>
      </w:pPr>
    </w:p>
    <w:sectPr w:rsidR="00EA23F5" w:rsidSect="00EA23F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el, Ton van" w:date="2021-04-15T11:59:00Z" w:initials="ATv">
    <w:p w14:paraId="4A2668FF" w14:textId="77777777" w:rsidR="00A53DBE" w:rsidRDefault="00A53DB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Should the </w:t>
      </w:r>
      <w:proofErr w:type="spellStart"/>
      <w:r>
        <w:rPr>
          <w:rStyle w:val="CommentReference"/>
        </w:rPr>
        <w:t>PSAFe</w:t>
      </w:r>
      <w:proofErr w:type="spellEnd"/>
      <w:r>
        <w:rPr>
          <w:rStyle w:val="CommentReference"/>
        </w:rPr>
        <w:t xml:space="preserve"> in the MT535 not match with the </w:t>
      </w:r>
      <w:proofErr w:type="spellStart"/>
      <w:r>
        <w:rPr>
          <w:rStyle w:val="CommentReference"/>
        </w:rPr>
        <w:t>PSAFe</w:t>
      </w:r>
      <w:proofErr w:type="spellEnd"/>
      <w:r>
        <w:rPr>
          <w:rStyle w:val="CommentReference"/>
        </w:rPr>
        <w:t xml:space="preserve"> client is expected to use in a settlement instruction?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2668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2668FF" w16cid:durableId="25E432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097C" w14:textId="77777777" w:rsidR="00683925" w:rsidRDefault="00683925">
      <w:r>
        <w:separator/>
      </w:r>
    </w:p>
  </w:endnote>
  <w:endnote w:type="continuationSeparator" w:id="0">
    <w:p w14:paraId="7CAC98CB" w14:textId="77777777" w:rsidR="00683925" w:rsidRDefault="0068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DF38" w14:textId="4B045F64" w:rsidR="00416D73" w:rsidRDefault="00683925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944FA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 w:rsidR="00EA23F5">
      <w:rPr>
        <w:noProof/>
      </w:rPr>
      <w:t>3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6D6F" w14:textId="77777777" w:rsidR="00683925" w:rsidRDefault="00683925">
      <w:r>
        <w:separator/>
      </w:r>
    </w:p>
  </w:footnote>
  <w:footnote w:type="continuationSeparator" w:id="0">
    <w:p w14:paraId="2DCDA31B" w14:textId="77777777" w:rsidR="00683925" w:rsidRDefault="0068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el, Ton van">
    <w15:presenceInfo w15:providerId="None" w15:userId="Andel, Ton 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CE"/>
    <w:rsid w:val="00416D73"/>
    <w:rsid w:val="004F531B"/>
    <w:rsid w:val="00545FCE"/>
    <w:rsid w:val="00683925"/>
    <w:rsid w:val="00720A65"/>
    <w:rsid w:val="0077696E"/>
    <w:rsid w:val="008944FA"/>
    <w:rsid w:val="009569E3"/>
    <w:rsid w:val="00A53DBE"/>
    <w:rsid w:val="00CB1D59"/>
    <w:rsid w:val="00EA23F5"/>
    <w:rsid w:val="00F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3179"/>
  <w15:chartTrackingRefBased/>
  <w15:docId w15:val="{88526B31-1782-474B-9B4F-48C10C2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B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BE"/>
    <w:rPr>
      <w:rFonts w:ascii="Arial" w:hAnsi="Arial"/>
      <w:b/>
      <w:bCs/>
      <w:lang w:val="en-GB"/>
    </w:rPr>
  </w:style>
  <w:style w:type="paragraph" w:customStyle="1" w:styleId="TableParagraph">
    <w:name w:val="Table Paragraph"/>
    <w:basedOn w:val="Normal"/>
    <w:uiPriority w:val="1"/>
    <w:qFormat/>
    <w:rsid w:val="00EA23F5"/>
    <w:pPr>
      <w:widowControl w:val="0"/>
      <w:autoSpaceDE w:val="0"/>
      <w:autoSpaceDN w:val="0"/>
      <w:spacing w:line="210" w:lineRule="exact"/>
      <w:ind w:left="107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3</cp:revision>
  <dcterms:created xsi:type="dcterms:W3CDTF">2021-04-16T10:43:00Z</dcterms:created>
  <dcterms:modified xsi:type="dcterms:W3CDTF">2022-03-22T10:34:00Z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1884820148</vt:i4>
  </property>
  <property fmtid="{D5CDD505-2E9C-101B-9397-08002B2CF9AE}" pid="3" name="_NewReviewCycle">
    <vt:lpwstr/>
  </property>
  <property fmtid="{D5CDD505-2E9C-101B-9397-08002B2CF9AE}" pid="4" name="_EmailSubject">
    <vt:lpwstr>SMPG Joint CA &amp; SnR WG Call (2) - Repetitive 94a Place of Safekeeping (SAFE) in MT564, MT 535 (CA493)</vt:lpwstr>
  </property>
  <property fmtid="{D5CDD505-2E9C-101B-9397-08002B2CF9AE}" pid="5" name="_AuthorEmail">
    <vt:lpwstr>ton.van.andel@abnamroclearing.com</vt:lpwstr>
  </property>
  <property fmtid="{D5CDD505-2E9C-101B-9397-08002B2CF9AE}" pid="6" name="_AuthorEmailDisplayName">
    <vt:lpwstr>Andel, Ton van</vt:lpwstr>
  </property>
  <property fmtid="{D5CDD505-2E9C-101B-9397-08002B2CF9AE}" pid="7" name="_ReviewingToolsShownOnce">
    <vt:lpwstr/>
  </property>
  <property fmtid="{D5CDD505-2E9C-101B-9397-08002B2CF9AE}" pid="8" name="MSIP_Label_4868b825-edee-44ac-b7a2-e857f0213f31_Enabled">
    <vt:lpwstr>true</vt:lpwstr>
  </property>
  <property fmtid="{D5CDD505-2E9C-101B-9397-08002B2CF9AE}" pid="9" name="MSIP_Label_4868b825-edee-44ac-b7a2-e857f0213f31_SetDate">
    <vt:lpwstr>2022-03-22T10:34:09Z</vt:lpwstr>
  </property>
  <property fmtid="{D5CDD505-2E9C-101B-9397-08002B2CF9AE}" pid="10" name="MSIP_Label_4868b825-edee-44ac-b7a2-e857f0213f31_Method">
    <vt:lpwstr>Standard</vt:lpwstr>
  </property>
  <property fmtid="{D5CDD505-2E9C-101B-9397-08002B2CF9AE}" pid="11" name="MSIP_Label_4868b825-edee-44ac-b7a2-e857f0213f31_Name">
    <vt:lpwstr>Restricted - External</vt:lpwstr>
  </property>
  <property fmtid="{D5CDD505-2E9C-101B-9397-08002B2CF9AE}" pid="12" name="MSIP_Label_4868b825-edee-44ac-b7a2-e857f0213f31_SiteId">
    <vt:lpwstr>45b55e44-3503-4284-bbe1-0e6bf9fa1d0a</vt:lpwstr>
  </property>
  <property fmtid="{D5CDD505-2E9C-101B-9397-08002B2CF9AE}" pid="13" name="MSIP_Label_4868b825-edee-44ac-b7a2-e857f0213f31_ActionId">
    <vt:lpwstr>d41e3bf7-88d8-4fe5-805e-8f6912252529</vt:lpwstr>
  </property>
  <property fmtid="{D5CDD505-2E9C-101B-9397-08002B2CF9AE}" pid="14" name="MSIP_Label_4868b825-edee-44ac-b7a2-e857f0213f31_ContentBits">
    <vt:lpwstr>0</vt:lpwstr>
  </property>
</Properties>
</file>