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F3" w:rsidRPr="007F406E" w:rsidRDefault="001B58F3" w:rsidP="001B58F3">
      <w:pPr>
        <w:pStyle w:val="Default"/>
        <w:jc w:val="center"/>
        <w:rPr>
          <w:rFonts w:ascii="Calibri" w:eastAsia="Calibri" w:hAnsi="Calibri"/>
          <w:color w:val="auto"/>
          <w:sz w:val="22"/>
          <w:szCs w:val="22"/>
          <w:u w:val="single"/>
          <w:lang w:val="en-US"/>
        </w:rPr>
      </w:pPr>
      <w:r w:rsidRPr="007F406E">
        <w:rPr>
          <w:rFonts w:ascii="Calibri" w:eastAsia="Calibri" w:hAnsi="Calibri"/>
          <w:color w:val="auto"/>
          <w:sz w:val="22"/>
          <w:szCs w:val="22"/>
          <w:u w:val="single"/>
          <w:lang w:val="en-US"/>
        </w:rPr>
        <w:t>SOUTH AFRICA NMPG (ZA)</w:t>
      </w:r>
    </w:p>
    <w:p w:rsidR="001B58F3" w:rsidRPr="007F406E" w:rsidRDefault="001B58F3" w:rsidP="001B58F3">
      <w:pPr>
        <w:pStyle w:val="Default"/>
        <w:jc w:val="center"/>
        <w:rPr>
          <w:rFonts w:ascii="Calibri" w:eastAsia="Calibri" w:hAnsi="Calibri"/>
          <w:color w:val="auto"/>
          <w:sz w:val="22"/>
          <w:szCs w:val="22"/>
          <w:u w:val="single"/>
          <w:lang w:val="en-US"/>
        </w:rPr>
      </w:pPr>
    </w:p>
    <w:p w:rsidR="001B58F3" w:rsidRPr="007F406E" w:rsidRDefault="00B557EC" w:rsidP="001B58F3">
      <w:pPr>
        <w:pStyle w:val="Default"/>
        <w:jc w:val="center"/>
        <w:rPr>
          <w:rFonts w:ascii="Calibri" w:eastAsia="Calibri" w:hAnsi="Calibri"/>
          <w:color w:val="auto"/>
          <w:sz w:val="22"/>
          <w:szCs w:val="22"/>
          <w:u w:val="single"/>
          <w:lang w:val="en-US"/>
        </w:rPr>
      </w:pPr>
      <w:r w:rsidRPr="007F406E">
        <w:rPr>
          <w:rFonts w:ascii="Calibri" w:eastAsia="Calibri" w:hAnsi="Calibri"/>
          <w:color w:val="auto"/>
          <w:sz w:val="22"/>
          <w:szCs w:val="22"/>
          <w:u w:val="single"/>
          <w:lang w:val="en-US"/>
        </w:rPr>
        <w:t xml:space="preserve">Request to </w:t>
      </w:r>
      <w:r w:rsidR="007F406E" w:rsidRPr="007F406E">
        <w:rPr>
          <w:rFonts w:ascii="Calibri" w:eastAsia="Calibri" w:hAnsi="Calibri"/>
          <w:color w:val="auto"/>
          <w:sz w:val="22"/>
          <w:szCs w:val="22"/>
          <w:u w:val="single"/>
          <w:lang w:val="en-US"/>
        </w:rPr>
        <w:t>amend MP to communicate COIN - GMP1 amendment</w:t>
      </w:r>
    </w:p>
    <w:p w:rsidR="001B58F3" w:rsidRPr="007F406E" w:rsidRDefault="001B58F3" w:rsidP="00DB60A9">
      <w:pPr>
        <w:pStyle w:val="Default"/>
        <w:rPr>
          <w:rFonts w:ascii="Calibri" w:hAnsi="Calibri"/>
          <w:sz w:val="20"/>
          <w:szCs w:val="20"/>
        </w:rPr>
      </w:pPr>
    </w:p>
    <w:p w:rsidR="00DB60A9" w:rsidRPr="007F406E" w:rsidRDefault="00DB60A9" w:rsidP="00DB60A9">
      <w:pPr>
        <w:pStyle w:val="Heading1"/>
        <w:numPr>
          <w:ilvl w:val="0"/>
          <w:numId w:val="1"/>
        </w:numPr>
        <w:tabs>
          <w:tab w:val="num" w:pos="851"/>
        </w:tabs>
        <w:ind w:left="851" w:hanging="851"/>
      </w:pPr>
      <w:bookmarkStart w:id="0" w:name="_Toc462821228"/>
      <w:r w:rsidRPr="007F406E">
        <w:t>background</w:t>
      </w:r>
      <w:bookmarkEnd w:id="0"/>
    </w:p>
    <w:p w:rsidR="00E96E5C" w:rsidRDefault="002D3235" w:rsidP="00285D84">
      <w:pPr>
        <w:pStyle w:val="Default"/>
        <w:spacing w:line="360" w:lineRule="auto"/>
        <w:jc w:val="both"/>
        <w:rPr>
          <w:rFonts w:ascii="Calibri" w:eastAsia="Calibri" w:hAnsi="Calibri"/>
          <w:color w:val="auto"/>
          <w:sz w:val="22"/>
          <w:szCs w:val="22"/>
          <w:lang w:val="en-US"/>
        </w:rPr>
      </w:pPr>
      <w:r w:rsidRPr="007F406E">
        <w:rPr>
          <w:rFonts w:ascii="Calibri" w:eastAsia="Calibri" w:hAnsi="Calibri"/>
          <w:color w:val="auto"/>
          <w:sz w:val="22"/>
          <w:szCs w:val="22"/>
          <w:lang w:val="en-US"/>
        </w:rPr>
        <w:t>South African withholding tax</w:t>
      </w:r>
      <w:r w:rsidR="006865A8" w:rsidRPr="007F406E">
        <w:rPr>
          <w:rFonts w:ascii="Calibri" w:eastAsia="Calibri" w:hAnsi="Calibri"/>
          <w:color w:val="auto"/>
          <w:sz w:val="22"/>
          <w:szCs w:val="22"/>
          <w:lang w:val="en-US"/>
        </w:rPr>
        <w:t xml:space="preserve"> </w:t>
      </w:r>
      <w:r w:rsidRPr="007F406E">
        <w:rPr>
          <w:rFonts w:ascii="Calibri" w:eastAsia="Calibri" w:hAnsi="Calibri"/>
          <w:color w:val="auto"/>
          <w:sz w:val="22"/>
          <w:szCs w:val="22"/>
          <w:lang w:val="en-US"/>
        </w:rPr>
        <w:t xml:space="preserve">is applicable on all dividends </w:t>
      </w:r>
      <w:r w:rsidR="00BB4523" w:rsidRPr="007F406E">
        <w:rPr>
          <w:rFonts w:ascii="Calibri" w:eastAsia="Calibri" w:hAnsi="Calibri"/>
          <w:color w:val="auto"/>
          <w:sz w:val="22"/>
          <w:szCs w:val="22"/>
          <w:lang w:val="en-US"/>
        </w:rPr>
        <w:t>whether the dividend emanates from</w:t>
      </w:r>
      <w:r w:rsidR="00285D84" w:rsidRPr="007F406E">
        <w:rPr>
          <w:rFonts w:ascii="Calibri" w:eastAsia="Calibri" w:hAnsi="Calibri"/>
          <w:color w:val="auto"/>
          <w:sz w:val="22"/>
          <w:szCs w:val="22"/>
          <w:lang w:val="en-US"/>
        </w:rPr>
        <w:t xml:space="preserve"> within South Africa or a foreign source. The withholding </w:t>
      </w:r>
      <w:r w:rsidR="0084033B">
        <w:rPr>
          <w:rFonts w:ascii="Calibri" w:eastAsia="Calibri" w:hAnsi="Calibri"/>
          <w:color w:val="auto"/>
          <w:sz w:val="22"/>
          <w:szCs w:val="22"/>
          <w:lang w:val="en-US"/>
        </w:rPr>
        <w:t xml:space="preserve">of tax </w:t>
      </w:r>
      <w:r w:rsidR="00285D84" w:rsidRPr="007F406E">
        <w:rPr>
          <w:rFonts w:ascii="Calibri" w:eastAsia="Calibri" w:hAnsi="Calibri"/>
          <w:color w:val="auto"/>
          <w:sz w:val="22"/>
          <w:szCs w:val="22"/>
          <w:lang w:val="en-US"/>
        </w:rPr>
        <w:t xml:space="preserve">on dividends paid from a South African source is straight forward however a foreign </w:t>
      </w:r>
      <w:r w:rsidR="00E96E5C">
        <w:rPr>
          <w:rFonts w:ascii="Calibri" w:eastAsia="Calibri" w:hAnsi="Calibri"/>
          <w:color w:val="auto"/>
          <w:sz w:val="22"/>
          <w:szCs w:val="22"/>
          <w:lang w:val="en-US"/>
        </w:rPr>
        <w:t xml:space="preserve">dividend </w:t>
      </w:r>
      <w:r w:rsidR="00285D84" w:rsidRPr="007F406E">
        <w:rPr>
          <w:rFonts w:ascii="Calibri" w:eastAsia="Calibri" w:hAnsi="Calibri"/>
          <w:color w:val="auto"/>
          <w:sz w:val="22"/>
          <w:szCs w:val="22"/>
          <w:lang w:val="en-US"/>
        </w:rPr>
        <w:t xml:space="preserve">would </w:t>
      </w:r>
      <w:r w:rsidR="00E96E5C">
        <w:rPr>
          <w:rFonts w:ascii="Calibri" w:eastAsia="Calibri" w:hAnsi="Calibri"/>
          <w:color w:val="auto"/>
          <w:sz w:val="22"/>
          <w:szCs w:val="22"/>
          <w:lang w:val="en-US"/>
        </w:rPr>
        <w:t xml:space="preserve">be </w:t>
      </w:r>
      <w:r w:rsidR="00D933C6">
        <w:rPr>
          <w:rFonts w:ascii="Calibri" w:eastAsia="Calibri" w:hAnsi="Calibri"/>
          <w:color w:val="auto"/>
          <w:sz w:val="22"/>
          <w:szCs w:val="22"/>
          <w:lang w:val="en-US"/>
        </w:rPr>
        <w:t>affected</w:t>
      </w:r>
      <w:r w:rsidR="00D933C6">
        <w:rPr>
          <w:rFonts w:ascii="Calibri" w:eastAsia="Calibri" w:hAnsi="Calibri"/>
          <w:color w:val="auto"/>
          <w:sz w:val="22"/>
          <w:szCs w:val="22"/>
          <w:lang w:val="en-US"/>
        </w:rPr>
        <w:t xml:space="preserve"> </w:t>
      </w:r>
      <w:r w:rsidR="00E96E5C">
        <w:rPr>
          <w:rFonts w:ascii="Calibri" w:eastAsia="Calibri" w:hAnsi="Calibri"/>
          <w:color w:val="auto"/>
          <w:sz w:val="22"/>
          <w:szCs w:val="22"/>
          <w:lang w:val="en-US"/>
        </w:rPr>
        <w:t xml:space="preserve">by the </w:t>
      </w:r>
      <w:r w:rsidR="00E96E5C" w:rsidRPr="007F406E">
        <w:rPr>
          <w:rFonts w:ascii="Calibri" w:eastAsia="Calibri" w:hAnsi="Calibri"/>
          <w:color w:val="auto"/>
          <w:sz w:val="22"/>
          <w:szCs w:val="22"/>
          <w:lang w:val="en-US"/>
        </w:rPr>
        <w:t xml:space="preserve">source from where the dividend is paid </w:t>
      </w:r>
      <w:r w:rsidR="00E96E5C">
        <w:rPr>
          <w:rFonts w:ascii="Calibri" w:eastAsia="Calibri" w:hAnsi="Calibri"/>
          <w:color w:val="auto"/>
          <w:sz w:val="22"/>
          <w:szCs w:val="22"/>
          <w:lang w:val="en-US"/>
        </w:rPr>
        <w:t xml:space="preserve">and the </w:t>
      </w:r>
      <w:r w:rsidR="00E96E5C" w:rsidRPr="007F406E">
        <w:rPr>
          <w:rFonts w:ascii="Calibri" w:eastAsia="Calibri" w:hAnsi="Calibri"/>
          <w:color w:val="auto"/>
          <w:sz w:val="22"/>
          <w:szCs w:val="22"/>
          <w:lang w:val="en-US"/>
        </w:rPr>
        <w:t xml:space="preserve">stipulations </w:t>
      </w:r>
      <w:r w:rsidR="00E96E5C">
        <w:rPr>
          <w:rFonts w:ascii="Calibri" w:eastAsia="Calibri" w:hAnsi="Calibri"/>
          <w:color w:val="auto"/>
          <w:sz w:val="22"/>
          <w:szCs w:val="22"/>
          <w:lang w:val="en-US"/>
        </w:rPr>
        <w:t xml:space="preserve">of the applicable </w:t>
      </w:r>
      <w:r w:rsidR="00E96E5C" w:rsidRPr="007F406E">
        <w:rPr>
          <w:rFonts w:ascii="Calibri" w:eastAsia="Calibri" w:hAnsi="Calibri"/>
          <w:color w:val="auto"/>
          <w:sz w:val="22"/>
          <w:szCs w:val="22"/>
          <w:lang w:val="en-US"/>
        </w:rPr>
        <w:t xml:space="preserve">Double Taxation Treaty </w:t>
      </w:r>
      <w:r w:rsidR="00E96E5C">
        <w:rPr>
          <w:rFonts w:ascii="Calibri" w:eastAsia="Calibri" w:hAnsi="Calibri"/>
          <w:color w:val="auto"/>
          <w:sz w:val="22"/>
          <w:szCs w:val="22"/>
          <w:lang w:val="en-US"/>
        </w:rPr>
        <w:t xml:space="preserve">to compute entitlement. </w:t>
      </w:r>
    </w:p>
    <w:p w:rsidR="00E96E5C" w:rsidRDefault="00E96E5C" w:rsidP="00285D84">
      <w:pPr>
        <w:pStyle w:val="Default"/>
        <w:spacing w:line="360" w:lineRule="auto"/>
        <w:jc w:val="both"/>
        <w:rPr>
          <w:rFonts w:ascii="Calibri" w:eastAsia="Calibri" w:hAnsi="Calibri"/>
          <w:color w:val="auto"/>
          <w:sz w:val="22"/>
          <w:szCs w:val="22"/>
          <w:lang w:val="en-US"/>
        </w:rPr>
      </w:pPr>
    </w:p>
    <w:p w:rsidR="006865A8" w:rsidRPr="007F406E" w:rsidRDefault="00285D84" w:rsidP="00E96E5C">
      <w:pPr>
        <w:pStyle w:val="Default"/>
        <w:spacing w:line="360" w:lineRule="auto"/>
        <w:jc w:val="both"/>
        <w:rPr>
          <w:rFonts w:ascii="Calibri" w:eastAsia="Calibri" w:hAnsi="Calibri"/>
          <w:color w:val="auto"/>
          <w:sz w:val="22"/>
          <w:szCs w:val="22"/>
          <w:lang w:val="en-US"/>
        </w:rPr>
      </w:pPr>
      <w:r w:rsidRPr="007F406E">
        <w:rPr>
          <w:rFonts w:ascii="Calibri" w:eastAsia="Calibri" w:hAnsi="Calibri"/>
          <w:color w:val="auto"/>
          <w:sz w:val="22"/>
          <w:szCs w:val="22"/>
          <w:lang w:val="en-US"/>
        </w:rPr>
        <w:t xml:space="preserve">A foreign dividend, as </w:t>
      </w:r>
      <w:r w:rsidR="00D933C6">
        <w:rPr>
          <w:rFonts w:ascii="Calibri" w:eastAsia="Calibri" w:hAnsi="Calibri"/>
          <w:color w:val="auto"/>
          <w:sz w:val="22"/>
          <w:szCs w:val="22"/>
          <w:lang w:val="en-US"/>
        </w:rPr>
        <w:t xml:space="preserve">per </w:t>
      </w:r>
      <w:r w:rsidRPr="007F406E">
        <w:rPr>
          <w:rFonts w:ascii="Calibri" w:eastAsia="Calibri" w:hAnsi="Calibri"/>
          <w:color w:val="auto"/>
          <w:sz w:val="22"/>
          <w:szCs w:val="22"/>
          <w:lang w:val="en-US"/>
        </w:rPr>
        <w:t>the Tax Act, would be where</w:t>
      </w:r>
      <w:r w:rsidR="00E96E5C">
        <w:rPr>
          <w:rFonts w:ascii="Calibri" w:eastAsia="Calibri" w:hAnsi="Calibri"/>
          <w:color w:val="auto"/>
          <w:sz w:val="22"/>
          <w:szCs w:val="22"/>
          <w:lang w:val="en-US"/>
        </w:rPr>
        <w:t xml:space="preserve"> t</w:t>
      </w:r>
      <w:r w:rsidR="00F052AC" w:rsidRPr="007F406E">
        <w:rPr>
          <w:rFonts w:ascii="Calibri" w:eastAsia="Calibri" w:hAnsi="Calibri"/>
          <w:color w:val="auto"/>
          <w:sz w:val="22"/>
          <w:szCs w:val="22"/>
          <w:lang w:val="en-US"/>
        </w:rPr>
        <w:t>he dividend payment is made from a foreign source</w:t>
      </w:r>
      <w:r w:rsidR="006865A8" w:rsidRPr="007F406E">
        <w:rPr>
          <w:rFonts w:ascii="Calibri" w:eastAsia="Calibri" w:hAnsi="Calibri"/>
          <w:color w:val="auto"/>
          <w:sz w:val="22"/>
          <w:szCs w:val="22"/>
          <w:lang w:val="en-US"/>
        </w:rPr>
        <w:t xml:space="preserve"> (made from outside South Africa)</w:t>
      </w:r>
      <w:r w:rsidRPr="007F406E">
        <w:rPr>
          <w:rFonts w:ascii="Calibri" w:eastAsia="Calibri" w:hAnsi="Calibri"/>
          <w:color w:val="auto"/>
          <w:sz w:val="22"/>
          <w:szCs w:val="22"/>
          <w:lang w:val="en-US"/>
        </w:rPr>
        <w:t xml:space="preserve">. </w:t>
      </w:r>
      <w:r w:rsidR="006865A8" w:rsidRPr="007F406E">
        <w:rPr>
          <w:rFonts w:ascii="Calibri" w:eastAsia="Calibri" w:hAnsi="Calibri"/>
          <w:color w:val="auto"/>
          <w:sz w:val="22"/>
          <w:szCs w:val="22"/>
          <w:lang w:val="en-US"/>
        </w:rPr>
        <w:t xml:space="preserve"> </w:t>
      </w:r>
    </w:p>
    <w:p w:rsidR="006865A8" w:rsidRPr="007F406E" w:rsidRDefault="006865A8" w:rsidP="00285D84">
      <w:pPr>
        <w:pStyle w:val="Default"/>
        <w:spacing w:line="360" w:lineRule="auto"/>
        <w:ind w:left="1440"/>
        <w:jc w:val="both"/>
        <w:rPr>
          <w:rFonts w:ascii="Calibri" w:eastAsia="Calibri" w:hAnsi="Calibri"/>
          <w:color w:val="auto"/>
          <w:sz w:val="22"/>
          <w:szCs w:val="22"/>
          <w:lang w:val="en-US"/>
        </w:rPr>
      </w:pPr>
    </w:p>
    <w:p w:rsidR="00DB60A9" w:rsidRPr="007F406E" w:rsidRDefault="00F052AC" w:rsidP="00DB60A9">
      <w:pPr>
        <w:pStyle w:val="Default"/>
        <w:spacing w:line="360" w:lineRule="auto"/>
        <w:jc w:val="both"/>
        <w:rPr>
          <w:rFonts w:ascii="Calibri" w:eastAsia="Calibri" w:hAnsi="Calibri"/>
          <w:color w:val="auto"/>
          <w:sz w:val="22"/>
          <w:szCs w:val="22"/>
          <w:lang w:val="en-US"/>
        </w:rPr>
      </w:pPr>
      <w:r w:rsidRPr="007F406E">
        <w:rPr>
          <w:rFonts w:ascii="Calibri" w:eastAsia="Calibri" w:hAnsi="Calibri"/>
          <w:color w:val="auto"/>
          <w:sz w:val="22"/>
          <w:szCs w:val="22"/>
          <w:lang w:val="en-US"/>
        </w:rPr>
        <w:t xml:space="preserve">In 2016 the COIN qualifier </w:t>
      </w:r>
      <w:r w:rsidR="00601ED6" w:rsidRPr="007F406E">
        <w:rPr>
          <w:rFonts w:ascii="Calibri" w:eastAsia="Calibri" w:hAnsi="Calibri"/>
          <w:color w:val="auto"/>
          <w:sz w:val="22"/>
          <w:szCs w:val="22"/>
          <w:lang w:val="en-US"/>
        </w:rPr>
        <w:t xml:space="preserve">(CR318) </w:t>
      </w:r>
      <w:r w:rsidRPr="007F406E">
        <w:rPr>
          <w:rFonts w:ascii="Calibri" w:eastAsia="Calibri" w:hAnsi="Calibri"/>
          <w:color w:val="auto"/>
          <w:sz w:val="22"/>
          <w:szCs w:val="22"/>
          <w:lang w:val="en-US"/>
        </w:rPr>
        <w:t xml:space="preserve">was introduced </w:t>
      </w:r>
      <w:r w:rsidR="00CB2AA0" w:rsidRPr="007F406E">
        <w:rPr>
          <w:rFonts w:ascii="Calibri" w:eastAsia="Calibri" w:hAnsi="Calibri"/>
          <w:color w:val="auto"/>
          <w:sz w:val="22"/>
          <w:szCs w:val="22"/>
          <w:lang w:val="en-US"/>
        </w:rPr>
        <w:t>and</w:t>
      </w:r>
      <w:r w:rsidR="00E40197" w:rsidRPr="007F406E">
        <w:rPr>
          <w:rFonts w:ascii="Calibri" w:eastAsia="Calibri" w:hAnsi="Calibri"/>
          <w:color w:val="auto"/>
          <w:sz w:val="22"/>
          <w:szCs w:val="22"/>
          <w:lang w:val="en-US"/>
        </w:rPr>
        <w:t>,</w:t>
      </w:r>
      <w:r w:rsidR="00CB2AA0" w:rsidRPr="007F406E">
        <w:rPr>
          <w:rFonts w:ascii="Calibri" w:eastAsia="Calibri" w:hAnsi="Calibri"/>
          <w:color w:val="auto"/>
          <w:sz w:val="22"/>
          <w:szCs w:val="22"/>
          <w:lang w:val="en-US"/>
        </w:rPr>
        <w:t xml:space="preserve"> </w:t>
      </w:r>
      <w:r w:rsidR="00484FCC" w:rsidRPr="007F406E">
        <w:rPr>
          <w:rFonts w:ascii="Calibri" w:eastAsia="Calibri" w:hAnsi="Calibri"/>
          <w:color w:val="auto"/>
          <w:sz w:val="22"/>
          <w:szCs w:val="22"/>
          <w:lang w:val="en-US"/>
        </w:rPr>
        <w:t>as per the below SWIFT definition</w:t>
      </w:r>
      <w:r w:rsidR="00E40197" w:rsidRPr="007F406E">
        <w:rPr>
          <w:rFonts w:ascii="Calibri" w:eastAsia="Calibri" w:hAnsi="Calibri"/>
          <w:color w:val="auto"/>
          <w:sz w:val="22"/>
          <w:szCs w:val="22"/>
          <w:lang w:val="en-US"/>
        </w:rPr>
        <w:t xml:space="preserve">, </w:t>
      </w:r>
      <w:r w:rsidRPr="007F406E">
        <w:rPr>
          <w:rFonts w:ascii="Calibri" w:eastAsia="Calibri" w:hAnsi="Calibri"/>
          <w:color w:val="auto"/>
          <w:sz w:val="22"/>
          <w:szCs w:val="22"/>
          <w:lang w:val="en-US"/>
        </w:rPr>
        <w:t>South Africa</w:t>
      </w:r>
      <w:r w:rsidR="00EE720A" w:rsidRPr="007F406E">
        <w:rPr>
          <w:rFonts w:ascii="Calibri" w:eastAsia="Calibri" w:hAnsi="Calibri"/>
          <w:color w:val="auto"/>
          <w:sz w:val="22"/>
          <w:szCs w:val="22"/>
          <w:lang w:val="en-US"/>
        </w:rPr>
        <w:t xml:space="preserve"> </w:t>
      </w:r>
      <w:r w:rsidR="00A00218" w:rsidRPr="007F406E">
        <w:rPr>
          <w:rFonts w:ascii="Calibri" w:eastAsia="Calibri" w:hAnsi="Calibri"/>
          <w:color w:val="auto"/>
          <w:sz w:val="22"/>
          <w:szCs w:val="22"/>
          <w:lang w:val="en-US"/>
        </w:rPr>
        <w:t xml:space="preserve">requests approval to utilize </w:t>
      </w:r>
      <w:r w:rsidR="00EE720A" w:rsidRPr="007F406E">
        <w:rPr>
          <w:rFonts w:ascii="Calibri" w:eastAsia="Calibri" w:hAnsi="Calibri"/>
          <w:color w:val="auto"/>
          <w:sz w:val="22"/>
          <w:szCs w:val="22"/>
          <w:lang w:val="en-US"/>
        </w:rPr>
        <w:t xml:space="preserve">COIN to differentiate between a local and foreign dividend. </w:t>
      </w:r>
    </w:p>
    <w:p w:rsidR="00DB60A9" w:rsidRPr="007F406E" w:rsidRDefault="00DB60A9" w:rsidP="00DB60A9">
      <w:pPr>
        <w:spacing w:line="360" w:lineRule="auto"/>
        <w:rPr>
          <w:rFonts w:ascii="Calibri" w:eastAsia="Calibri" w:hAnsi="Calibri" w:cs="Arial"/>
          <w:lang w:val="en-US"/>
        </w:rPr>
      </w:pPr>
    </w:p>
    <w:p w:rsidR="00DB60A9" w:rsidRPr="007F406E" w:rsidRDefault="00DB60A9" w:rsidP="00DB60A9">
      <w:pPr>
        <w:autoSpaceDE w:val="0"/>
        <w:autoSpaceDN w:val="0"/>
        <w:adjustRightInd w:val="0"/>
        <w:rPr>
          <w:rFonts w:ascii="Calibri" w:hAnsi="Calibri" w:cs="Arial"/>
          <w:b/>
        </w:rPr>
      </w:pPr>
      <w:r w:rsidRPr="007F406E">
        <w:rPr>
          <w:rFonts w:ascii="Calibri" w:hAnsi="Calibri" w:cs="Arial"/>
          <w:b/>
        </w:rPr>
        <w:t xml:space="preserve">COIN </w:t>
      </w:r>
      <w:r w:rsidRPr="007F406E">
        <w:rPr>
          <w:rFonts w:ascii="Calibri" w:hAnsi="Calibri" w:cs="Arial"/>
          <w:b/>
        </w:rPr>
        <w:tab/>
        <w:t>Country of Income Source</w:t>
      </w:r>
      <w:r w:rsidRPr="007F406E">
        <w:rPr>
          <w:rFonts w:ascii="Calibri" w:hAnsi="Calibri" w:cs="Arial"/>
          <w:b/>
        </w:rPr>
        <w:tab/>
        <w:t>Indicates the country from which the income originates.</w:t>
      </w:r>
    </w:p>
    <w:p w:rsidR="00BD55CF" w:rsidRPr="007F406E" w:rsidRDefault="00BD55CF" w:rsidP="00DB60A9">
      <w:pPr>
        <w:autoSpaceDE w:val="0"/>
        <w:autoSpaceDN w:val="0"/>
        <w:adjustRightInd w:val="0"/>
        <w:rPr>
          <w:rFonts w:ascii="Calibri" w:hAnsi="Calibri" w:cs="Arial"/>
          <w:b/>
        </w:rPr>
      </w:pPr>
    </w:p>
    <w:p w:rsidR="00DB60A9" w:rsidRPr="007F406E" w:rsidRDefault="00DB60A9" w:rsidP="00DB60A9">
      <w:pPr>
        <w:pStyle w:val="Heading1"/>
        <w:numPr>
          <w:ilvl w:val="0"/>
          <w:numId w:val="1"/>
        </w:numPr>
        <w:tabs>
          <w:tab w:val="num" w:pos="851"/>
        </w:tabs>
        <w:ind w:left="851" w:hanging="851"/>
      </w:pPr>
      <w:bookmarkStart w:id="1" w:name="_Toc462821229"/>
      <w:r w:rsidRPr="007F406E">
        <w:t>Motivation for inclusion of coin</w:t>
      </w:r>
      <w:bookmarkEnd w:id="1"/>
    </w:p>
    <w:p w:rsidR="00DB60A9" w:rsidRPr="007F406E" w:rsidRDefault="00DB60A9" w:rsidP="00DB60A9">
      <w:pPr>
        <w:spacing w:line="360" w:lineRule="auto"/>
        <w:rPr>
          <w:rFonts w:ascii="Calibri" w:hAnsi="Calibri"/>
        </w:rPr>
      </w:pPr>
    </w:p>
    <w:p w:rsidR="00DB0631" w:rsidRPr="007F406E" w:rsidRDefault="007329F4" w:rsidP="00DB60A9">
      <w:pPr>
        <w:spacing w:line="360" w:lineRule="auto"/>
        <w:rPr>
          <w:rFonts w:ascii="Calibri" w:hAnsi="Calibri" w:cs="Arial"/>
        </w:rPr>
      </w:pPr>
      <w:r w:rsidRPr="007F406E">
        <w:rPr>
          <w:rFonts w:ascii="Calibri" w:hAnsi="Calibri" w:cs="Arial"/>
        </w:rPr>
        <w:t xml:space="preserve">Market participants </w:t>
      </w:r>
      <w:r w:rsidR="00DB60A9" w:rsidRPr="007F406E">
        <w:rPr>
          <w:rFonts w:ascii="Calibri" w:hAnsi="Calibri" w:cs="Arial"/>
        </w:rPr>
        <w:t xml:space="preserve">evaluated the COIN SRG2016 change and </w:t>
      </w:r>
      <w:r w:rsidRPr="007F406E">
        <w:rPr>
          <w:rFonts w:ascii="Calibri" w:hAnsi="Calibri" w:cs="Arial"/>
        </w:rPr>
        <w:t>resolved</w:t>
      </w:r>
      <w:r w:rsidR="00DB60A9" w:rsidRPr="007F406E">
        <w:rPr>
          <w:rFonts w:ascii="Calibri" w:hAnsi="Calibri" w:cs="Arial"/>
        </w:rPr>
        <w:t xml:space="preserve"> that this </w:t>
      </w:r>
      <w:r w:rsidRPr="007F406E">
        <w:rPr>
          <w:rFonts w:ascii="Calibri" w:hAnsi="Calibri" w:cs="Arial"/>
        </w:rPr>
        <w:t xml:space="preserve">piece of </w:t>
      </w:r>
      <w:r w:rsidR="00DB60A9" w:rsidRPr="007F406E">
        <w:rPr>
          <w:rFonts w:ascii="Calibri" w:hAnsi="Calibri" w:cs="Arial"/>
        </w:rPr>
        <w:t xml:space="preserve">information will significantly aid beneficiaries </w:t>
      </w:r>
      <w:r w:rsidR="00DB0631" w:rsidRPr="007F406E">
        <w:rPr>
          <w:rFonts w:ascii="Calibri" w:hAnsi="Calibri" w:cs="Arial"/>
        </w:rPr>
        <w:t>to dividend distributions</w:t>
      </w:r>
    </w:p>
    <w:p w:rsidR="00DB0631" w:rsidRPr="007F406E" w:rsidRDefault="00DB60A9" w:rsidP="00DB0631">
      <w:pPr>
        <w:pStyle w:val="ListParagraph"/>
        <w:numPr>
          <w:ilvl w:val="0"/>
          <w:numId w:val="7"/>
        </w:numPr>
        <w:spacing w:line="360" w:lineRule="auto"/>
        <w:rPr>
          <w:rFonts w:cs="Arial"/>
        </w:rPr>
      </w:pPr>
      <w:r w:rsidRPr="007F406E">
        <w:rPr>
          <w:rFonts w:cs="Arial"/>
        </w:rPr>
        <w:t xml:space="preserve">to </w:t>
      </w:r>
      <w:r w:rsidR="00DB0631" w:rsidRPr="007F406E">
        <w:rPr>
          <w:rFonts w:cs="Arial"/>
        </w:rPr>
        <w:t>distinguish between a South African local div</w:t>
      </w:r>
      <w:r w:rsidR="00F02377">
        <w:rPr>
          <w:rFonts w:cs="Arial"/>
        </w:rPr>
        <w:t>idend and foreign dividend and;</w:t>
      </w:r>
    </w:p>
    <w:p w:rsidR="007329F4" w:rsidRPr="007F406E" w:rsidRDefault="00DB0631" w:rsidP="00DB0631">
      <w:pPr>
        <w:pStyle w:val="ListParagraph"/>
        <w:numPr>
          <w:ilvl w:val="0"/>
          <w:numId w:val="7"/>
        </w:numPr>
        <w:spacing w:line="360" w:lineRule="auto"/>
        <w:rPr>
          <w:rFonts w:cs="Arial"/>
        </w:rPr>
      </w:pPr>
      <w:r w:rsidRPr="007F406E">
        <w:rPr>
          <w:rFonts w:cs="Arial"/>
        </w:rPr>
        <w:t xml:space="preserve">to </w:t>
      </w:r>
      <w:r w:rsidR="00DB60A9" w:rsidRPr="007F406E">
        <w:rPr>
          <w:rFonts w:cs="Arial"/>
        </w:rPr>
        <w:t xml:space="preserve">more accurately compute entitlements </w:t>
      </w:r>
      <w:r w:rsidR="00F02377">
        <w:rPr>
          <w:rFonts w:cs="Arial"/>
        </w:rPr>
        <w:t>and aid reclaim</w:t>
      </w:r>
      <w:r w:rsidR="00D933C6">
        <w:rPr>
          <w:rFonts w:cs="Arial"/>
        </w:rPr>
        <w:t>ing</w:t>
      </w:r>
      <w:r w:rsidR="00F02377">
        <w:rPr>
          <w:rFonts w:cs="Arial"/>
        </w:rPr>
        <w:t xml:space="preserve"> withheld taxes </w:t>
      </w:r>
      <w:r w:rsidR="00DB60A9" w:rsidRPr="007F406E">
        <w:rPr>
          <w:rFonts w:cs="Arial"/>
        </w:rPr>
        <w:t>and</w:t>
      </w:r>
      <w:r w:rsidR="00F02377">
        <w:rPr>
          <w:rFonts w:cs="Arial"/>
        </w:rPr>
        <w:t>;</w:t>
      </w:r>
    </w:p>
    <w:p w:rsidR="00DB0631" w:rsidRPr="007F406E" w:rsidRDefault="007329F4" w:rsidP="00DB0631">
      <w:pPr>
        <w:pStyle w:val="ListParagraph"/>
        <w:numPr>
          <w:ilvl w:val="0"/>
          <w:numId w:val="7"/>
        </w:numPr>
        <w:spacing w:line="360" w:lineRule="auto"/>
        <w:rPr>
          <w:rFonts w:cs="Arial"/>
        </w:rPr>
      </w:pPr>
      <w:r w:rsidRPr="007F406E">
        <w:rPr>
          <w:rFonts w:cs="Arial"/>
        </w:rPr>
        <w:t xml:space="preserve">aid </w:t>
      </w:r>
      <w:r w:rsidR="00DB60A9" w:rsidRPr="007F406E">
        <w:rPr>
          <w:rFonts w:cs="Arial"/>
        </w:rPr>
        <w:t xml:space="preserve">Regulated Intermediaries, legislated withholding agents of the South African Revenue Services (SARS), </w:t>
      </w:r>
      <w:r w:rsidR="00F02377">
        <w:rPr>
          <w:rFonts w:cs="Arial"/>
        </w:rPr>
        <w:t xml:space="preserve">to </w:t>
      </w:r>
      <w:r w:rsidRPr="007F406E">
        <w:rPr>
          <w:rFonts w:cs="Arial"/>
        </w:rPr>
        <w:t>fulfill their obligations as agents of SARS (</w:t>
      </w:r>
      <w:r w:rsidR="00DB60A9" w:rsidRPr="007F406E">
        <w:rPr>
          <w:rFonts w:cs="Arial"/>
        </w:rPr>
        <w:t>withhold</w:t>
      </w:r>
      <w:r w:rsidRPr="007F406E">
        <w:rPr>
          <w:rFonts w:cs="Arial"/>
        </w:rPr>
        <w:t xml:space="preserve">, </w:t>
      </w:r>
      <w:r w:rsidR="00DB60A9" w:rsidRPr="007F406E">
        <w:rPr>
          <w:rFonts w:cs="Arial"/>
        </w:rPr>
        <w:t>report</w:t>
      </w:r>
      <w:r w:rsidRPr="007F406E">
        <w:rPr>
          <w:rFonts w:cs="Arial"/>
        </w:rPr>
        <w:t xml:space="preserve"> and pay </w:t>
      </w:r>
      <w:r w:rsidR="00DB60A9" w:rsidRPr="007F406E">
        <w:rPr>
          <w:rFonts w:cs="Arial"/>
        </w:rPr>
        <w:t>taxes</w:t>
      </w:r>
      <w:r w:rsidRPr="007F406E">
        <w:rPr>
          <w:rFonts w:cs="Arial"/>
        </w:rPr>
        <w:t>)</w:t>
      </w:r>
      <w:r w:rsidR="00DB60A9" w:rsidRPr="007F406E">
        <w:rPr>
          <w:rFonts w:cs="Arial"/>
        </w:rPr>
        <w:t xml:space="preserve">. </w:t>
      </w:r>
    </w:p>
    <w:p w:rsidR="007329F4" w:rsidRPr="007F406E" w:rsidRDefault="007329F4" w:rsidP="00DB0631">
      <w:pPr>
        <w:spacing w:line="360" w:lineRule="auto"/>
        <w:rPr>
          <w:rFonts w:ascii="Calibri" w:hAnsi="Calibri" w:cs="Arial"/>
        </w:rPr>
      </w:pPr>
    </w:p>
    <w:p w:rsidR="00224237" w:rsidRPr="007F406E" w:rsidRDefault="007329F4" w:rsidP="00DB0631">
      <w:pPr>
        <w:spacing w:line="360" w:lineRule="auto"/>
        <w:rPr>
          <w:rFonts w:ascii="Calibri" w:hAnsi="Calibri" w:cs="Arial"/>
        </w:rPr>
      </w:pPr>
      <w:r w:rsidRPr="007F406E">
        <w:rPr>
          <w:rFonts w:ascii="Calibri" w:hAnsi="Calibri" w:cs="Arial"/>
        </w:rPr>
        <w:t xml:space="preserve">We may mention that clients are of the same view </w:t>
      </w:r>
      <w:r w:rsidR="00F02377">
        <w:rPr>
          <w:rFonts w:ascii="Calibri" w:hAnsi="Calibri" w:cs="Arial"/>
        </w:rPr>
        <w:t xml:space="preserve">as </w:t>
      </w:r>
      <w:r w:rsidR="00D933C6">
        <w:rPr>
          <w:rFonts w:ascii="Calibri" w:hAnsi="Calibri" w:cs="Arial"/>
        </w:rPr>
        <w:t xml:space="preserve">they </w:t>
      </w:r>
      <w:r w:rsidR="00F02377">
        <w:rPr>
          <w:rFonts w:ascii="Calibri" w:hAnsi="Calibri" w:cs="Arial"/>
        </w:rPr>
        <w:t xml:space="preserve">have expressed the need for this information and </w:t>
      </w:r>
      <w:r w:rsidRPr="007F406E">
        <w:rPr>
          <w:rFonts w:ascii="Calibri" w:hAnsi="Calibri" w:cs="Arial"/>
        </w:rPr>
        <w:t xml:space="preserve">thus </w:t>
      </w:r>
      <w:r w:rsidR="00224237" w:rsidRPr="007F406E">
        <w:rPr>
          <w:rFonts w:ascii="Calibri" w:hAnsi="Calibri" w:cs="Arial"/>
        </w:rPr>
        <w:t>regularly</w:t>
      </w:r>
      <w:r w:rsidRPr="007F406E">
        <w:rPr>
          <w:rFonts w:ascii="Calibri" w:hAnsi="Calibri" w:cs="Arial"/>
        </w:rPr>
        <w:t xml:space="preserve"> request this information. It could be </w:t>
      </w:r>
      <w:r w:rsidR="00D933C6" w:rsidRPr="007F406E">
        <w:rPr>
          <w:rFonts w:ascii="Calibri" w:hAnsi="Calibri" w:cs="Arial"/>
        </w:rPr>
        <w:t>cursorily</w:t>
      </w:r>
      <w:r w:rsidRPr="007F406E">
        <w:rPr>
          <w:rFonts w:ascii="Calibri" w:hAnsi="Calibri" w:cs="Arial"/>
        </w:rPr>
        <w:t xml:space="preserve"> argued that the investor should be aware that </w:t>
      </w:r>
      <w:r w:rsidR="00F02377">
        <w:rPr>
          <w:rFonts w:ascii="Calibri" w:hAnsi="Calibri" w:cs="Arial"/>
        </w:rPr>
        <w:t xml:space="preserve">a company’s </w:t>
      </w:r>
      <w:r w:rsidRPr="007F406E">
        <w:rPr>
          <w:rFonts w:ascii="Calibri" w:hAnsi="Calibri" w:cs="Arial"/>
        </w:rPr>
        <w:t xml:space="preserve">dividends would be foreign and that the foreign dividend annotation could be a reference data item. However, it must be acknowledged that intermediaries </w:t>
      </w:r>
      <w:r w:rsidRPr="007F406E">
        <w:rPr>
          <w:rFonts w:ascii="Calibri" w:hAnsi="Calibri" w:cs="Arial"/>
        </w:rPr>
        <w:lastRenderedPageBreak/>
        <w:t xml:space="preserve">are extensively utilised </w:t>
      </w:r>
      <w:r w:rsidR="00F02377">
        <w:rPr>
          <w:rFonts w:ascii="Calibri" w:hAnsi="Calibri" w:cs="Arial"/>
        </w:rPr>
        <w:t xml:space="preserve">in securities markets </w:t>
      </w:r>
      <w:r w:rsidRPr="007F406E">
        <w:rPr>
          <w:rFonts w:ascii="Calibri" w:hAnsi="Calibri" w:cs="Arial"/>
        </w:rPr>
        <w:t>and thus the intermediary/</w:t>
      </w:r>
      <w:proofErr w:type="spellStart"/>
      <w:r w:rsidRPr="007F406E">
        <w:rPr>
          <w:rFonts w:ascii="Calibri" w:hAnsi="Calibri" w:cs="Arial"/>
        </w:rPr>
        <w:t>ies</w:t>
      </w:r>
      <w:proofErr w:type="spellEnd"/>
      <w:r w:rsidRPr="007F406E">
        <w:rPr>
          <w:rFonts w:ascii="Calibri" w:hAnsi="Calibri" w:cs="Arial"/>
        </w:rPr>
        <w:t xml:space="preserve"> would not necessarily have this information. </w:t>
      </w:r>
      <w:r w:rsidR="00224237" w:rsidRPr="007F406E">
        <w:rPr>
          <w:rFonts w:ascii="Calibri" w:hAnsi="Calibri" w:cs="Arial"/>
        </w:rPr>
        <w:t xml:space="preserve">Furthermore, the JSE’s augmented Listing Requirements obliges Issuers to state in their market announcements when the dividend </w:t>
      </w:r>
      <w:r w:rsidR="00F02377">
        <w:rPr>
          <w:rFonts w:ascii="Calibri" w:hAnsi="Calibri" w:cs="Arial"/>
        </w:rPr>
        <w:t xml:space="preserve">(or portion thereof) </w:t>
      </w:r>
      <w:r w:rsidR="00224237" w:rsidRPr="007F406E">
        <w:rPr>
          <w:rFonts w:ascii="Calibri" w:hAnsi="Calibri" w:cs="Arial"/>
        </w:rPr>
        <w:t xml:space="preserve">would be classified as foreign. </w:t>
      </w:r>
    </w:p>
    <w:p w:rsidR="00224237" w:rsidRPr="007F406E" w:rsidRDefault="00224237" w:rsidP="00DB0631">
      <w:pPr>
        <w:spacing w:line="360" w:lineRule="auto"/>
        <w:rPr>
          <w:rFonts w:ascii="Calibri" w:hAnsi="Calibri" w:cs="Arial"/>
        </w:rPr>
      </w:pPr>
      <w:r w:rsidRPr="007F406E">
        <w:rPr>
          <w:rFonts w:ascii="Calibri" w:hAnsi="Calibri" w:cs="Arial"/>
        </w:rPr>
        <w:t xml:space="preserve">Global Market Practice Part 1 (GMP1) guides as </w:t>
      </w:r>
      <w:r w:rsidR="008E6F9D" w:rsidRPr="007F406E">
        <w:rPr>
          <w:rFonts w:ascii="Calibri" w:hAnsi="Calibri" w:cs="Arial"/>
        </w:rPr>
        <w:t>follows: -</w:t>
      </w:r>
    </w:p>
    <w:p w:rsidR="00224237" w:rsidRPr="007F406E" w:rsidRDefault="00224237" w:rsidP="00224237">
      <w:pPr>
        <w:rPr>
          <w:rFonts w:ascii="Calibri" w:hAnsi="Calibri" w:cs="Arial"/>
        </w:rPr>
      </w:pPr>
      <w:r w:rsidRPr="007F406E">
        <w:rPr>
          <w:rFonts w:ascii="Calibri" w:hAnsi="Calibri" w:cs="Arial"/>
        </w:rPr>
        <w:t>“</w:t>
      </w:r>
      <w:r w:rsidRPr="007F406E">
        <w:rPr>
          <w:rFonts w:ascii="Calibri" w:hAnsi="Calibri" w:cs="Arial"/>
          <w:u w:val="single"/>
        </w:rPr>
        <w:t>Usage of Country of Income Source (COIN) Place Field</w:t>
      </w:r>
      <w:r w:rsidRPr="007F406E">
        <w:rPr>
          <w:rFonts w:ascii="Calibri" w:hAnsi="Calibri" w:cs="Arial"/>
        </w:rPr>
        <w:t xml:space="preserve"> </w:t>
      </w:r>
    </w:p>
    <w:p w:rsidR="00224237" w:rsidRPr="007F406E" w:rsidRDefault="00224237" w:rsidP="00224237">
      <w:pPr>
        <w:rPr>
          <w:rFonts w:ascii="Calibri" w:hAnsi="Calibri"/>
        </w:rPr>
      </w:pPr>
      <w:r w:rsidRPr="007F406E">
        <w:rPr>
          <w:rFonts w:ascii="Calibri" w:hAnsi="Calibri" w:cs="Arial"/>
        </w:rPr>
        <w:t>The Country of Income Source Place fields present in cash and securities movement sequences of the MT 564 and M T566 should not be used for Depositary Receipts (ADRs or GDRs) to specify the origin of the underlying instrument. It should only be used in exceptional cases when the country of origin of different portions of an income (for one specific instrument) needs to be identified. It will usually happen when a different tax rate must eventually be applied to the different income portions. This information should be filled in in messages when provided by the issuer or its agent only. The following example shows how this COIN qualifier should be used: Brookfield Renewable is paying income to the securities holders from three different sources, from two different countries, the field :94</w:t>
      </w:r>
      <w:proofErr w:type="gramStart"/>
      <w:r w:rsidRPr="007F406E">
        <w:rPr>
          <w:rFonts w:ascii="Calibri" w:hAnsi="Calibri" w:cs="Arial"/>
        </w:rPr>
        <w:t>C::</w:t>
      </w:r>
      <w:proofErr w:type="gramEnd"/>
      <w:r w:rsidRPr="007F406E">
        <w:rPr>
          <w:rFonts w:ascii="Calibri" w:hAnsi="Calibri" w:cs="Arial"/>
        </w:rPr>
        <w:t>COIN is used to identify the source country for each income portion in an MT566</w:t>
      </w:r>
      <w:r w:rsidRPr="007F406E">
        <w:rPr>
          <w:rFonts w:ascii="Calibri" w:hAnsi="Calibri"/>
        </w:rPr>
        <w:t>:”</w:t>
      </w:r>
    </w:p>
    <w:p w:rsidR="00224237" w:rsidRPr="007F406E" w:rsidRDefault="00224237" w:rsidP="00224237">
      <w:pPr>
        <w:rPr>
          <w:rFonts w:ascii="Calibri" w:hAnsi="Calibri"/>
        </w:rPr>
      </w:pPr>
    </w:p>
    <w:p w:rsidR="00224237" w:rsidRPr="007F406E" w:rsidRDefault="00224237" w:rsidP="00224237">
      <w:pPr>
        <w:rPr>
          <w:rFonts w:ascii="Calibri" w:hAnsi="Calibri" w:cs="Arial"/>
        </w:rPr>
      </w:pPr>
      <w:r w:rsidRPr="007F406E">
        <w:rPr>
          <w:rFonts w:ascii="Calibri" w:hAnsi="Calibri" w:cs="Arial"/>
        </w:rPr>
        <w:t xml:space="preserve">South Africa requests that GMP1 </w:t>
      </w:r>
      <w:r w:rsidR="008E6F9D" w:rsidRPr="007F406E">
        <w:rPr>
          <w:rFonts w:ascii="Calibri" w:hAnsi="Calibri" w:cs="Arial"/>
        </w:rPr>
        <w:t>should</w:t>
      </w:r>
      <w:r w:rsidRPr="007F406E">
        <w:rPr>
          <w:rFonts w:ascii="Calibri" w:hAnsi="Calibri" w:cs="Arial"/>
        </w:rPr>
        <w:t xml:space="preserve"> be amended as </w:t>
      </w:r>
      <w:r w:rsidR="008E6F9D" w:rsidRPr="007F406E">
        <w:rPr>
          <w:rFonts w:ascii="Calibri" w:hAnsi="Calibri" w:cs="Arial"/>
        </w:rPr>
        <w:t>follows: -</w:t>
      </w:r>
    </w:p>
    <w:p w:rsidR="00224237" w:rsidRPr="007F406E" w:rsidRDefault="00224237" w:rsidP="00224237">
      <w:pPr>
        <w:rPr>
          <w:rFonts w:ascii="Calibri" w:hAnsi="Calibri" w:cs="Arial"/>
          <w:u w:val="single"/>
        </w:rPr>
      </w:pPr>
      <w:r w:rsidRPr="007F406E">
        <w:rPr>
          <w:rFonts w:ascii="Calibri" w:hAnsi="Calibri" w:cs="Arial"/>
          <w:u w:val="single"/>
        </w:rPr>
        <w:t>Usage of Country of Income Source (COIN) Place Field</w:t>
      </w:r>
    </w:p>
    <w:p w:rsidR="00224237" w:rsidRPr="007F406E" w:rsidRDefault="00224237" w:rsidP="00224237">
      <w:pPr>
        <w:rPr>
          <w:rFonts w:ascii="Calibri" w:hAnsi="Calibri" w:cs="Arial"/>
          <w:sz w:val="20"/>
          <w:szCs w:val="20"/>
        </w:rPr>
      </w:pPr>
      <w:r w:rsidRPr="007F406E">
        <w:rPr>
          <w:rFonts w:ascii="Calibri" w:hAnsi="Calibri" w:cs="Arial"/>
        </w:rPr>
        <w:t xml:space="preserve">The Country of Income Source Place fields present in cash and securities movement sequences of the MT 564 and M T566 should not be used for Depositary Receipts (ADRs or GDRs) to specify the origin of the underlying instrument. It should </w:t>
      </w:r>
      <w:r w:rsidR="0084033B">
        <w:rPr>
          <w:rFonts w:ascii="Calibri" w:hAnsi="Calibri" w:cs="Arial"/>
        </w:rPr>
        <w:t xml:space="preserve">be </w:t>
      </w:r>
      <w:r w:rsidRPr="007F406E">
        <w:rPr>
          <w:rFonts w:ascii="Calibri" w:hAnsi="Calibri" w:cs="Arial"/>
          <w:strike/>
          <w:color w:val="FF0000"/>
        </w:rPr>
        <w:t xml:space="preserve">only be </w:t>
      </w:r>
      <w:r w:rsidRPr="003442A3">
        <w:rPr>
          <w:rFonts w:ascii="Calibri" w:hAnsi="Calibri" w:cs="Arial"/>
        </w:rPr>
        <w:t>used in</w:t>
      </w:r>
      <w:r w:rsidRPr="003442A3">
        <w:rPr>
          <w:rFonts w:ascii="Calibri" w:hAnsi="Calibri" w:cs="Arial"/>
          <w:strike/>
        </w:rPr>
        <w:t xml:space="preserve"> </w:t>
      </w:r>
      <w:r w:rsidRPr="007F406E">
        <w:rPr>
          <w:rFonts w:ascii="Calibri" w:hAnsi="Calibri" w:cs="Arial"/>
          <w:strike/>
          <w:color w:val="FF0000"/>
        </w:rPr>
        <w:t>exceptional</w:t>
      </w:r>
      <w:r w:rsidRPr="007F406E">
        <w:rPr>
          <w:rFonts w:ascii="Calibri" w:hAnsi="Calibri" w:cs="Arial"/>
          <w:color w:val="FF0000"/>
        </w:rPr>
        <w:t xml:space="preserve"> </w:t>
      </w:r>
      <w:r w:rsidRPr="007F406E">
        <w:rPr>
          <w:rFonts w:ascii="Calibri" w:hAnsi="Calibri" w:cs="Arial"/>
        </w:rPr>
        <w:t xml:space="preserve">cases when the country of origin </w:t>
      </w:r>
      <w:bookmarkStart w:id="2" w:name="_GoBack"/>
      <w:r w:rsidR="00C955FE" w:rsidRPr="002B713D">
        <w:rPr>
          <w:rFonts w:ascii="Calibri" w:hAnsi="Calibri" w:cs="Arial"/>
          <w:color w:val="0070C0"/>
        </w:rPr>
        <w:t xml:space="preserve">(country </w:t>
      </w:r>
      <w:bookmarkEnd w:id="2"/>
      <w:r w:rsidR="00C955FE" w:rsidRPr="002B713D">
        <w:rPr>
          <w:rFonts w:ascii="Calibri" w:hAnsi="Calibri" w:cs="Arial"/>
          <w:color w:val="0070C0"/>
        </w:rPr>
        <w:t>from which the income is paid</w:t>
      </w:r>
      <w:r w:rsidR="00C955FE" w:rsidRPr="002B713D">
        <w:rPr>
          <w:rFonts w:ascii="Calibri" w:hAnsi="Calibri" w:cs="Arial"/>
          <w:color w:val="0070C0"/>
        </w:rPr>
        <w:t>)</w:t>
      </w:r>
      <w:r w:rsidR="00C955FE">
        <w:rPr>
          <w:rFonts w:ascii="Arial" w:hAnsi="Arial" w:cs="Arial"/>
          <w:i/>
          <w:iCs/>
          <w:color w:val="0070C0"/>
          <w:sz w:val="20"/>
          <w:szCs w:val="20"/>
          <w:lang w:val="en-US"/>
        </w:rPr>
        <w:t xml:space="preserve"> </w:t>
      </w:r>
      <w:r w:rsidR="0084033B">
        <w:rPr>
          <w:rFonts w:ascii="Calibri" w:hAnsi="Calibri" w:cs="Arial"/>
        </w:rPr>
        <w:t xml:space="preserve">of </w:t>
      </w:r>
      <w:proofErr w:type="spellStart"/>
      <w:r w:rsidRPr="003442A3">
        <w:rPr>
          <w:rFonts w:ascii="Calibri" w:hAnsi="Calibri" w:cs="Arial"/>
          <w:strike/>
        </w:rPr>
        <w:t>of</w:t>
      </w:r>
      <w:proofErr w:type="spellEnd"/>
      <w:r w:rsidRPr="003442A3">
        <w:rPr>
          <w:rFonts w:ascii="Calibri" w:hAnsi="Calibri" w:cs="Arial"/>
          <w:strike/>
        </w:rPr>
        <w:t xml:space="preserve"> different portions of an</w:t>
      </w:r>
      <w:r w:rsidRPr="007F406E">
        <w:rPr>
          <w:rFonts w:ascii="Calibri" w:hAnsi="Calibri" w:cs="Arial"/>
        </w:rPr>
        <w:t xml:space="preserve"> income (</w:t>
      </w:r>
      <w:r w:rsidR="003442A3" w:rsidRPr="003442A3">
        <w:rPr>
          <w:rFonts w:ascii="Calibri" w:hAnsi="Calibri" w:cs="Arial"/>
          <w:color w:val="FF0000"/>
        </w:rPr>
        <w:t xml:space="preserve">or portion thereof </w:t>
      </w:r>
      <w:r w:rsidRPr="003442A3">
        <w:rPr>
          <w:rFonts w:ascii="Calibri" w:hAnsi="Calibri" w:cs="Arial"/>
          <w:strike/>
        </w:rPr>
        <w:t>for one specific instrument</w:t>
      </w:r>
      <w:r w:rsidRPr="007F406E">
        <w:rPr>
          <w:rFonts w:ascii="Calibri" w:hAnsi="Calibri" w:cs="Arial"/>
        </w:rPr>
        <w:t xml:space="preserve">) needs to be identified. It will usually happen when a different tax rate must eventually be applied to the </w:t>
      </w:r>
      <w:r w:rsidRPr="007F406E">
        <w:rPr>
          <w:rFonts w:ascii="Calibri" w:hAnsi="Calibri" w:cs="Arial"/>
          <w:strike/>
          <w:color w:val="FF0000"/>
        </w:rPr>
        <w:t>different</w:t>
      </w:r>
      <w:r w:rsidRPr="007F406E">
        <w:rPr>
          <w:rFonts w:ascii="Calibri" w:hAnsi="Calibri" w:cs="Arial"/>
        </w:rPr>
        <w:t xml:space="preserve"> income </w:t>
      </w:r>
      <w:r w:rsidR="008E6F9D" w:rsidRPr="007F406E">
        <w:rPr>
          <w:rFonts w:ascii="Calibri" w:hAnsi="Calibri" w:cs="Arial"/>
          <w:color w:val="0070C0"/>
        </w:rPr>
        <w:t xml:space="preserve">or different tax rates to different </w:t>
      </w:r>
      <w:r w:rsidRPr="007F406E">
        <w:rPr>
          <w:rFonts w:ascii="Calibri" w:hAnsi="Calibri" w:cs="Arial"/>
          <w:color w:val="0070C0"/>
        </w:rPr>
        <w:t>portions</w:t>
      </w:r>
      <w:r w:rsidR="008E6F9D" w:rsidRPr="007F406E">
        <w:rPr>
          <w:rFonts w:ascii="Calibri" w:hAnsi="Calibri" w:cs="Arial"/>
          <w:color w:val="0070C0"/>
        </w:rPr>
        <w:t xml:space="preserve"> of the income</w:t>
      </w:r>
      <w:r w:rsidRPr="007F406E">
        <w:rPr>
          <w:rFonts w:ascii="Calibri" w:hAnsi="Calibri" w:cs="Arial"/>
          <w:color w:val="0070C0"/>
        </w:rPr>
        <w:t>.</w:t>
      </w:r>
      <w:r w:rsidRPr="007F406E">
        <w:rPr>
          <w:rFonts w:ascii="Calibri" w:hAnsi="Calibri" w:cs="Arial"/>
        </w:rPr>
        <w:t xml:space="preserve"> This information should be filled in in messages when provided by the issuer or its agent</w:t>
      </w:r>
      <w:r w:rsidR="00B8023B">
        <w:rPr>
          <w:rFonts w:ascii="Calibri" w:hAnsi="Calibri" w:cs="Arial"/>
        </w:rPr>
        <w:t>.</w:t>
      </w:r>
      <w:r w:rsidRPr="007F406E">
        <w:rPr>
          <w:rFonts w:ascii="Calibri" w:hAnsi="Calibri" w:cs="Arial"/>
        </w:rPr>
        <w:t xml:space="preserve"> </w:t>
      </w:r>
      <w:r w:rsidRPr="00B8023B">
        <w:rPr>
          <w:rFonts w:ascii="Calibri" w:hAnsi="Calibri" w:cs="Arial"/>
          <w:strike/>
        </w:rPr>
        <w:t>only</w:t>
      </w:r>
      <w:r w:rsidRPr="007F406E">
        <w:rPr>
          <w:rFonts w:ascii="Calibri" w:hAnsi="Calibri" w:cs="Arial"/>
        </w:rPr>
        <w:t>. The following example shows how this COIN qualifier should be used: Brookfield Renewable is paying income to the securities holders from three different sources, from two different countries, the field :94</w:t>
      </w:r>
      <w:proofErr w:type="gramStart"/>
      <w:r w:rsidRPr="007F406E">
        <w:rPr>
          <w:rFonts w:ascii="Calibri" w:hAnsi="Calibri" w:cs="Arial"/>
        </w:rPr>
        <w:t>C::</w:t>
      </w:r>
      <w:proofErr w:type="gramEnd"/>
      <w:r w:rsidRPr="007F406E">
        <w:rPr>
          <w:rFonts w:ascii="Calibri" w:hAnsi="Calibri" w:cs="Arial"/>
        </w:rPr>
        <w:t>COIN is used to identify the source country for each income portion in an MT566:</w:t>
      </w:r>
    </w:p>
    <w:p w:rsidR="00224237" w:rsidRPr="007F406E" w:rsidRDefault="00224237" w:rsidP="00224237">
      <w:pPr>
        <w:rPr>
          <w:rFonts w:ascii="Calibri" w:hAnsi="Calibri"/>
          <w:sz w:val="20"/>
          <w:szCs w:val="20"/>
        </w:rPr>
      </w:pPr>
    </w:p>
    <w:p w:rsidR="007F406E" w:rsidRPr="007F406E" w:rsidRDefault="008E6F9D" w:rsidP="007F406E">
      <w:pPr>
        <w:spacing w:after="0" w:line="240" w:lineRule="auto"/>
        <w:rPr>
          <w:rFonts w:ascii="Calibri" w:hAnsi="Calibri" w:cs="Arial"/>
        </w:rPr>
      </w:pPr>
      <w:r w:rsidRPr="007F406E">
        <w:rPr>
          <w:rFonts w:ascii="Calibri" w:hAnsi="Calibri" w:cs="Arial"/>
        </w:rPr>
        <w:t xml:space="preserve">The above amendment will allow COIN to be </w:t>
      </w:r>
      <w:r w:rsidR="007F406E" w:rsidRPr="007F406E">
        <w:rPr>
          <w:rFonts w:ascii="Calibri" w:hAnsi="Calibri" w:cs="Arial"/>
        </w:rPr>
        <w:t xml:space="preserve">communicated and it will aid: - </w:t>
      </w:r>
    </w:p>
    <w:p w:rsidR="007F406E" w:rsidRPr="007F406E" w:rsidRDefault="007F406E" w:rsidP="007F406E">
      <w:pPr>
        <w:numPr>
          <w:ilvl w:val="2"/>
          <w:numId w:val="13"/>
        </w:numPr>
        <w:spacing w:after="0" w:line="240" w:lineRule="auto"/>
        <w:rPr>
          <w:rFonts w:ascii="Calibri" w:hAnsi="Calibri" w:cs="Arial"/>
        </w:rPr>
      </w:pPr>
      <w:r w:rsidRPr="007F406E">
        <w:rPr>
          <w:rFonts w:ascii="Calibri" w:hAnsi="Calibri" w:cs="Arial"/>
        </w:rPr>
        <w:t>Entitlement computation</w:t>
      </w:r>
    </w:p>
    <w:p w:rsidR="007F406E" w:rsidRPr="007F406E" w:rsidRDefault="007F406E" w:rsidP="007F406E">
      <w:pPr>
        <w:numPr>
          <w:ilvl w:val="2"/>
          <w:numId w:val="13"/>
        </w:numPr>
        <w:spacing w:after="0" w:line="240" w:lineRule="auto"/>
        <w:rPr>
          <w:rFonts w:ascii="Calibri" w:hAnsi="Calibri" w:cs="Arial"/>
        </w:rPr>
      </w:pPr>
      <w:r w:rsidRPr="007F406E">
        <w:rPr>
          <w:rFonts w:ascii="Calibri" w:hAnsi="Calibri" w:cs="Arial"/>
        </w:rPr>
        <w:t xml:space="preserve">Tax reclaims </w:t>
      </w:r>
    </w:p>
    <w:p w:rsidR="007F406E" w:rsidRPr="007F406E" w:rsidRDefault="007F406E" w:rsidP="007F406E">
      <w:pPr>
        <w:numPr>
          <w:ilvl w:val="2"/>
          <w:numId w:val="13"/>
        </w:numPr>
        <w:spacing w:after="0" w:line="240" w:lineRule="auto"/>
        <w:rPr>
          <w:rFonts w:ascii="Calibri" w:hAnsi="Calibri"/>
          <w:lang w:val="en-US"/>
        </w:rPr>
      </w:pPr>
      <w:r w:rsidRPr="007F406E">
        <w:rPr>
          <w:rFonts w:ascii="Calibri" w:hAnsi="Calibri" w:cs="Arial"/>
        </w:rPr>
        <w:t>STP, etc</w:t>
      </w:r>
    </w:p>
    <w:p w:rsidR="007F406E" w:rsidRPr="007F406E" w:rsidRDefault="007F406E" w:rsidP="00DB0631">
      <w:pPr>
        <w:spacing w:line="360" w:lineRule="auto"/>
        <w:rPr>
          <w:rFonts w:ascii="Calibri" w:hAnsi="Calibri" w:cs="Arial"/>
        </w:rPr>
      </w:pPr>
      <w:r w:rsidRPr="007F406E">
        <w:rPr>
          <w:rFonts w:ascii="Calibri" w:hAnsi="Calibri" w:cs="Arial"/>
        </w:rPr>
        <w:t xml:space="preserve">The recipient also receives this valuable piece of information </w:t>
      </w:r>
      <w:r w:rsidR="00B8023B">
        <w:rPr>
          <w:rFonts w:ascii="Calibri" w:hAnsi="Calibri" w:cs="Arial"/>
        </w:rPr>
        <w:t xml:space="preserve">in </w:t>
      </w:r>
      <w:r w:rsidRPr="007F406E">
        <w:rPr>
          <w:rFonts w:ascii="Calibri" w:hAnsi="Calibri" w:cs="Arial"/>
        </w:rPr>
        <w:t xml:space="preserve">the movement sequences of the MT564 and MT566 thereby allowing for more accurate entitlement projections. </w:t>
      </w:r>
    </w:p>
    <w:sectPr w:rsidR="007F406E" w:rsidRPr="007F4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4719"/>
    <w:multiLevelType w:val="hybridMultilevel"/>
    <w:tmpl w:val="A67A481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15B47D1"/>
    <w:multiLevelType w:val="multilevel"/>
    <w:tmpl w:val="77CAF3E4"/>
    <w:lvl w:ilvl="0">
      <w:start w:val="1"/>
      <w:numFmt w:val="decimal"/>
      <w:pStyle w:val="List"/>
      <w:lvlText w:val="%1."/>
      <w:lvlJc w:val="left"/>
      <w:pPr>
        <w:ind w:left="576" w:hanging="576"/>
      </w:pPr>
    </w:lvl>
    <w:lvl w:ilvl="1">
      <w:start w:val="1"/>
      <w:numFmt w:val="decimal"/>
      <w:pStyle w:val="List2"/>
      <w:lvlText w:val="%1.%2."/>
      <w:lvlJc w:val="left"/>
      <w:pPr>
        <w:ind w:left="864" w:hanging="864"/>
      </w:pPr>
    </w:lvl>
    <w:lvl w:ilvl="2">
      <w:start w:val="1"/>
      <w:numFmt w:val="decimal"/>
      <w:pStyle w:val="List3"/>
      <w:lvlText w:val="%1.%2.%3."/>
      <w:lvlJc w:val="left"/>
      <w:pPr>
        <w:ind w:left="1152" w:hanging="1152"/>
      </w:pPr>
    </w:lvl>
    <w:lvl w:ilvl="3">
      <w:start w:val="1"/>
      <w:numFmt w:val="decimal"/>
      <w:pStyle w:val="List4"/>
      <w:lvlText w:val="%1.%2.%3.%4."/>
      <w:lvlJc w:val="left"/>
      <w:pPr>
        <w:ind w:left="1440" w:hanging="1440"/>
      </w:pPr>
    </w:lvl>
    <w:lvl w:ilvl="4">
      <w:start w:val="1"/>
      <w:numFmt w:val="decimal"/>
      <w:pStyle w:val="List5"/>
      <w:lvlText w:val="%1.%2.%3.%4.%5."/>
      <w:lvlJc w:val="left"/>
      <w:pPr>
        <w:ind w:left="1728" w:hanging="1728"/>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714244"/>
    <w:multiLevelType w:val="hybridMultilevel"/>
    <w:tmpl w:val="E468EC1A"/>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3BA44C89"/>
    <w:multiLevelType w:val="hybridMultilevel"/>
    <w:tmpl w:val="E1F05BD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C2170C2"/>
    <w:multiLevelType w:val="hybridMultilevel"/>
    <w:tmpl w:val="2EF6DD8E"/>
    <w:lvl w:ilvl="0" w:tplc="1C09000F">
      <w:start w:val="1"/>
      <w:numFmt w:val="decimal"/>
      <w:pStyle w:val="ListNumber2"/>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3DB87FAB"/>
    <w:multiLevelType w:val="multilevel"/>
    <w:tmpl w:val="4D6A5770"/>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5F772C2"/>
    <w:multiLevelType w:val="multilevel"/>
    <w:tmpl w:val="84960E34"/>
    <w:lvl w:ilvl="0">
      <w:start w:val="1"/>
      <w:numFmt w:val="bullet"/>
      <w:lvlText w:val=""/>
      <w:lvlJc w:val="left"/>
      <w:pPr>
        <w:tabs>
          <w:tab w:val="num" w:pos="-525"/>
        </w:tabs>
        <w:ind w:left="-525" w:hanging="360"/>
      </w:pPr>
      <w:rPr>
        <w:rFonts w:ascii="Symbol" w:hAnsi="Symbol" w:hint="default"/>
        <w:sz w:val="20"/>
      </w:rPr>
    </w:lvl>
    <w:lvl w:ilvl="1">
      <w:start w:val="1"/>
      <w:numFmt w:val="bullet"/>
      <w:lvlText w:val=""/>
      <w:lvlJc w:val="left"/>
      <w:pPr>
        <w:tabs>
          <w:tab w:val="num" w:pos="195"/>
        </w:tabs>
        <w:ind w:left="195" w:hanging="360"/>
      </w:pPr>
      <w:rPr>
        <w:rFonts w:ascii="Wingdings" w:hAnsi="Wingdings" w:hint="default"/>
        <w:sz w:val="20"/>
      </w:rPr>
    </w:lvl>
    <w:lvl w:ilvl="2">
      <w:start w:val="1"/>
      <w:numFmt w:val="bullet"/>
      <w:lvlText w:val=""/>
      <w:lvlJc w:val="left"/>
      <w:pPr>
        <w:tabs>
          <w:tab w:val="num" w:pos="915"/>
        </w:tabs>
        <w:ind w:left="915" w:hanging="360"/>
      </w:pPr>
      <w:rPr>
        <w:rFonts w:ascii="Wingdings" w:hAnsi="Wingdings" w:hint="default"/>
        <w:sz w:val="20"/>
      </w:rPr>
    </w:lvl>
    <w:lvl w:ilvl="3">
      <w:start w:val="1"/>
      <w:numFmt w:val="bullet"/>
      <w:lvlText w:val=""/>
      <w:lvlJc w:val="left"/>
      <w:pPr>
        <w:tabs>
          <w:tab w:val="num" w:pos="1635"/>
        </w:tabs>
        <w:ind w:left="1635" w:hanging="360"/>
      </w:pPr>
      <w:rPr>
        <w:rFonts w:ascii="Symbol" w:hAnsi="Symbol" w:hint="default"/>
        <w:sz w:val="20"/>
      </w:rPr>
    </w:lvl>
    <w:lvl w:ilvl="4">
      <w:start w:val="1"/>
      <w:numFmt w:val="bullet"/>
      <w:lvlText w:val=""/>
      <w:lvlJc w:val="left"/>
      <w:pPr>
        <w:tabs>
          <w:tab w:val="num" w:pos="2355"/>
        </w:tabs>
        <w:ind w:left="2355" w:hanging="360"/>
      </w:pPr>
      <w:rPr>
        <w:rFonts w:ascii="Symbol" w:hAnsi="Symbol" w:hint="default"/>
        <w:sz w:val="20"/>
      </w:rPr>
    </w:lvl>
    <w:lvl w:ilvl="5">
      <w:start w:val="1"/>
      <w:numFmt w:val="bullet"/>
      <w:lvlText w:val=""/>
      <w:lvlJc w:val="left"/>
      <w:pPr>
        <w:tabs>
          <w:tab w:val="num" w:pos="3075"/>
        </w:tabs>
        <w:ind w:left="3075" w:hanging="360"/>
      </w:pPr>
      <w:rPr>
        <w:rFonts w:ascii="Symbol" w:hAnsi="Symbol" w:hint="default"/>
        <w:sz w:val="20"/>
      </w:rPr>
    </w:lvl>
    <w:lvl w:ilvl="6">
      <w:start w:val="1"/>
      <w:numFmt w:val="bullet"/>
      <w:lvlText w:val=""/>
      <w:lvlJc w:val="left"/>
      <w:pPr>
        <w:tabs>
          <w:tab w:val="num" w:pos="3795"/>
        </w:tabs>
        <w:ind w:left="3795" w:hanging="360"/>
      </w:pPr>
      <w:rPr>
        <w:rFonts w:ascii="Symbol" w:hAnsi="Symbol" w:hint="default"/>
        <w:sz w:val="20"/>
      </w:rPr>
    </w:lvl>
    <w:lvl w:ilvl="7">
      <w:start w:val="1"/>
      <w:numFmt w:val="bullet"/>
      <w:lvlText w:val=""/>
      <w:lvlJc w:val="left"/>
      <w:pPr>
        <w:tabs>
          <w:tab w:val="num" w:pos="4515"/>
        </w:tabs>
        <w:ind w:left="4515" w:hanging="360"/>
      </w:pPr>
      <w:rPr>
        <w:rFonts w:ascii="Symbol" w:hAnsi="Symbol" w:hint="default"/>
        <w:sz w:val="20"/>
      </w:rPr>
    </w:lvl>
    <w:lvl w:ilvl="8">
      <w:start w:val="1"/>
      <w:numFmt w:val="bullet"/>
      <w:lvlText w:val=""/>
      <w:lvlJc w:val="left"/>
      <w:pPr>
        <w:tabs>
          <w:tab w:val="num" w:pos="5235"/>
        </w:tabs>
        <w:ind w:left="5235" w:hanging="360"/>
      </w:pPr>
      <w:rPr>
        <w:rFonts w:ascii="Symbol" w:hAnsi="Symbol" w:hint="default"/>
        <w:sz w:val="20"/>
      </w:rPr>
    </w:lvl>
  </w:abstractNum>
  <w:abstractNum w:abstractNumId="7" w15:restartNumberingAfterBreak="0">
    <w:nsid w:val="6ED128CE"/>
    <w:multiLevelType w:val="hybridMultilevel"/>
    <w:tmpl w:val="1E669E7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8360D32"/>
    <w:multiLevelType w:val="multilevel"/>
    <w:tmpl w:val="F858EB4C"/>
    <w:lvl w:ilvl="0">
      <w:start w:val="1"/>
      <w:numFmt w:val="bullet"/>
      <w:lvlText w:val=""/>
      <w:lvlJc w:val="left"/>
      <w:pPr>
        <w:tabs>
          <w:tab w:val="num" w:pos="-525"/>
        </w:tabs>
        <w:ind w:left="-525" w:hanging="360"/>
      </w:pPr>
      <w:rPr>
        <w:rFonts w:ascii="Symbol" w:hAnsi="Symbol" w:hint="default"/>
        <w:sz w:val="20"/>
      </w:rPr>
    </w:lvl>
    <w:lvl w:ilvl="1">
      <w:start w:val="1"/>
      <w:numFmt w:val="bullet"/>
      <w:lvlText w:val=""/>
      <w:lvlJc w:val="left"/>
      <w:pPr>
        <w:tabs>
          <w:tab w:val="num" w:pos="195"/>
        </w:tabs>
        <w:ind w:left="195" w:hanging="360"/>
      </w:pPr>
      <w:rPr>
        <w:rFonts w:ascii="Symbol" w:hAnsi="Symbol" w:hint="default"/>
        <w:sz w:val="20"/>
      </w:rPr>
    </w:lvl>
    <w:lvl w:ilvl="2">
      <w:start w:val="1"/>
      <w:numFmt w:val="bullet"/>
      <w:lvlText w:val=""/>
      <w:lvlJc w:val="left"/>
      <w:pPr>
        <w:tabs>
          <w:tab w:val="num" w:pos="915"/>
        </w:tabs>
        <w:ind w:left="915" w:hanging="360"/>
      </w:pPr>
      <w:rPr>
        <w:rFonts w:ascii="Symbol" w:hAnsi="Symbol" w:hint="default"/>
        <w:sz w:val="20"/>
      </w:rPr>
    </w:lvl>
    <w:lvl w:ilvl="3">
      <w:start w:val="1"/>
      <w:numFmt w:val="bullet"/>
      <w:lvlText w:val=""/>
      <w:lvlJc w:val="left"/>
      <w:pPr>
        <w:tabs>
          <w:tab w:val="num" w:pos="1635"/>
        </w:tabs>
        <w:ind w:left="1635" w:hanging="360"/>
      </w:pPr>
      <w:rPr>
        <w:rFonts w:ascii="Symbol" w:hAnsi="Symbol" w:hint="default"/>
        <w:sz w:val="20"/>
      </w:rPr>
    </w:lvl>
    <w:lvl w:ilvl="4">
      <w:start w:val="1"/>
      <w:numFmt w:val="bullet"/>
      <w:lvlText w:val=""/>
      <w:lvlJc w:val="left"/>
      <w:pPr>
        <w:tabs>
          <w:tab w:val="num" w:pos="2355"/>
        </w:tabs>
        <w:ind w:left="2355" w:hanging="360"/>
      </w:pPr>
      <w:rPr>
        <w:rFonts w:ascii="Symbol" w:hAnsi="Symbol" w:hint="default"/>
        <w:sz w:val="20"/>
      </w:rPr>
    </w:lvl>
    <w:lvl w:ilvl="5">
      <w:start w:val="1"/>
      <w:numFmt w:val="bullet"/>
      <w:lvlText w:val=""/>
      <w:lvlJc w:val="left"/>
      <w:pPr>
        <w:tabs>
          <w:tab w:val="num" w:pos="3075"/>
        </w:tabs>
        <w:ind w:left="3075" w:hanging="360"/>
      </w:pPr>
      <w:rPr>
        <w:rFonts w:ascii="Symbol" w:hAnsi="Symbol" w:hint="default"/>
        <w:sz w:val="20"/>
      </w:rPr>
    </w:lvl>
    <w:lvl w:ilvl="6">
      <w:start w:val="1"/>
      <w:numFmt w:val="bullet"/>
      <w:lvlText w:val=""/>
      <w:lvlJc w:val="left"/>
      <w:pPr>
        <w:tabs>
          <w:tab w:val="num" w:pos="3795"/>
        </w:tabs>
        <w:ind w:left="3795" w:hanging="360"/>
      </w:pPr>
      <w:rPr>
        <w:rFonts w:ascii="Symbol" w:hAnsi="Symbol" w:hint="default"/>
        <w:sz w:val="20"/>
      </w:rPr>
    </w:lvl>
    <w:lvl w:ilvl="7">
      <w:start w:val="1"/>
      <w:numFmt w:val="bullet"/>
      <w:lvlText w:val=""/>
      <w:lvlJc w:val="left"/>
      <w:pPr>
        <w:tabs>
          <w:tab w:val="num" w:pos="4515"/>
        </w:tabs>
        <w:ind w:left="4515" w:hanging="360"/>
      </w:pPr>
      <w:rPr>
        <w:rFonts w:ascii="Symbol" w:hAnsi="Symbol" w:hint="default"/>
        <w:sz w:val="20"/>
      </w:rPr>
    </w:lvl>
    <w:lvl w:ilvl="8">
      <w:start w:val="1"/>
      <w:numFmt w:val="bullet"/>
      <w:lvlText w:val=""/>
      <w:lvlJc w:val="left"/>
      <w:pPr>
        <w:tabs>
          <w:tab w:val="num" w:pos="5235"/>
        </w:tabs>
        <w:ind w:left="5235" w:hanging="360"/>
      </w:pPr>
      <w:rPr>
        <w:rFonts w:ascii="Symbol" w:hAnsi="Symbol" w:hint="default"/>
        <w:sz w:val="20"/>
      </w:rPr>
    </w:lvl>
  </w:abstractNum>
  <w:abstractNum w:abstractNumId="9" w15:restartNumberingAfterBreak="0">
    <w:nsid w:val="79156F8D"/>
    <w:multiLevelType w:val="hybridMultilevel"/>
    <w:tmpl w:val="96D4DBD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DE048B"/>
    <w:multiLevelType w:val="multilevel"/>
    <w:tmpl w:val="FF7CE930"/>
    <w:lvl w:ilvl="0">
      <w:start w:val="1"/>
      <w:numFmt w:val="bullet"/>
      <w:lvlText w:val=""/>
      <w:lvlJc w:val="left"/>
      <w:pPr>
        <w:tabs>
          <w:tab w:val="num" w:pos="-525"/>
        </w:tabs>
        <w:ind w:left="-525" w:hanging="360"/>
      </w:pPr>
      <w:rPr>
        <w:rFonts w:ascii="Symbol" w:hAnsi="Symbol" w:hint="default"/>
        <w:sz w:val="20"/>
      </w:rPr>
    </w:lvl>
    <w:lvl w:ilvl="1">
      <w:start w:val="1"/>
      <w:numFmt w:val="bullet"/>
      <w:lvlText w:val=""/>
      <w:lvlJc w:val="left"/>
      <w:pPr>
        <w:tabs>
          <w:tab w:val="num" w:pos="195"/>
        </w:tabs>
        <w:ind w:left="195" w:hanging="360"/>
      </w:pPr>
      <w:rPr>
        <w:rFonts w:ascii="Wingdings" w:hAnsi="Wingdings" w:hint="default"/>
        <w:sz w:val="20"/>
      </w:rPr>
    </w:lvl>
    <w:lvl w:ilvl="2">
      <w:start w:val="1"/>
      <w:numFmt w:val="bullet"/>
      <w:lvlText w:val=""/>
      <w:lvlJc w:val="left"/>
      <w:pPr>
        <w:tabs>
          <w:tab w:val="num" w:pos="915"/>
        </w:tabs>
        <w:ind w:left="915" w:hanging="360"/>
      </w:pPr>
      <w:rPr>
        <w:rFonts w:ascii="Symbol" w:hAnsi="Symbol" w:hint="default"/>
        <w:sz w:val="20"/>
      </w:rPr>
    </w:lvl>
    <w:lvl w:ilvl="3">
      <w:start w:val="1"/>
      <w:numFmt w:val="bullet"/>
      <w:lvlText w:val=""/>
      <w:lvlJc w:val="left"/>
      <w:pPr>
        <w:tabs>
          <w:tab w:val="num" w:pos="1635"/>
        </w:tabs>
        <w:ind w:left="1635" w:hanging="360"/>
      </w:pPr>
      <w:rPr>
        <w:rFonts w:ascii="Symbol" w:hAnsi="Symbol" w:hint="default"/>
        <w:sz w:val="20"/>
      </w:rPr>
    </w:lvl>
    <w:lvl w:ilvl="4">
      <w:start w:val="1"/>
      <w:numFmt w:val="bullet"/>
      <w:lvlText w:val=""/>
      <w:lvlJc w:val="left"/>
      <w:pPr>
        <w:tabs>
          <w:tab w:val="num" w:pos="2355"/>
        </w:tabs>
        <w:ind w:left="2355" w:hanging="360"/>
      </w:pPr>
      <w:rPr>
        <w:rFonts w:ascii="Symbol" w:hAnsi="Symbol" w:hint="default"/>
        <w:sz w:val="20"/>
      </w:rPr>
    </w:lvl>
    <w:lvl w:ilvl="5">
      <w:start w:val="1"/>
      <w:numFmt w:val="bullet"/>
      <w:lvlText w:val=""/>
      <w:lvlJc w:val="left"/>
      <w:pPr>
        <w:tabs>
          <w:tab w:val="num" w:pos="3075"/>
        </w:tabs>
        <w:ind w:left="3075" w:hanging="360"/>
      </w:pPr>
      <w:rPr>
        <w:rFonts w:ascii="Symbol" w:hAnsi="Symbol" w:hint="default"/>
        <w:sz w:val="20"/>
      </w:rPr>
    </w:lvl>
    <w:lvl w:ilvl="6">
      <w:start w:val="1"/>
      <w:numFmt w:val="bullet"/>
      <w:lvlText w:val=""/>
      <w:lvlJc w:val="left"/>
      <w:pPr>
        <w:tabs>
          <w:tab w:val="num" w:pos="3795"/>
        </w:tabs>
        <w:ind w:left="3795" w:hanging="360"/>
      </w:pPr>
      <w:rPr>
        <w:rFonts w:ascii="Symbol" w:hAnsi="Symbol" w:hint="default"/>
        <w:sz w:val="20"/>
      </w:rPr>
    </w:lvl>
    <w:lvl w:ilvl="7">
      <w:start w:val="1"/>
      <w:numFmt w:val="bullet"/>
      <w:lvlText w:val=""/>
      <w:lvlJc w:val="left"/>
      <w:pPr>
        <w:tabs>
          <w:tab w:val="num" w:pos="4515"/>
        </w:tabs>
        <w:ind w:left="4515" w:hanging="360"/>
      </w:pPr>
      <w:rPr>
        <w:rFonts w:ascii="Symbol" w:hAnsi="Symbol" w:hint="default"/>
        <w:sz w:val="20"/>
      </w:rPr>
    </w:lvl>
    <w:lvl w:ilvl="8">
      <w:start w:val="1"/>
      <w:numFmt w:val="bullet"/>
      <w:lvlText w:val=""/>
      <w:lvlJc w:val="left"/>
      <w:pPr>
        <w:tabs>
          <w:tab w:val="num" w:pos="5235"/>
        </w:tabs>
        <w:ind w:left="5235"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2"/>
  </w:num>
  <w:num w:numId="9">
    <w:abstractNumId w:val="9"/>
  </w:num>
  <w:num w:numId="10">
    <w:abstractNumId w:val="7"/>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A9"/>
    <w:rsid w:val="000702CB"/>
    <w:rsid w:val="001079CC"/>
    <w:rsid w:val="00113F7F"/>
    <w:rsid w:val="0019187F"/>
    <w:rsid w:val="001B58F3"/>
    <w:rsid w:val="00224237"/>
    <w:rsid w:val="00285D84"/>
    <w:rsid w:val="002B713D"/>
    <w:rsid w:val="002D3235"/>
    <w:rsid w:val="002E4E7C"/>
    <w:rsid w:val="00331E29"/>
    <w:rsid w:val="003442A3"/>
    <w:rsid w:val="00396691"/>
    <w:rsid w:val="00484FCC"/>
    <w:rsid w:val="005173ED"/>
    <w:rsid w:val="005443A8"/>
    <w:rsid w:val="005B53F6"/>
    <w:rsid w:val="00601ED6"/>
    <w:rsid w:val="00667507"/>
    <w:rsid w:val="006865A8"/>
    <w:rsid w:val="00694637"/>
    <w:rsid w:val="007329F4"/>
    <w:rsid w:val="00743F74"/>
    <w:rsid w:val="00770F21"/>
    <w:rsid w:val="007D0C43"/>
    <w:rsid w:val="007F406E"/>
    <w:rsid w:val="0082363C"/>
    <w:rsid w:val="0084033B"/>
    <w:rsid w:val="008E6F9D"/>
    <w:rsid w:val="00924362"/>
    <w:rsid w:val="00946E21"/>
    <w:rsid w:val="00A00218"/>
    <w:rsid w:val="00AA355C"/>
    <w:rsid w:val="00B4523C"/>
    <w:rsid w:val="00B55595"/>
    <w:rsid w:val="00B557EC"/>
    <w:rsid w:val="00B65D64"/>
    <w:rsid w:val="00B8023B"/>
    <w:rsid w:val="00BB4523"/>
    <w:rsid w:val="00BD55CF"/>
    <w:rsid w:val="00C22EAC"/>
    <w:rsid w:val="00C272B9"/>
    <w:rsid w:val="00C90E98"/>
    <w:rsid w:val="00C955FE"/>
    <w:rsid w:val="00CB2AA0"/>
    <w:rsid w:val="00CC0CFE"/>
    <w:rsid w:val="00D933C6"/>
    <w:rsid w:val="00DA53D6"/>
    <w:rsid w:val="00DB0631"/>
    <w:rsid w:val="00DB60A9"/>
    <w:rsid w:val="00E40197"/>
    <w:rsid w:val="00E96E5C"/>
    <w:rsid w:val="00EE720A"/>
    <w:rsid w:val="00F02377"/>
    <w:rsid w:val="00F052AC"/>
    <w:rsid w:val="00F47C7E"/>
    <w:rsid w:val="00FB21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F97C"/>
  <w15:docId w15:val="{9BCC707E-1429-4E91-AEEB-A07442FF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ListContinue"/>
    <w:link w:val="Heading1Char"/>
    <w:autoRedefine/>
    <w:uiPriority w:val="9"/>
    <w:qFormat/>
    <w:rsid w:val="00DB60A9"/>
    <w:pPr>
      <w:keepNext/>
      <w:keepLines/>
      <w:spacing w:before="240" w:after="120" w:line="240" w:lineRule="auto"/>
      <w:contextualSpacing/>
      <w:jc w:val="both"/>
      <w:outlineLvl w:val="0"/>
    </w:pPr>
    <w:rPr>
      <w:rFonts w:ascii="Calibri" w:eastAsia="MS Gothic" w:hAnsi="Calibri" w:cs="Times New Roman"/>
      <w:b/>
      <w:b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0A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B60A9"/>
    <w:rPr>
      <w:rFonts w:ascii="Calibri" w:eastAsia="MS Gothic" w:hAnsi="Calibri" w:cs="Times New Roman"/>
      <w:b/>
      <w:bCs/>
      <w:caps/>
      <w:color w:val="000000" w:themeColor="text1"/>
    </w:rPr>
  </w:style>
  <w:style w:type="paragraph" w:styleId="List">
    <w:name w:val="List"/>
    <w:basedOn w:val="ListNumber"/>
    <w:uiPriority w:val="99"/>
    <w:semiHidden/>
    <w:unhideWhenUsed/>
    <w:qFormat/>
    <w:rsid w:val="00DB60A9"/>
    <w:pPr>
      <w:numPr>
        <w:numId w:val="1"/>
      </w:numPr>
      <w:tabs>
        <w:tab w:val="num" w:pos="360"/>
      </w:tabs>
      <w:spacing w:before="240" w:after="120" w:line="240" w:lineRule="auto"/>
      <w:ind w:left="360" w:hanging="360"/>
      <w:jc w:val="both"/>
    </w:pPr>
    <w:rPr>
      <w:rFonts w:ascii="Calibri" w:eastAsia="Calibri" w:hAnsi="Calibri" w:cs="Times New Roman"/>
      <w:b/>
      <w:caps/>
      <w:color w:val="000000" w:themeColor="text1"/>
      <w:lang w:val="en-US"/>
    </w:rPr>
  </w:style>
  <w:style w:type="paragraph" w:styleId="ListNumber2">
    <w:name w:val="List Number 2"/>
    <w:basedOn w:val="Normal"/>
    <w:uiPriority w:val="99"/>
    <w:semiHidden/>
    <w:unhideWhenUsed/>
    <w:rsid w:val="00DB60A9"/>
    <w:pPr>
      <w:numPr>
        <w:numId w:val="2"/>
      </w:numPr>
      <w:spacing w:after="0" w:line="240" w:lineRule="auto"/>
      <w:contextualSpacing/>
      <w:jc w:val="both"/>
    </w:pPr>
    <w:rPr>
      <w:rFonts w:ascii="Calibri" w:eastAsia="Calibri" w:hAnsi="Calibri" w:cs="Times New Roman"/>
      <w:lang w:val="en-US"/>
    </w:rPr>
  </w:style>
  <w:style w:type="paragraph" w:styleId="List2">
    <w:name w:val="List 2"/>
    <w:basedOn w:val="ListNumber2"/>
    <w:uiPriority w:val="99"/>
    <w:semiHidden/>
    <w:unhideWhenUsed/>
    <w:qFormat/>
    <w:rsid w:val="00DB60A9"/>
    <w:pPr>
      <w:numPr>
        <w:ilvl w:val="1"/>
        <w:numId w:val="1"/>
      </w:numPr>
      <w:spacing w:after="200"/>
      <w:contextualSpacing w:val="0"/>
    </w:pPr>
    <w:rPr>
      <w:color w:val="000000" w:themeColor="text1"/>
    </w:rPr>
  </w:style>
  <w:style w:type="paragraph" w:styleId="List3">
    <w:name w:val="List 3"/>
    <w:basedOn w:val="ListNumber3"/>
    <w:uiPriority w:val="99"/>
    <w:semiHidden/>
    <w:unhideWhenUsed/>
    <w:qFormat/>
    <w:rsid w:val="00DB60A9"/>
    <w:pPr>
      <w:numPr>
        <w:ilvl w:val="2"/>
        <w:numId w:val="1"/>
      </w:numPr>
      <w:tabs>
        <w:tab w:val="num" w:pos="360"/>
      </w:tabs>
      <w:spacing w:after="0" w:line="240" w:lineRule="auto"/>
      <w:ind w:left="926" w:hanging="360"/>
      <w:jc w:val="both"/>
    </w:pPr>
    <w:rPr>
      <w:rFonts w:ascii="Calibri" w:eastAsia="Calibri" w:hAnsi="Calibri" w:cs="Times New Roman"/>
      <w:color w:val="000000" w:themeColor="text1"/>
      <w:lang w:val="en-US"/>
    </w:rPr>
  </w:style>
  <w:style w:type="paragraph" w:styleId="List4">
    <w:name w:val="List 4"/>
    <w:basedOn w:val="ListNumber4"/>
    <w:uiPriority w:val="99"/>
    <w:semiHidden/>
    <w:unhideWhenUsed/>
    <w:qFormat/>
    <w:rsid w:val="00DB60A9"/>
    <w:pPr>
      <w:numPr>
        <w:ilvl w:val="3"/>
        <w:numId w:val="1"/>
      </w:numPr>
      <w:tabs>
        <w:tab w:val="num" w:pos="360"/>
      </w:tabs>
      <w:spacing w:after="0" w:line="240" w:lineRule="auto"/>
      <w:ind w:left="1209" w:hanging="360"/>
      <w:jc w:val="both"/>
    </w:pPr>
    <w:rPr>
      <w:rFonts w:ascii="Calibri" w:eastAsia="Calibri" w:hAnsi="Calibri" w:cs="Times New Roman"/>
      <w:lang w:val="en-US"/>
    </w:rPr>
  </w:style>
  <w:style w:type="paragraph" w:styleId="List5">
    <w:name w:val="List 5"/>
    <w:basedOn w:val="Normal"/>
    <w:uiPriority w:val="99"/>
    <w:semiHidden/>
    <w:unhideWhenUsed/>
    <w:rsid w:val="00DB60A9"/>
    <w:pPr>
      <w:numPr>
        <w:ilvl w:val="4"/>
        <w:numId w:val="1"/>
      </w:numPr>
      <w:spacing w:after="0" w:line="240" w:lineRule="auto"/>
      <w:contextualSpacing/>
      <w:jc w:val="both"/>
    </w:pPr>
    <w:rPr>
      <w:rFonts w:ascii="Calibri" w:eastAsia="Calibri" w:hAnsi="Calibri" w:cs="Times New Roman"/>
      <w:lang w:val="en-US"/>
    </w:rPr>
  </w:style>
  <w:style w:type="character" w:customStyle="1" w:styleId="ListParagraphChar">
    <w:name w:val="List Paragraph Char"/>
    <w:aliases w:val="BP 1 May 13 Char"/>
    <w:basedOn w:val="DefaultParagraphFont"/>
    <w:link w:val="ListParagraph"/>
    <w:uiPriority w:val="34"/>
    <w:locked/>
    <w:rsid w:val="00DB60A9"/>
    <w:rPr>
      <w:rFonts w:ascii="Calibri" w:eastAsia="Calibri" w:hAnsi="Calibri" w:cs="Times New Roman"/>
      <w:lang w:val="en-US"/>
    </w:rPr>
  </w:style>
  <w:style w:type="paragraph" w:styleId="ListParagraph">
    <w:name w:val="List Paragraph"/>
    <w:aliases w:val="BP 1 May 13"/>
    <w:basedOn w:val="Normal"/>
    <w:link w:val="ListParagraphChar"/>
    <w:uiPriority w:val="34"/>
    <w:qFormat/>
    <w:rsid w:val="00DB60A9"/>
    <w:pPr>
      <w:spacing w:after="0" w:line="240" w:lineRule="auto"/>
      <w:ind w:left="567"/>
      <w:contextualSpacing/>
      <w:jc w:val="both"/>
    </w:pPr>
    <w:rPr>
      <w:rFonts w:ascii="Calibri" w:eastAsia="Calibri" w:hAnsi="Calibri" w:cs="Times New Roman"/>
      <w:lang w:val="en-US"/>
    </w:rPr>
  </w:style>
  <w:style w:type="paragraph" w:styleId="ListContinue">
    <w:name w:val="List Continue"/>
    <w:basedOn w:val="Normal"/>
    <w:uiPriority w:val="99"/>
    <w:semiHidden/>
    <w:unhideWhenUsed/>
    <w:rsid w:val="00DB60A9"/>
    <w:pPr>
      <w:spacing w:after="120"/>
      <w:ind w:left="283"/>
      <w:contextualSpacing/>
    </w:pPr>
  </w:style>
  <w:style w:type="paragraph" w:styleId="ListNumber">
    <w:name w:val="List Number"/>
    <w:basedOn w:val="Normal"/>
    <w:uiPriority w:val="99"/>
    <w:semiHidden/>
    <w:unhideWhenUsed/>
    <w:rsid w:val="00DB60A9"/>
    <w:pPr>
      <w:ind w:left="720" w:hanging="360"/>
      <w:contextualSpacing/>
    </w:pPr>
  </w:style>
  <w:style w:type="paragraph" w:styleId="ListNumber3">
    <w:name w:val="List Number 3"/>
    <w:basedOn w:val="Normal"/>
    <w:uiPriority w:val="99"/>
    <w:semiHidden/>
    <w:unhideWhenUsed/>
    <w:rsid w:val="00DB60A9"/>
    <w:pPr>
      <w:numPr>
        <w:numId w:val="3"/>
      </w:numPr>
      <w:contextualSpacing/>
    </w:pPr>
  </w:style>
  <w:style w:type="paragraph" w:styleId="ListNumber4">
    <w:name w:val="List Number 4"/>
    <w:basedOn w:val="Normal"/>
    <w:uiPriority w:val="99"/>
    <w:semiHidden/>
    <w:unhideWhenUsed/>
    <w:rsid w:val="00DB60A9"/>
    <w:pPr>
      <w:tabs>
        <w:tab w:val="num" w:pos="720"/>
      </w:tabs>
      <w:ind w:left="720" w:hanging="720"/>
      <w:contextualSpacing/>
    </w:pPr>
  </w:style>
  <w:style w:type="paragraph" w:styleId="BalloonText">
    <w:name w:val="Balloon Text"/>
    <w:basedOn w:val="Normal"/>
    <w:link w:val="BalloonTextChar"/>
    <w:uiPriority w:val="99"/>
    <w:semiHidden/>
    <w:unhideWhenUsed/>
    <w:rsid w:val="0011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7F"/>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B65D64"/>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B65D64"/>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unhideWhenUsed/>
    <w:rsid w:val="00B65D64"/>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rsid w:val="00B65D64"/>
    <w:rPr>
      <w:rFonts w:ascii="Arial" w:eastAsia="Times New Roman" w:hAnsi="Arial" w:cs="Arial"/>
      <w:vanish/>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7337">
      <w:bodyDiv w:val="1"/>
      <w:marLeft w:val="0"/>
      <w:marRight w:val="0"/>
      <w:marTop w:val="0"/>
      <w:marBottom w:val="0"/>
      <w:divBdr>
        <w:top w:val="none" w:sz="0" w:space="0" w:color="auto"/>
        <w:left w:val="none" w:sz="0" w:space="0" w:color="auto"/>
        <w:bottom w:val="none" w:sz="0" w:space="0" w:color="auto"/>
        <w:right w:val="none" w:sz="0" w:space="0" w:color="auto"/>
      </w:divBdr>
    </w:div>
    <w:div w:id="410930336">
      <w:bodyDiv w:val="1"/>
      <w:marLeft w:val="0"/>
      <w:marRight w:val="0"/>
      <w:marTop w:val="0"/>
      <w:marBottom w:val="0"/>
      <w:divBdr>
        <w:top w:val="none" w:sz="0" w:space="0" w:color="auto"/>
        <w:left w:val="none" w:sz="0" w:space="0" w:color="auto"/>
        <w:bottom w:val="none" w:sz="0" w:space="0" w:color="auto"/>
        <w:right w:val="none" w:sz="0" w:space="0" w:color="auto"/>
      </w:divBdr>
    </w:div>
    <w:div w:id="427625503">
      <w:bodyDiv w:val="1"/>
      <w:marLeft w:val="0"/>
      <w:marRight w:val="0"/>
      <w:marTop w:val="0"/>
      <w:marBottom w:val="0"/>
      <w:divBdr>
        <w:top w:val="none" w:sz="0" w:space="0" w:color="auto"/>
        <w:left w:val="none" w:sz="0" w:space="0" w:color="auto"/>
        <w:bottom w:val="none" w:sz="0" w:space="0" w:color="auto"/>
        <w:right w:val="none" w:sz="0" w:space="0" w:color="auto"/>
      </w:divBdr>
    </w:div>
    <w:div w:id="642737503">
      <w:bodyDiv w:val="1"/>
      <w:marLeft w:val="0"/>
      <w:marRight w:val="0"/>
      <w:marTop w:val="0"/>
      <w:marBottom w:val="0"/>
      <w:divBdr>
        <w:top w:val="none" w:sz="0" w:space="0" w:color="auto"/>
        <w:left w:val="none" w:sz="0" w:space="0" w:color="auto"/>
        <w:bottom w:val="none" w:sz="0" w:space="0" w:color="auto"/>
        <w:right w:val="none" w:sz="0" w:space="0" w:color="auto"/>
      </w:divBdr>
    </w:div>
    <w:div w:id="670644579">
      <w:bodyDiv w:val="1"/>
      <w:marLeft w:val="0"/>
      <w:marRight w:val="0"/>
      <w:marTop w:val="0"/>
      <w:marBottom w:val="0"/>
      <w:divBdr>
        <w:top w:val="none" w:sz="0" w:space="0" w:color="auto"/>
        <w:left w:val="none" w:sz="0" w:space="0" w:color="auto"/>
        <w:bottom w:val="none" w:sz="0" w:space="0" w:color="auto"/>
        <w:right w:val="none" w:sz="0" w:space="0" w:color="auto"/>
      </w:divBdr>
    </w:div>
    <w:div w:id="1168057326">
      <w:bodyDiv w:val="1"/>
      <w:marLeft w:val="0"/>
      <w:marRight w:val="0"/>
      <w:marTop w:val="0"/>
      <w:marBottom w:val="0"/>
      <w:divBdr>
        <w:top w:val="none" w:sz="0" w:space="0" w:color="auto"/>
        <w:left w:val="none" w:sz="0" w:space="0" w:color="auto"/>
        <w:bottom w:val="none" w:sz="0" w:space="0" w:color="auto"/>
        <w:right w:val="none" w:sz="0" w:space="0" w:color="auto"/>
      </w:divBdr>
    </w:div>
    <w:div w:id="1325665382">
      <w:bodyDiv w:val="1"/>
      <w:marLeft w:val="0"/>
      <w:marRight w:val="0"/>
      <w:marTop w:val="0"/>
      <w:marBottom w:val="0"/>
      <w:divBdr>
        <w:top w:val="none" w:sz="0" w:space="0" w:color="auto"/>
        <w:left w:val="none" w:sz="0" w:space="0" w:color="auto"/>
        <w:bottom w:val="none" w:sz="0" w:space="0" w:color="auto"/>
        <w:right w:val="none" w:sz="0" w:space="0" w:color="auto"/>
      </w:divBdr>
    </w:div>
    <w:div w:id="1417047214">
      <w:bodyDiv w:val="1"/>
      <w:marLeft w:val="0"/>
      <w:marRight w:val="0"/>
      <w:marTop w:val="0"/>
      <w:marBottom w:val="0"/>
      <w:divBdr>
        <w:top w:val="none" w:sz="0" w:space="0" w:color="auto"/>
        <w:left w:val="none" w:sz="0" w:space="0" w:color="auto"/>
        <w:bottom w:val="none" w:sz="0" w:space="0" w:color="auto"/>
        <w:right w:val="none" w:sz="0" w:space="0" w:color="auto"/>
      </w:divBdr>
    </w:div>
    <w:div w:id="1529636415">
      <w:bodyDiv w:val="1"/>
      <w:marLeft w:val="0"/>
      <w:marRight w:val="0"/>
      <w:marTop w:val="0"/>
      <w:marBottom w:val="0"/>
      <w:divBdr>
        <w:top w:val="none" w:sz="0" w:space="0" w:color="auto"/>
        <w:left w:val="none" w:sz="0" w:space="0" w:color="auto"/>
        <w:bottom w:val="none" w:sz="0" w:space="0" w:color="auto"/>
        <w:right w:val="none" w:sz="0" w:space="0" w:color="auto"/>
      </w:divBdr>
    </w:div>
    <w:div w:id="1667853335">
      <w:bodyDiv w:val="1"/>
      <w:marLeft w:val="0"/>
      <w:marRight w:val="0"/>
      <w:marTop w:val="0"/>
      <w:marBottom w:val="0"/>
      <w:divBdr>
        <w:top w:val="none" w:sz="0" w:space="0" w:color="auto"/>
        <w:left w:val="none" w:sz="0" w:space="0" w:color="auto"/>
        <w:bottom w:val="none" w:sz="0" w:space="0" w:color="auto"/>
        <w:right w:val="none" w:sz="0" w:space="0" w:color="auto"/>
      </w:divBdr>
    </w:div>
    <w:div w:id="1795438034">
      <w:bodyDiv w:val="1"/>
      <w:marLeft w:val="0"/>
      <w:marRight w:val="0"/>
      <w:marTop w:val="0"/>
      <w:marBottom w:val="0"/>
      <w:divBdr>
        <w:top w:val="none" w:sz="0" w:space="0" w:color="auto"/>
        <w:left w:val="none" w:sz="0" w:space="0" w:color="auto"/>
        <w:bottom w:val="none" w:sz="0" w:space="0" w:color="auto"/>
        <w:right w:val="none" w:sz="0" w:space="0" w:color="auto"/>
      </w:divBdr>
    </w:div>
    <w:div w:id="1823347179">
      <w:bodyDiv w:val="1"/>
      <w:marLeft w:val="0"/>
      <w:marRight w:val="0"/>
      <w:marTop w:val="0"/>
      <w:marBottom w:val="0"/>
      <w:divBdr>
        <w:top w:val="none" w:sz="0" w:space="0" w:color="auto"/>
        <w:left w:val="none" w:sz="0" w:space="0" w:color="auto"/>
        <w:bottom w:val="none" w:sz="0" w:space="0" w:color="auto"/>
        <w:right w:val="none" w:sz="0" w:space="0" w:color="auto"/>
      </w:divBdr>
    </w:div>
    <w:div w:id="1836145459">
      <w:bodyDiv w:val="1"/>
      <w:marLeft w:val="0"/>
      <w:marRight w:val="0"/>
      <w:marTop w:val="0"/>
      <w:marBottom w:val="0"/>
      <w:divBdr>
        <w:top w:val="none" w:sz="0" w:space="0" w:color="auto"/>
        <w:left w:val="none" w:sz="0" w:space="0" w:color="auto"/>
        <w:bottom w:val="none" w:sz="0" w:space="0" w:color="auto"/>
        <w:right w:val="none" w:sz="0" w:space="0" w:color="auto"/>
      </w:divBdr>
    </w:div>
    <w:div w:id="2020158592">
      <w:bodyDiv w:val="1"/>
      <w:marLeft w:val="0"/>
      <w:marRight w:val="0"/>
      <w:marTop w:val="0"/>
      <w:marBottom w:val="0"/>
      <w:divBdr>
        <w:top w:val="none" w:sz="0" w:space="0" w:color="auto"/>
        <w:left w:val="none" w:sz="0" w:space="0" w:color="auto"/>
        <w:bottom w:val="none" w:sz="0" w:space="0" w:color="auto"/>
        <w:right w:val="none" w:sz="0" w:space="0" w:color="auto"/>
      </w:divBdr>
    </w:div>
    <w:div w:id="20864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E7BD1-8B35-4866-89BC-BFECB218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FNB</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Jayram, Sanjeev</dc:creator>
  <cp:lastModifiedBy>Jayram, Sanjeev</cp:lastModifiedBy>
  <cp:revision>3</cp:revision>
  <cp:lastPrinted>2018-08-03T13:46:00Z</cp:lastPrinted>
  <dcterms:created xsi:type="dcterms:W3CDTF">2018-09-20T14:20:00Z</dcterms:created>
  <dcterms:modified xsi:type="dcterms:W3CDTF">2018-09-20T14:22:00Z</dcterms:modified>
</cp:coreProperties>
</file>