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8C" w:rsidRPr="00520B31" w:rsidRDefault="00520B31">
      <w:pPr>
        <w:rPr>
          <w:b/>
          <w:sz w:val="32"/>
          <w:szCs w:val="32"/>
          <w:u w:val="single"/>
        </w:rPr>
      </w:pPr>
      <w:r w:rsidRPr="00520B31">
        <w:rPr>
          <w:b/>
          <w:sz w:val="32"/>
          <w:szCs w:val="32"/>
          <w:u w:val="single"/>
        </w:rPr>
        <w:t>CA36</w:t>
      </w:r>
      <w:r>
        <w:rPr>
          <w:b/>
          <w:sz w:val="32"/>
          <w:szCs w:val="32"/>
          <w:u w:val="single"/>
        </w:rPr>
        <w:t>8</w:t>
      </w:r>
      <w:bookmarkStart w:id="0" w:name="_GoBack"/>
      <w:bookmarkEnd w:id="0"/>
      <w:r w:rsidRPr="00520B31">
        <w:rPr>
          <w:b/>
          <w:sz w:val="32"/>
          <w:szCs w:val="32"/>
          <w:u w:val="single"/>
        </w:rPr>
        <w:t xml:space="preserve"> - Create new "form of securities" indicator element</w:t>
      </w:r>
    </w:p>
    <w:p w:rsidR="00520B31" w:rsidRDefault="00520B31"/>
    <w:p w:rsidR="00520B31" w:rsidRDefault="00520B31" w:rsidP="00520B31">
      <w:pPr>
        <w:rPr>
          <w:rFonts w:ascii="Arial" w:hAnsi="Arial" w:cs="Arial"/>
          <w:i/>
          <w:iCs/>
          <w:color w:val="0070C0"/>
          <w:sz w:val="20"/>
          <w:szCs w:val="20"/>
          <w:lang w:val="en-US"/>
        </w:rPr>
      </w:pPr>
      <w:r>
        <w:rPr>
          <w:rFonts w:ascii="Arial" w:hAnsi="Arial" w:cs="Arial"/>
          <w:b/>
          <w:bCs/>
          <w:i/>
          <w:iCs/>
          <w:color w:val="0070C0"/>
          <w:sz w:val="20"/>
          <w:szCs w:val="20"/>
          <w:u w:val="single"/>
          <w:lang w:val="en-US"/>
        </w:rPr>
        <w:t>CR: Same form vs bearer only</w:t>
      </w:r>
      <w:r>
        <w:rPr>
          <w:i/>
          <w:iCs/>
          <w:color w:val="0070C0"/>
          <w:lang w:val="en-US"/>
        </w:rPr>
        <w:t xml:space="preserve"> </w:t>
      </w:r>
      <w:r>
        <w:rPr>
          <w:i/>
          <w:iCs/>
          <w:color w:val="0070C0"/>
          <w:lang w:val="en-US"/>
        </w:rPr>
        <w:br/>
      </w:r>
      <w:r>
        <w:rPr>
          <w:rFonts w:ascii="Arial" w:hAnsi="Arial" w:cs="Arial"/>
          <w:b/>
          <w:bCs/>
          <w:i/>
          <w:iCs/>
          <w:color w:val="0070C0"/>
          <w:sz w:val="20"/>
          <w:szCs w:val="20"/>
          <w:lang w:val="en-US"/>
        </w:rPr>
        <w:br/>
        <w:t>Rationale</w:t>
      </w:r>
      <w:r>
        <w:rPr>
          <w:rFonts w:ascii="Arial" w:hAnsi="Arial" w:cs="Arial"/>
          <w:i/>
          <w:iCs/>
          <w:color w:val="0070C0"/>
          <w:sz w:val="20"/>
          <w:szCs w:val="20"/>
          <w:lang w:val="en-US"/>
        </w:rPr>
        <w:t>:</w:t>
      </w:r>
      <w:r>
        <w:rPr>
          <w:i/>
          <w:iCs/>
          <w:color w:val="0070C0"/>
          <w:lang w:val="en-US"/>
        </w:rPr>
        <w:t xml:space="preserve"> </w:t>
      </w:r>
      <w:r>
        <w:rPr>
          <w:rFonts w:ascii="Arial" w:hAnsi="Arial" w:cs="Arial"/>
          <w:i/>
          <w:iCs/>
          <w:color w:val="0070C0"/>
          <w:sz w:val="20"/>
          <w:szCs w:val="20"/>
          <w:lang w:val="en-US"/>
        </w:rPr>
        <w:br/>
        <w:t xml:space="preserve">On the French market, the issuer/SPA can decide in which form securities proceeds must be paid. </w:t>
      </w:r>
      <w:r>
        <w:rPr>
          <w:rFonts w:ascii="Arial" w:hAnsi="Arial" w:cs="Arial"/>
          <w:i/>
          <w:iCs/>
          <w:color w:val="0070C0"/>
          <w:sz w:val="20"/>
          <w:szCs w:val="20"/>
          <w:lang w:val="en-US"/>
        </w:rPr>
        <w:br/>
        <w:t>The issuer/SPA can either decide to apply:</w:t>
      </w:r>
      <w:r>
        <w:rPr>
          <w:i/>
          <w:iCs/>
          <w:color w:val="0070C0"/>
          <w:lang w:val="en-US"/>
        </w:rPr>
        <w:t xml:space="preserve"> </w:t>
      </w:r>
      <w:r>
        <w:rPr>
          <w:rFonts w:ascii="Arial" w:hAnsi="Arial" w:cs="Arial"/>
          <w:i/>
          <w:iCs/>
          <w:color w:val="0070C0"/>
          <w:sz w:val="20"/>
          <w:szCs w:val="20"/>
          <w:lang w:val="en-US"/>
        </w:rPr>
        <w:br/>
        <w:t>- 'same form': in this case, proceeds are paid in registered form if the underlying securities were held in registered form.</w:t>
      </w:r>
      <w:r>
        <w:rPr>
          <w:i/>
          <w:iCs/>
          <w:color w:val="0070C0"/>
          <w:lang w:val="en-US"/>
        </w:rPr>
        <w:t xml:space="preserve"> </w:t>
      </w:r>
      <w:r>
        <w:rPr>
          <w:rFonts w:ascii="Arial" w:hAnsi="Arial" w:cs="Arial"/>
          <w:i/>
          <w:iCs/>
          <w:color w:val="0070C0"/>
          <w:sz w:val="20"/>
          <w:szCs w:val="20"/>
          <w:lang w:val="en-US"/>
        </w:rPr>
        <w:br/>
        <w:t>- 'bearer only': in this case, proceeds are always paid in bearer form.</w:t>
      </w:r>
      <w:r>
        <w:rPr>
          <w:i/>
          <w:iCs/>
          <w:color w:val="0070C0"/>
          <w:lang w:val="en-US"/>
        </w:rPr>
        <w:t xml:space="preserve"> </w:t>
      </w:r>
      <w:r>
        <w:rPr>
          <w:i/>
          <w:iCs/>
          <w:color w:val="0070C0"/>
          <w:lang w:val="en-US"/>
        </w:rPr>
        <w:br/>
      </w:r>
      <w:r>
        <w:rPr>
          <w:rFonts w:ascii="Arial" w:hAnsi="Arial" w:cs="Arial"/>
          <w:b/>
          <w:bCs/>
          <w:i/>
          <w:iCs/>
          <w:color w:val="0070C0"/>
          <w:sz w:val="20"/>
          <w:szCs w:val="20"/>
          <w:lang w:val="en-US"/>
        </w:rPr>
        <w:br/>
        <w:t>Change description:</w:t>
      </w:r>
      <w:r>
        <w:rPr>
          <w:i/>
          <w:iCs/>
          <w:color w:val="0070C0"/>
          <w:lang w:val="en-US"/>
        </w:rPr>
        <w:t xml:space="preserve"> </w:t>
      </w:r>
      <w:r>
        <w:rPr>
          <w:rFonts w:ascii="Arial" w:hAnsi="Arial" w:cs="Arial"/>
          <w:i/>
          <w:iCs/>
          <w:color w:val="0070C0"/>
          <w:sz w:val="20"/>
          <w:szCs w:val="20"/>
          <w:lang w:val="en-US"/>
        </w:rPr>
        <w:br/>
        <w:t>A new indicator should be added on the MT564 to indicate in which holding form securities are paid: either same as underlying security or always bearer.</w:t>
      </w:r>
      <w:r>
        <w:rPr>
          <w:i/>
          <w:iCs/>
          <w:color w:val="0070C0"/>
          <w:lang w:val="en-US"/>
        </w:rPr>
        <w:t xml:space="preserve"> </w:t>
      </w:r>
      <w:r>
        <w:rPr>
          <w:i/>
          <w:iCs/>
          <w:color w:val="0070C0"/>
          <w:lang w:val="en-US"/>
        </w:rPr>
        <w:br/>
      </w:r>
      <w:r>
        <w:rPr>
          <w:rFonts w:ascii="Arial" w:hAnsi="Arial" w:cs="Arial"/>
          <w:b/>
          <w:bCs/>
          <w:i/>
          <w:iCs/>
          <w:color w:val="0070C0"/>
          <w:sz w:val="20"/>
          <w:szCs w:val="20"/>
          <w:lang w:val="en-US"/>
        </w:rPr>
        <w:br/>
        <w:t xml:space="preserve">Message </w:t>
      </w:r>
      <w:proofErr w:type="gramStart"/>
      <w:r>
        <w:rPr>
          <w:rFonts w:ascii="Arial" w:hAnsi="Arial" w:cs="Arial"/>
          <w:b/>
          <w:bCs/>
          <w:i/>
          <w:iCs/>
          <w:color w:val="0070C0"/>
          <w:sz w:val="20"/>
          <w:szCs w:val="20"/>
          <w:lang w:val="en-US"/>
        </w:rPr>
        <w:t>impacted :</w:t>
      </w:r>
      <w:proofErr w:type="gramEnd"/>
      <w:r>
        <w:rPr>
          <w:rFonts w:ascii="Arial" w:hAnsi="Arial" w:cs="Arial"/>
          <w:b/>
          <w:bCs/>
          <w:i/>
          <w:iCs/>
          <w:color w:val="0070C0"/>
          <w:sz w:val="20"/>
          <w:szCs w:val="20"/>
          <w:lang w:val="en-US"/>
        </w:rPr>
        <w:t xml:space="preserve">  </w:t>
      </w:r>
      <w:r>
        <w:rPr>
          <w:rFonts w:ascii="Arial" w:hAnsi="Arial" w:cs="Arial"/>
          <w:i/>
          <w:iCs/>
          <w:color w:val="0070C0"/>
          <w:sz w:val="20"/>
          <w:szCs w:val="20"/>
          <w:lang w:val="en-US"/>
        </w:rPr>
        <w:t>MT564</w:t>
      </w:r>
      <w:r>
        <w:rPr>
          <w:i/>
          <w:iCs/>
          <w:color w:val="0070C0"/>
          <w:lang w:val="en-US"/>
        </w:rPr>
        <w:t xml:space="preserve"> </w:t>
      </w:r>
      <w:r>
        <w:rPr>
          <w:i/>
          <w:iCs/>
          <w:color w:val="0070C0"/>
          <w:lang w:val="en-US"/>
        </w:rPr>
        <w:br/>
      </w:r>
      <w:r>
        <w:rPr>
          <w:rFonts w:ascii="Arial" w:hAnsi="Arial" w:cs="Arial"/>
          <w:b/>
          <w:bCs/>
          <w:i/>
          <w:iCs/>
          <w:color w:val="0070C0"/>
          <w:sz w:val="20"/>
          <w:szCs w:val="20"/>
          <w:lang w:val="en-US"/>
        </w:rPr>
        <w:br/>
        <w:t xml:space="preserve">Current work around: </w:t>
      </w:r>
      <w:r>
        <w:rPr>
          <w:rFonts w:ascii="Arial" w:hAnsi="Arial" w:cs="Arial"/>
          <w:i/>
          <w:iCs/>
          <w:color w:val="0070C0"/>
          <w:sz w:val="20"/>
          <w:szCs w:val="20"/>
          <w:lang w:val="en-US"/>
        </w:rPr>
        <w:t>Depending on the type of events, the CSD either provides this information via the narrative field (only for Mandatory events) or is not able to process the event properly and requires bilateral processing between paying agents and accounts holders.</w:t>
      </w:r>
      <w:r>
        <w:rPr>
          <w:i/>
          <w:iCs/>
          <w:color w:val="0070C0"/>
          <w:lang w:val="en-US"/>
        </w:rPr>
        <w:t xml:space="preserve"> </w:t>
      </w:r>
      <w:r>
        <w:rPr>
          <w:i/>
          <w:iCs/>
          <w:color w:val="0070C0"/>
          <w:lang w:val="en-US"/>
        </w:rPr>
        <w:br/>
      </w:r>
      <w:r>
        <w:rPr>
          <w:rFonts w:ascii="Arial" w:hAnsi="Arial" w:cs="Arial"/>
          <w:b/>
          <w:bCs/>
          <w:i/>
          <w:iCs/>
          <w:color w:val="0070C0"/>
          <w:sz w:val="20"/>
          <w:szCs w:val="20"/>
          <w:lang w:val="en-US"/>
        </w:rPr>
        <w:br/>
        <w:t>Proposed change:</w:t>
      </w:r>
      <w:r>
        <w:rPr>
          <w:i/>
          <w:iCs/>
          <w:color w:val="0070C0"/>
          <w:lang w:val="en-US"/>
        </w:rPr>
        <w:t xml:space="preserve"> </w:t>
      </w:r>
      <w:r>
        <w:rPr>
          <w:rFonts w:ascii="Arial" w:hAnsi="Arial" w:cs="Arial"/>
          <w:i/>
          <w:iCs/>
          <w:color w:val="0070C0"/>
          <w:sz w:val="20"/>
          <w:szCs w:val="20"/>
          <w:lang w:val="en-US"/>
        </w:rPr>
        <w:br/>
        <w:t xml:space="preserve">Create a new qualifier with </w:t>
      </w:r>
      <w:proofErr w:type="gramStart"/>
      <w:r>
        <w:rPr>
          <w:rFonts w:ascii="Arial" w:hAnsi="Arial" w:cs="Arial"/>
          <w:i/>
          <w:iCs/>
          <w:color w:val="0070C0"/>
          <w:sz w:val="20"/>
          <w:szCs w:val="20"/>
          <w:lang w:val="en-US"/>
        </w:rPr>
        <w:t>value :22F</w:t>
      </w:r>
      <w:proofErr w:type="gramEnd"/>
      <w:r>
        <w:rPr>
          <w:rFonts w:ascii="Arial" w:hAnsi="Arial" w:cs="Arial"/>
          <w:i/>
          <w:iCs/>
          <w:color w:val="0070C0"/>
          <w:sz w:val="20"/>
          <w:szCs w:val="20"/>
          <w:lang w:val="en-US"/>
        </w:rPr>
        <w:t>::LFOR// (containing either SAME=Same form or BEAR= Bearer only) in sequence E CAOPTN, qualifier description: "Information on the legal form of securities proceeds".</w:t>
      </w:r>
    </w:p>
    <w:p w:rsidR="00520B31" w:rsidRDefault="00520B31"/>
    <w:sectPr w:rsidR="00520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31"/>
    <w:rsid w:val="00520B31"/>
    <w:rsid w:val="00D1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3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3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2017-03-28T07:09:00Z</dcterms:created>
  <dcterms:modified xsi:type="dcterms:W3CDTF">2017-03-28T07:11:00Z</dcterms:modified>
</cp:coreProperties>
</file>