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4D7" w:rsidRDefault="00F004D7" w:rsidP="00F004D7">
      <w:pPr>
        <w:rPr>
          <w:rFonts w:ascii="Tahoma" w:hAnsi="Tahoma" w:cs="Tahoma"/>
          <w:color w:val="1F497D"/>
          <w:sz w:val="28"/>
          <w:szCs w:val="28"/>
          <w:lang w:val="en-US"/>
        </w:rPr>
      </w:pPr>
      <w:r>
        <w:rPr>
          <w:rFonts w:ascii="Tahoma" w:hAnsi="Tahoma" w:cs="Tahoma"/>
          <w:color w:val="1F497D"/>
          <w:sz w:val="28"/>
          <w:szCs w:val="28"/>
          <w:lang w:val="en-US"/>
        </w:rPr>
        <w:t>SMPG CA WG Zurich Meeting</w:t>
      </w:r>
    </w:p>
    <w:p w:rsidR="00F004D7" w:rsidRDefault="00F004D7" w:rsidP="00F004D7">
      <w:pPr>
        <w:rPr>
          <w:rFonts w:ascii="Tahoma" w:hAnsi="Tahoma" w:cs="Tahoma"/>
          <w:color w:val="1F497D"/>
          <w:sz w:val="28"/>
          <w:szCs w:val="28"/>
          <w:lang w:val="en-US"/>
        </w:rPr>
      </w:pPr>
    </w:p>
    <w:p w:rsidR="00F004D7" w:rsidRPr="00F004D7" w:rsidRDefault="00F004D7" w:rsidP="00F004D7">
      <w:pPr>
        <w:rPr>
          <w:rFonts w:ascii="Tahoma" w:hAnsi="Tahoma" w:cs="Tahoma"/>
          <w:b/>
          <w:color w:val="1F497D"/>
          <w:sz w:val="28"/>
          <w:szCs w:val="28"/>
          <w:u w:val="single"/>
          <w:lang w:val="en-US"/>
        </w:rPr>
      </w:pPr>
      <w:r w:rsidRPr="00F004D7">
        <w:rPr>
          <w:rFonts w:ascii="Tahoma" w:hAnsi="Tahoma" w:cs="Tahoma"/>
          <w:b/>
          <w:color w:val="1F497D"/>
          <w:sz w:val="28"/>
          <w:szCs w:val="28"/>
          <w:u w:val="single"/>
          <w:lang w:val="en-US"/>
        </w:rPr>
        <w:t>CA 353 – Input</w:t>
      </w:r>
    </w:p>
    <w:p w:rsidR="00F004D7" w:rsidRDefault="00F004D7" w:rsidP="00F004D7">
      <w:pPr>
        <w:rPr>
          <w:rFonts w:ascii="Tahoma" w:hAnsi="Tahoma" w:cs="Tahoma"/>
          <w:color w:val="1F497D"/>
          <w:sz w:val="28"/>
          <w:szCs w:val="28"/>
          <w:lang w:val="en-US"/>
        </w:rPr>
      </w:pPr>
    </w:p>
    <w:p w:rsidR="00F004D7" w:rsidRDefault="00F004D7" w:rsidP="00F004D7">
      <w:pPr>
        <w:rPr>
          <w:rFonts w:ascii="Tahoma" w:hAnsi="Tahoma" w:cs="Tahoma"/>
          <w:color w:val="1F497D"/>
          <w:sz w:val="28"/>
          <w:szCs w:val="28"/>
          <w:lang w:val="en-US"/>
        </w:rPr>
      </w:pPr>
      <w:r>
        <w:rPr>
          <w:rFonts w:ascii="Tahoma" w:hAnsi="Tahoma" w:cs="Tahoma"/>
          <w:color w:val="1F497D"/>
          <w:sz w:val="28"/>
          <w:szCs w:val="28"/>
          <w:lang w:val="en-US"/>
        </w:rPr>
        <w:t>As per the Italian contribution we have set up a new “market practice” for a new specific event type that is on the pipeline to be introduce</w:t>
      </w:r>
      <w:r w:rsidR="00744BFA">
        <w:rPr>
          <w:rFonts w:ascii="Tahoma" w:hAnsi="Tahoma" w:cs="Tahoma"/>
          <w:color w:val="1F497D"/>
          <w:sz w:val="28"/>
          <w:szCs w:val="28"/>
          <w:lang w:val="en-US"/>
        </w:rPr>
        <w:t>d</w:t>
      </w:r>
      <w:r>
        <w:rPr>
          <w:rFonts w:ascii="Tahoma" w:hAnsi="Tahoma" w:cs="Tahoma"/>
          <w:color w:val="1F497D"/>
          <w:sz w:val="28"/>
          <w:szCs w:val="28"/>
          <w:lang w:val="en-US"/>
        </w:rPr>
        <w:t xml:space="preserve"> in Italy. It will be always detected as REPE </w:t>
      </w:r>
    </w:p>
    <w:p w:rsidR="00F004D7" w:rsidRDefault="00F004D7" w:rsidP="00F004D7">
      <w:pPr>
        <w:rPr>
          <w:rFonts w:ascii="Tahoma" w:hAnsi="Tahoma" w:cs="Tahoma"/>
          <w:color w:val="1F497D"/>
          <w:sz w:val="28"/>
          <w:szCs w:val="28"/>
          <w:lang w:val="en-US"/>
        </w:rPr>
      </w:pPr>
      <w:bookmarkStart w:id="0" w:name="_GoBack"/>
      <w:bookmarkEnd w:id="0"/>
    </w:p>
    <w:p w:rsidR="00F004D7" w:rsidRDefault="00F004D7" w:rsidP="00F004D7">
      <w:pPr>
        <w:rPr>
          <w:rFonts w:ascii="Tahoma" w:hAnsi="Tahoma" w:cs="Tahoma"/>
          <w:color w:val="1F497D"/>
          <w:sz w:val="28"/>
          <w:szCs w:val="28"/>
          <w:lang w:val="en-US"/>
        </w:rPr>
      </w:pPr>
      <w:r>
        <w:rPr>
          <w:rFonts w:ascii="Tahoma" w:hAnsi="Tahoma" w:cs="Tahoma"/>
          <w:color w:val="1F497D"/>
          <w:sz w:val="28"/>
          <w:szCs w:val="28"/>
          <w:lang w:val="en-US"/>
        </w:rPr>
        <w:t xml:space="preserve">Event </w:t>
      </w:r>
      <w:proofErr w:type="gramStart"/>
      <w:r>
        <w:rPr>
          <w:rFonts w:ascii="Tahoma" w:hAnsi="Tahoma" w:cs="Tahoma"/>
          <w:color w:val="1F497D"/>
          <w:sz w:val="28"/>
          <w:szCs w:val="28"/>
          <w:lang w:val="en-US"/>
        </w:rPr>
        <w:t>description :</w:t>
      </w:r>
      <w:proofErr w:type="gramEnd"/>
    </w:p>
    <w:p w:rsidR="00F004D7" w:rsidRDefault="00F004D7" w:rsidP="00F004D7">
      <w:pPr>
        <w:pStyle w:val="Default"/>
        <w:rPr>
          <w:lang w:val="it-IT"/>
        </w:rPr>
      </w:pPr>
    </w:p>
    <w:p w:rsidR="00F004D7" w:rsidRDefault="00F004D7" w:rsidP="00F004D7">
      <w:pPr>
        <w:pStyle w:val="Default"/>
        <w:rPr>
          <w:sz w:val="20"/>
          <w:szCs w:val="20"/>
          <w:lang w:val="en-US"/>
        </w:rPr>
      </w:pPr>
      <w:r>
        <w:rPr>
          <w:sz w:val="20"/>
          <w:szCs w:val="20"/>
          <w:lang w:val="en-US"/>
        </w:rPr>
        <w:t xml:space="preserve">The capital increases with significant dilutive effect (or highly-dilutive rights issues) have been monitored by the Authorities, the Market and the Operators since 2009. </w:t>
      </w:r>
    </w:p>
    <w:p w:rsidR="00F004D7" w:rsidRDefault="00F004D7" w:rsidP="00F004D7">
      <w:pPr>
        <w:pStyle w:val="Default"/>
        <w:rPr>
          <w:sz w:val="20"/>
          <w:szCs w:val="20"/>
          <w:lang w:val="en-US"/>
        </w:rPr>
      </w:pPr>
      <w:r>
        <w:rPr>
          <w:sz w:val="20"/>
          <w:szCs w:val="20"/>
          <w:lang w:val="en-US"/>
        </w:rPr>
        <w:t xml:space="preserve">In April 2016, after a first phase of analysis and four consultations, CONSOB indicated the so-called “rolling model” as the only solution potentially able to solve the price anomalies that often occurs in these </w:t>
      </w:r>
      <w:proofErr w:type="gramStart"/>
      <w:r>
        <w:rPr>
          <w:sz w:val="20"/>
          <w:szCs w:val="20"/>
          <w:lang w:val="en-US"/>
        </w:rPr>
        <w:t>cases .</w:t>
      </w:r>
      <w:proofErr w:type="gramEnd"/>
      <w:r>
        <w:rPr>
          <w:sz w:val="20"/>
          <w:szCs w:val="20"/>
          <w:lang w:val="en-US"/>
        </w:rPr>
        <w:t xml:space="preserve"> </w:t>
      </w:r>
    </w:p>
    <w:p w:rsidR="00F004D7" w:rsidRDefault="00F004D7" w:rsidP="00F004D7">
      <w:pPr>
        <w:pStyle w:val="Default"/>
        <w:rPr>
          <w:sz w:val="20"/>
          <w:szCs w:val="20"/>
          <w:lang w:val="en-US"/>
        </w:rPr>
      </w:pPr>
      <w:r>
        <w:rPr>
          <w:sz w:val="20"/>
          <w:szCs w:val="20"/>
          <w:lang w:val="en-US"/>
        </w:rPr>
        <w:t>It consists in the same day booking of the new shares every day during the subscription period, in order to overcome the shortage of securities and allow for the realignment of the stock market price to the fair value.</w:t>
      </w:r>
    </w:p>
    <w:p w:rsidR="00F004D7" w:rsidRDefault="00F004D7" w:rsidP="00F004D7">
      <w:pPr>
        <w:pStyle w:val="Default"/>
        <w:rPr>
          <w:lang w:val="it-IT"/>
        </w:rPr>
      </w:pPr>
    </w:p>
    <w:p w:rsidR="00F004D7" w:rsidRDefault="00F004D7" w:rsidP="00F004D7">
      <w:pPr>
        <w:pStyle w:val="Default"/>
        <w:rPr>
          <w:sz w:val="20"/>
          <w:szCs w:val="20"/>
          <w:lang w:val="en-US"/>
        </w:rPr>
      </w:pPr>
      <w:r>
        <w:rPr>
          <w:sz w:val="20"/>
          <w:szCs w:val="20"/>
          <w:lang w:val="en-US"/>
        </w:rPr>
        <w:t xml:space="preserve">The capital increases with significant dilutive effect are corporate actions where a high number of new shares are issued at a heavily discounted price compared to the market price. </w:t>
      </w:r>
    </w:p>
    <w:p w:rsidR="00F004D7" w:rsidRDefault="00F004D7" w:rsidP="00F004D7">
      <w:pPr>
        <w:pStyle w:val="Default"/>
        <w:rPr>
          <w:sz w:val="20"/>
          <w:szCs w:val="20"/>
          <w:lang w:val="en-US"/>
        </w:rPr>
      </w:pPr>
      <w:r>
        <w:rPr>
          <w:sz w:val="20"/>
          <w:szCs w:val="20"/>
          <w:lang w:val="en-US"/>
        </w:rPr>
        <w:t xml:space="preserve">As previously mentioned, it leads to an extreme volatility of price which interferes with the standard pricing and generates distorting effects mainly due to the shortage of securities, especially during the very first days of the subscription period. </w:t>
      </w:r>
    </w:p>
    <w:p w:rsidR="00F004D7" w:rsidRDefault="00F004D7" w:rsidP="00F004D7">
      <w:pPr>
        <w:pStyle w:val="Default"/>
        <w:rPr>
          <w:sz w:val="20"/>
          <w:szCs w:val="20"/>
          <w:lang w:val="en-US"/>
        </w:rPr>
      </w:pPr>
      <w:r>
        <w:rPr>
          <w:sz w:val="20"/>
          <w:szCs w:val="20"/>
          <w:lang w:val="en-US"/>
        </w:rPr>
        <w:t xml:space="preserve">The classification of the corporate actions as “highly dilutive” is calculated through a </w:t>
      </w:r>
      <w:r>
        <w:rPr>
          <w:b/>
          <w:bCs/>
          <w:sz w:val="20"/>
          <w:szCs w:val="20"/>
          <w:lang w:val="en-US"/>
        </w:rPr>
        <w:t xml:space="preserve">“K” </w:t>
      </w:r>
      <w:proofErr w:type="gramStart"/>
      <w:r>
        <w:rPr>
          <w:b/>
          <w:bCs/>
          <w:sz w:val="20"/>
          <w:szCs w:val="20"/>
          <w:lang w:val="en-US"/>
        </w:rPr>
        <w:t>factor, that</w:t>
      </w:r>
      <w:proofErr w:type="gramEnd"/>
      <w:r>
        <w:rPr>
          <w:b/>
          <w:bCs/>
          <w:sz w:val="20"/>
          <w:szCs w:val="20"/>
          <w:lang w:val="en-US"/>
        </w:rPr>
        <w:t xml:space="preserve"> is the ratio between the theoretical share price ex right and the last price cum right</w:t>
      </w:r>
      <w:r>
        <w:rPr>
          <w:sz w:val="20"/>
          <w:szCs w:val="20"/>
          <w:lang w:val="en-US"/>
        </w:rPr>
        <w:t xml:space="preserve">. </w:t>
      </w:r>
    </w:p>
    <w:p w:rsidR="00F004D7" w:rsidRDefault="00F004D7" w:rsidP="00F004D7">
      <w:pPr>
        <w:pStyle w:val="Default"/>
        <w:rPr>
          <w:sz w:val="20"/>
          <w:szCs w:val="20"/>
          <w:lang w:val="en-US"/>
        </w:rPr>
      </w:pPr>
      <w:r>
        <w:rPr>
          <w:sz w:val="20"/>
          <w:szCs w:val="20"/>
          <w:lang w:val="en-US"/>
        </w:rPr>
        <w:t>If the value of “K” is equal or less than the value by 0.3, the rights issue will be considered highly-dilutive</w:t>
      </w:r>
    </w:p>
    <w:p w:rsidR="00F004D7" w:rsidRDefault="00F004D7" w:rsidP="00F004D7">
      <w:pPr>
        <w:pStyle w:val="Default"/>
        <w:rPr>
          <w:sz w:val="20"/>
          <w:szCs w:val="20"/>
          <w:lang w:val="en-US"/>
        </w:rPr>
      </w:pPr>
    </w:p>
    <w:p w:rsidR="00F004D7" w:rsidRDefault="00F004D7" w:rsidP="00F004D7">
      <w:pPr>
        <w:pStyle w:val="Default"/>
        <w:rPr>
          <w:sz w:val="20"/>
          <w:szCs w:val="20"/>
          <w:lang w:val="en-US"/>
        </w:rPr>
      </w:pPr>
      <w:r>
        <w:rPr>
          <w:sz w:val="20"/>
          <w:szCs w:val="20"/>
          <w:lang w:val="en-US"/>
        </w:rPr>
        <w:t xml:space="preserve">In order to pre alert the Investors during announcement process, about the possibility that a capital increase will be classified with significant dilutive effect, a few days before the last trading day cum right, a coefficient "conventional K”, is calculated. Commonly on the date on which the Issuer publish the final terms of the event, conventional K”, be announced by the Market. </w:t>
      </w:r>
    </w:p>
    <w:p w:rsidR="00F004D7" w:rsidRDefault="00F004D7" w:rsidP="00F004D7">
      <w:pPr>
        <w:pStyle w:val="Default"/>
        <w:rPr>
          <w:sz w:val="20"/>
          <w:szCs w:val="20"/>
          <w:lang w:val="en-US"/>
        </w:rPr>
      </w:pPr>
      <w:r>
        <w:rPr>
          <w:sz w:val="20"/>
          <w:szCs w:val="20"/>
          <w:lang w:val="en-US"/>
        </w:rPr>
        <w:t>The deviation between "final K” and conventional K depends on the volatility of price during the last trading days of “cum anyway the event will be classified based on conventional “K” where the definitive one will be used only for fiscal purposes.</w:t>
      </w:r>
    </w:p>
    <w:p w:rsidR="00F004D7" w:rsidRDefault="00F004D7" w:rsidP="00F004D7">
      <w:pPr>
        <w:pStyle w:val="Default"/>
        <w:rPr>
          <w:sz w:val="20"/>
          <w:szCs w:val="20"/>
          <w:lang w:val="en-US"/>
        </w:rPr>
      </w:pPr>
    </w:p>
    <w:p w:rsidR="00F004D7" w:rsidRDefault="00F004D7" w:rsidP="00F004D7">
      <w:pPr>
        <w:pStyle w:val="Default"/>
        <w:rPr>
          <w:sz w:val="20"/>
          <w:szCs w:val="20"/>
          <w:lang w:val="en-US"/>
        </w:rPr>
      </w:pPr>
      <w:r>
        <w:rPr>
          <w:sz w:val="20"/>
          <w:szCs w:val="20"/>
          <w:lang w:val="en-US"/>
        </w:rPr>
        <w:t>The “</w:t>
      </w:r>
      <w:r>
        <w:rPr>
          <w:i/>
          <w:iCs/>
          <w:sz w:val="20"/>
          <w:szCs w:val="20"/>
          <w:lang w:val="en-US"/>
        </w:rPr>
        <w:t>rolling model</w:t>
      </w:r>
      <w:r>
        <w:rPr>
          <w:sz w:val="20"/>
          <w:szCs w:val="20"/>
          <w:lang w:val="en-US"/>
        </w:rPr>
        <w:t>” consists in crediting the new incoming shares as freely transferable same day every day during the life cycle of the corporate event. The standard market deadline at the end of life of the event will be preserved and will be named as “accounting model” We would highlight that, in case an investor decides to exercise in "rolling" mode and in case an event that leads to publication of a supplement to the prospectus occurs following the new securities are credited to the Investor, the latter will not be entitled to exercise the revocation right (ex art 95-bis comma 2 of TUF anymore.</w:t>
      </w:r>
    </w:p>
    <w:p w:rsidR="00F004D7" w:rsidRDefault="00F004D7" w:rsidP="00F004D7">
      <w:pPr>
        <w:pStyle w:val="Default"/>
        <w:rPr>
          <w:sz w:val="20"/>
          <w:szCs w:val="20"/>
          <w:lang w:val="en-US"/>
        </w:rPr>
      </w:pPr>
    </w:p>
    <w:p w:rsidR="00F004D7" w:rsidRDefault="00F004D7" w:rsidP="00F004D7">
      <w:pPr>
        <w:pStyle w:val="Default"/>
        <w:rPr>
          <w:sz w:val="20"/>
          <w:szCs w:val="20"/>
          <w:lang w:val="en-US"/>
        </w:rPr>
      </w:pPr>
      <w:r>
        <w:rPr>
          <w:b/>
          <w:bCs/>
          <w:sz w:val="20"/>
          <w:szCs w:val="20"/>
          <w:lang w:val="en-US"/>
        </w:rPr>
        <w:t xml:space="preserve">The two models mentioned above, namely: </w:t>
      </w:r>
    </w:p>
    <w:p w:rsidR="00F004D7" w:rsidRDefault="00F004D7" w:rsidP="00F004D7">
      <w:pPr>
        <w:pStyle w:val="Default"/>
        <w:spacing w:after="2"/>
        <w:rPr>
          <w:sz w:val="20"/>
          <w:szCs w:val="20"/>
          <w:lang w:val="en-US"/>
        </w:rPr>
      </w:pPr>
      <w:r>
        <w:rPr>
          <w:rFonts w:ascii="Wingdings" w:hAnsi="Wingdings"/>
          <w:sz w:val="20"/>
          <w:szCs w:val="20"/>
          <w:lang w:val="it-IT"/>
        </w:rPr>
        <w:t></w:t>
      </w:r>
      <w:r>
        <w:rPr>
          <w:rFonts w:ascii="Wingdings" w:hAnsi="Wingdings"/>
          <w:sz w:val="20"/>
          <w:szCs w:val="20"/>
          <w:lang w:val="it-IT"/>
        </w:rPr>
        <w:t></w:t>
      </w:r>
      <w:r>
        <w:rPr>
          <w:b/>
          <w:bCs/>
          <w:sz w:val="20"/>
          <w:szCs w:val="20"/>
          <w:lang w:val="en-US"/>
        </w:rPr>
        <w:t xml:space="preserve">Rolling mode (MR) </w:t>
      </w:r>
    </w:p>
    <w:p w:rsidR="00F004D7" w:rsidRDefault="00F004D7" w:rsidP="00F004D7">
      <w:pPr>
        <w:pStyle w:val="Default"/>
        <w:rPr>
          <w:sz w:val="20"/>
          <w:szCs w:val="20"/>
          <w:lang w:val="en-US"/>
        </w:rPr>
      </w:pPr>
      <w:r>
        <w:rPr>
          <w:rFonts w:ascii="Wingdings" w:hAnsi="Wingdings"/>
          <w:sz w:val="20"/>
          <w:szCs w:val="20"/>
          <w:lang w:val="it-IT"/>
        </w:rPr>
        <w:t></w:t>
      </w:r>
      <w:r>
        <w:rPr>
          <w:rFonts w:ascii="Wingdings" w:hAnsi="Wingdings"/>
          <w:sz w:val="20"/>
          <w:szCs w:val="20"/>
          <w:lang w:val="it-IT"/>
        </w:rPr>
        <w:t></w:t>
      </w:r>
      <w:r>
        <w:rPr>
          <w:b/>
          <w:bCs/>
          <w:sz w:val="20"/>
          <w:szCs w:val="20"/>
          <w:lang w:val="en-US"/>
        </w:rPr>
        <w:t xml:space="preserve">Accounting mode (MA) </w:t>
      </w:r>
    </w:p>
    <w:p w:rsidR="00F004D7" w:rsidRDefault="00F004D7" w:rsidP="00F004D7">
      <w:pPr>
        <w:pStyle w:val="Default"/>
        <w:rPr>
          <w:b/>
          <w:bCs/>
          <w:sz w:val="20"/>
          <w:szCs w:val="20"/>
          <w:lang w:val="en-US"/>
        </w:rPr>
      </w:pPr>
      <w:proofErr w:type="gramStart"/>
      <w:r>
        <w:rPr>
          <w:b/>
          <w:bCs/>
          <w:sz w:val="20"/>
          <w:szCs w:val="20"/>
          <w:lang w:val="en-US"/>
        </w:rPr>
        <w:t>will</w:t>
      </w:r>
      <w:proofErr w:type="gramEnd"/>
      <w:r>
        <w:rPr>
          <w:b/>
          <w:bCs/>
          <w:sz w:val="20"/>
          <w:szCs w:val="20"/>
          <w:lang w:val="en-US"/>
        </w:rPr>
        <w:t xml:space="preserve"> co-exist only for capital increases classified as highly-dilutive according to the final "K" factor equal or less than 0.3. </w:t>
      </w:r>
    </w:p>
    <w:p w:rsidR="00F004D7" w:rsidRDefault="00F004D7" w:rsidP="00F004D7">
      <w:pPr>
        <w:pStyle w:val="Default"/>
        <w:rPr>
          <w:sz w:val="20"/>
          <w:szCs w:val="20"/>
          <w:lang w:val="en-US"/>
        </w:rPr>
      </w:pPr>
    </w:p>
    <w:p w:rsidR="00F004D7" w:rsidRDefault="00F004D7" w:rsidP="00F004D7">
      <w:pPr>
        <w:pStyle w:val="Default"/>
        <w:rPr>
          <w:sz w:val="20"/>
          <w:szCs w:val="20"/>
          <w:lang w:val="en-US"/>
        </w:rPr>
      </w:pPr>
      <w:r>
        <w:rPr>
          <w:sz w:val="20"/>
          <w:szCs w:val="20"/>
          <w:lang w:val="en-US"/>
        </w:rPr>
        <w:t xml:space="preserve">Intermediaries required </w:t>
      </w:r>
      <w:proofErr w:type="gramStart"/>
      <w:r>
        <w:rPr>
          <w:sz w:val="20"/>
          <w:szCs w:val="20"/>
          <w:lang w:val="en-US"/>
        </w:rPr>
        <w:t>to manage</w:t>
      </w:r>
      <w:proofErr w:type="gramEnd"/>
      <w:r>
        <w:rPr>
          <w:sz w:val="20"/>
          <w:szCs w:val="20"/>
          <w:lang w:val="en-US"/>
        </w:rPr>
        <w:t xml:space="preserve"> the above process having two options available for each option approved by the Issuer: one for the MR exercise and the other for the MA exercise.</w:t>
      </w:r>
    </w:p>
    <w:p w:rsidR="00F004D7" w:rsidRDefault="00F004D7" w:rsidP="00F004D7">
      <w:pPr>
        <w:pStyle w:val="Default"/>
        <w:rPr>
          <w:sz w:val="20"/>
          <w:szCs w:val="20"/>
          <w:lang w:val="en-US"/>
        </w:rPr>
      </w:pPr>
      <w:r>
        <w:rPr>
          <w:sz w:val="20"/>
          <w:szCs w:val="20"/>
          <w:lang w:val="en-US"/>
        </w:rPr>
        <w:t xml:space="preserve">Monte </w:t>
      </w:r>
      <w:proofErr w:type="spellStart"/>
      <w:r>
        <w:rPr>
          <w:sz w:val="20"/>
          <w:szCs w:val="20"/>
          <w:lang w:val="en-US"/>
        </w:rPr>
        <w:t>titoli</w:t>
      </w:r>
      <w:proofErr w:type="spellEnd"/>
      <w:r>
        <w:rPr>
          <w:sz w:val="20"/>
          <w:szCs w:val="20"/>
          <w:lang w:val="en-US"/>
        </w:rPr>
        <w:t xml:space="preserve"> decided for a “workaround solution” as it is not foreseen to expect having a huge number of events “high </w:t>
      </w:r>
      <w:proofErr w:type="spellStart"/>
      <w:r>
        <w:rPr>
          <w:sz w:val="20"/>
          <w:szCs w:val="20"/>
          <w:lang w:val="en-US"/>
        </w:rPr>
        <w:t>diluitive</w:t>
      </w:r>
      <w:proofErr w:type="spellEnd"/>
      <w:r>
        <w:rPr>
          <w:sz w:val="20"/>
          <w:szCs w:val="20"/>
          <w:lang w:val="en-US"/>
        </w:rPr>
        <w:t xml:space="preserve">” events </w:t>
      </w:r>
    </w:p>
    <w:p w:rsidR="00F004D7" w:rsidRDefault="00F004D7" w:rsidP="00F004D7">
      <w:pPr>
        <w:pStyle w:val="Default"/>
        <w:rPr>
          <w:sz w:val="20"/>
          <w:szCs w:val="20"/>
          <w:lang w:val="en-US"/>
        </w:rPr>
      </w:pPr>
    </w:p>
    <w:p w:rsidR="00F004D7" w:rsidRDefault="00F004D7" w:rsidP="00F004D7">
      <w:pPr>
        <w:pStyle w:val="Default"/>
        <w:rPr>
          <w:sz w:val="20"/>
          <w:szCs w:val="20"/>
          <w:lang w:val="en-US"/>
        </w:rPr>
      </w:pPr>
      <w:r>
        <w:rPr>
          <w:sz w:val="20"/>
          <w:szCs w:val="20"/>
          <w:lang w:val="en-US"/>
        </w:rPr>
        <w:lastRenderedPageBreak/>
        <w:t xml:space="preserve">With reference to the capital increases issuing a plurality of securities, </w:t>
      </w:r>
      <w:proofErr w:type="spellStart"/>
      <w:r>
        <w:rPr>
          <w:sz w:val="20"/>
          <w:szCs w:val="20"/>
          <w:lang w:val="en-US"/>
        </w:rPr>
        <w:t>Borsa</w:t>
      </w:r>
      <w:proofErr w:type="spellEnd"/>
      <w:r>
        <w:rPr>
          <w:sz w:val="20"/>
          <w:szCs w:val="20"/>
          <w:lang w:val="en-US"/>
        </w:rPr>
        <w:t xml:space="preserve"> </w:t>
      </w:r>
      <w:proofErr w:type="spellStart"/>
      <w:r>
        <w:rPr>
          <w:sz w:val="20"/>
          <w:szCs w:val="20"/>
          <w:lang w:val="en-US"/>
        </w:rPr>
        <w:t>Italiana</w:t>
      </w:r>
      <w:proofErr w:type="spellEnd"/>
      <w:r>
        <w:rPr>
          <w:sz w:val="20"/>
          <w:szCs w:val="20"/>
          <w:lang w:val="en-US"/>
        </w:rPr>
        <w:t xml:space="preserve"> confirmed that the K factor, related to the capital increase, will be unique even if the new financial instrument will be different assets class (equities + bonds / warrants). </w:t>
      </w:r>
    </w:p>
    <w:p w:rsidR="00F004D7" w:rsidRDefault="00F004D7" w:rsidP="00F004D7">
      <w:pPr>
        <w:pStyle w:val="Default"/>
        <w:rPr>
          <w:sz w:val="20"/>
          <w:szCs w:val="20"/>
          <w:lang w:val="en-US"/>
        </w:rPr>
      </w:pPr>
      <w:r>
        <w:rPr>
          <w:sz w:val="20"/>
          <w:szCs w:val="20"/>
          <w:lang w:val="en-US"/>
        </w:rPr>
        <w:t xml:space="preserve">Consequently, once calculated the coefficient "conventional" K that </w:t>
      </w:r>
      <w:proofErr w:type="gramStart"/>
      <w:r>
        <w:rPr>
          <w:sz w:val="20"/>
          <w:szCs w:val="20"/>
          <w:lang w:val="en-US"/>
        </w:rPr>
        <w:t>allow</w:t>
      </w:r>
      <w:proofErr w:type="gramEnd"/>
      <w:r>
        <w:rPr>
          <w:sz w:val="20"/>
          <w:szCs w:val="20"/>
          <w:lang w:val="en-US"/>
        </w:rPr>
        <w:t xml:space="preserve"> classification of the capital increase as “significant dilutive effect”, all rights will be exercisable also in the </w:t>
      </w:r>
      <w:r>
        <w:rPr>
          <w:i/>
          <w:iCs/>
          <w:sz w:val="20"/>
          <w:szCs w:val="20"/>
          <w:lang w:val="en-US"/>
        </w:rPr>
        <w:t xml:space="preserve">rolling mode </w:t>
      </w:r>
      <w:r>
        <w:rPr>
          <w:sz w:val="20"/>
          <w:szCs w:val="20"/>
          <w:lang w:val="en-US"/>
        </w:rPr>
        <w:t xml:space="preserve">(MR). </w:t>
      </w:r>
    </w:p>
    <w:p w:rsidR="00F004D7" w:rsidRDefault="00F004D7" w:rsidP="00F004D7">
      <w:pPr>
        <w:pStyle w:val="Default"/>
        <w:rPr>
          <w:sz w:val="20"/>
          <w:szCs w:val="20"/>
          <w:lang w:val="en-US"/>
        </w:rPr>
      </w:pPr>
      <w:r>
        <w:rPr>
          <w:sz w:val="20"/>
          <w:szCs w:val="20"/>
          <w:lang w:val="en-US"/>
        </w:rPr>
        <w:t xml:space="preserve">Market Intermediaries are defining a standard SWIFT reporting to be sent to the customer and are clarifying the impact of the new model on </w:t>
      </w:r>
      <w:proofErr w:type="spellStart"/>
      <w:r>
        <w:rPr>
          <w:sz w:val="20"/>
          <w:szCs w:val="20"/>
          <w:lang w:val="en-US"/>
        </w:rPr>
        <w:t>CAoF</w:t>
      </w:r>
      <w:proofErr w:type="spellEnd"/>
      <w:r>
        <w:rPr>
          <w:sz w:val="20"/>
          <w:szCs w:val="20"/>
          <w:lang w:val="en-US"/>
        </w:rPr>
        <w:t xml:space="preserve"> management and, in particular, on the Buyer Protection (and related potential regulations amendments). </w:t>
      </w:r>
    </w:p>
    <w:p w:rsidR="007D6AEF" w:rsidRPr="00F004D7" w:rsidRDefault="007D6AEF">
      <w:pPr>
        <w:rPr>
          <w:lang w:val="en-US"/>
        </w:rPr>
      </w:pPr>
    </w:p>
    <w:sectPr w:rsidR="007D6AEF" w:rsidRPr="00F004D7">
      <w:foot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4D7" w:rsidRDefault="00F004D7">
      <w:r>
        <w:separator/>
      </w:r>
    </w:p>
  </w:endnote>
  <w:endnote w:type="continuationSeparator" w:id="0">
    <w:p w:rsidR="00F004D7" w:rsidRDefault="00F00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AEF" w:rsidRDefault="00744BFA">
    <w:pPr>
      <w:pStyle w:val="FooterSwift"/>
      <w:rPr>
        <w:lang w:val="en-US"/>
      </w:rPr>
    </w:pPr>
    <w:sdt>
      <w:sdtPr>
        <w:rPr>
          <w:lang w:val="fr-BE"/>
        </w:rPr>
        <w:alias w:val="Title"/>
        <w:id w:val="11159487"/>
        <w:placeholder/>
        <w:showingPlcHdr/>
        <w:dataBinding w:prefixMappings="xmlns:ns0='http://purl.org/dc/elements/1.1/' xmlns:ns1='http://schemas.openxmlformats.org/package/2006/metadata/core-properties' " w:xpath="/ns1:coreProperties[1]/ns0:title[1]" w:storeItemID="{6C3C8BC8-F283-45AE-878A-BAB7291924A1}"/>
        <w:text/>
      </w:sdtPr>
      <w:sdtEndPr/>
      <w:sdtContent>
        <w:r>
          <w:rPr>
            <w:rStyle w:val="PlaceholderText"/>
          </w:rPr>
          <w:t>[Title]</w:t>
        </w:r>
      </w:sdtContent>
    </w:sdt>
    <w:r>
      <w:rPr>
        <w:lang w:val="en-US"/>
      </w:rPr>
      <w:tab/>
      <w:t xml:space="preserve">Produced by </w:t>
    </w:r>
    <w:sdt>
      <w:sdtPr>
        <w:rPr>
          <w:lang w:val="fr-BE"/>
        </w:rPr>
        <w:alias w:val="Author"/>
        <w:id w:val="11159488"/>
        <w:placeholder/>
        <w:dataBinding w:prefixMappings="xmlns:ns0='http://purl.org/dc/elements/1.1/' xmlns:ns1='http://schemas.openxmlformats.org/package/2006/metadata/core-properties' " w:xpath="/ns1:coreProperties[1]/ns0:creator[1]" w:storeItemID="{6C3C8BC8-F283-45AE-878A-BAB7291924A1}"/>
        <w:text/>
      </w:sdtPr>
      <w:sdtEndPr/>
      <w:sdtContent>
        <w:r w:rsidR="00F004D7">
          <w:rPr>
            <w:lang w:val="en-US"/>
          </w:rPr>
          <w:t>LITTRE Jacques</w:t>
        </w:r>
      </w:sdtContent>
    </w:sdt>
    <w:r>
      <w:rPr>
        <w:lang w:val="en-US"/>
      </w:rPr>
      <w:tab/>
    </w:r>
    <w:r>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4D7" w:rsidRDefault="00F004D7">
      <w:r>
        <w:separator/>
      </w:r>
    </w:p>
  </w:footnote>
  <w:footnote w:type="continuationSeparator" w:id="0">
    <w:p w:rsidR="00F004D7" w:rsidRDefault="00F004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upperLetter"/>
      <w:pStyle w:val="Heading6"/>
      <w:lvlText w:val="%6"/>
      <w:lvlJc w:val="left"/>
      <w:pPr>
        <w:tabs>
          <w:tab w:val="num" w:pos="1152"/>
        </w:tabs>
        <w:ind w:left="1152" w:hanging="1152"/>
      </w:pPr>
    </w:lvl>
    <w:lvl w:ilvl="6">
      <w:start w:val="1"/>
      <w:numFmt w:val="decimal"/>
      <w:pStyle w:val="Heading7"/>
      <w:lvlText w:val="%6.%7"/>
      <w:lvlJc w:val="left"/>
      <w:pPr>
        <w:tabs>
          <w:tab w:val="num" w:pos="1296"/>
        </w:tabs>
        <w:ind w:left="1296" w:hanging="1296"/>
      </w:pPr>
    </w:lvl>
    <w:lvl w:ilvl="7">
      <w:start w:val="1"/>
      <w:numFmt w:val="decimal"/>
      <w:pStyle w:val="Heading8"/>
      <w:lvlText w:val="%6.%7.%8"/>
      <w:lvlJc w:val="left"/>
      <w:pPr>
        <w:tabs>
          <w:tab w:val="num" w:pos="1440"/>
        </w:tabs>
        <w:ind w:left="1440" w:hanging="1440"/>
      </w:pPr>
    </w:lvl>
    <w:lvl w:ilvl="8">
      <w:start w:val="1"/>
      <w:numFmt w:val="decimal"/>
      <w:pStyle w:val="Heading9"/>
      <w:lvlText w:val="%6.%7.%8.%9"/>
      <w:lvlJc w:val="left"/>
      <w:pPr>
        <w:tabs>
          <w:tab w:val="num" w:pos="1584"/>
        </w:tabs>
        <w:ind w:left="1584" w:hanging="1584"/>
      </w:pPr>
    </w:lvl>
  </w:abstractNum>
  <w:abstractNum w:abstractNumId="1">
    <w:nsid w:val="28353429"/>
    <w:multiLevelType w:val="hybridMultilevel"/>
    <w:tmpl w:val="365269CE"/>
    <w:lvl w:ilvl="0" w:tplc="4EF692F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004D7"/>
    <w:rsid w:val="00744BFA"/>
    <w:rsid w:val="007D6AEF"/>
    <w:rsid w:val="00E56C43"/>
    <w:rsid w:val="00F00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4D7"/>
    <w:rPr>
      <w:rFonts w:ascii="Calibri" w:eastAsiaTheme="minorHAnsi" w:hAnsi="Calibri" w:cs="Calibri"/>
      <w:sz w:val="22"/>
      <w:szCs w:val="22"/>
      <w:lang w:val="en-GB" w:eastAsia="en-GB"/>
    </w:rPr>
  </w:style>
  <w:style w:type="paragraph" w:styleId="Heading1">
    <w:name w:val="heading 1"/>
    <w:basedOn w:val="Normal"/>
    <w:next w:val="Normal"/>
    <w:link w:val="Heading1Char"/>
    <w:qFormat/>
    <w:pPr>
      <w:keepNext/>
      <w:numPr>
        <w:numId w:val="18"/>
      </w:numPr>
      <w:spacing w:before="500" w:after="100"/>
      <w:outlineLvl w:val="0"/>
    </w:pPr>
    <w:rPr>
      <w:rFonts w:ascii="Arial" w:eastAsia="Times" w:hAnsi="Arial" w:cs="Times New Roman"/>
      <w:b/>
      <w:sz w:val="32"/>
      <w:szCs w:val="20"/>
      <w:lang w:eastAsia="en-US"/>
    </w:rPr>
  </w:style>
  <w:style w:type="paragraph" w:styleId="Heading2">
    <w:name w:val="heading 2"/>
    <w:basedOn w:val="Normal"/>
    <w:next w:val="Normal"/>
    <w:link w:val="Heading2Char"/>
    <w:qFormat/>
    <w:pPr>
      <w:keepNext/>
      <w:numPr>
        <w:ilvl w:val="1"/>
        <w:numId w:val="18"/>
      </w:numPr>
      <w:spacing w:before="500" w:after="60"/>
      <w:outlineLvl w:val="1"/>
    </w:pPr>
    <w:rPr>
      <w:rFonts w:ascii="Arial" w:eastAsia="Times" w:hAnsi="Arial" w:cs="Times New Roman"/>
      <w:b/>
      <w:sz w:val="28"/>
      <w:szCs w:val="20"/>
      <w:lang w:eastAsia="en-US"/>
    </w:rPr>
  </w:style>
  <w:style w:type="paragraph" w:styleId="Heading3">
    <w:name w:val="heading 3"/>
    <w:basedOn w:val="Heading2"/>
    <w:next w:val="Normal"/>
    <w:link w:val="Heading3Char"/>
    <w:qFormat/>
    <w:pPr>
      <w:numPr>
        <w:ilvl w:val="2"/>
      </w:numPr>
      <w:outlineLvl w:val="2"/>
    </w:pPr>
    <w:rPr>
      <w:sz w:val="26"/>
    </w:rPr>
  </w:style>
  <w:style w:type="paragraph" w:styleId="Heading4">
    <w:name w:val="heading 4"/>
    <w:basedOn w:val="Heading3"/>
    <w:next w:val="Normal"/>
    <w:link w:val="Heading4Char"/>
    <w:qFormat/>
    <w:pPr>
      <w:numPr>
        <w:ilvl w:val="3"/>
      </w:numPr>
      <w:spacing w:before="320"/>
      <w:outlineLvl w:val="3"/>
    </w:pPr>
    <w:rPr>
      <w:sz w:val="24"/>
    </w:rPr>
  </w:style>
  <w:style w:type="paragraph" w:styleId="Heading5">
    <w:name w:val="heading 5"/>
    <w:basedOn w:val="Heading4"/>
    <w:next w:val="Normal"/>
    <w:link w:val="Heading5Char"/>
    <w:qFormat/>
    <w:pPr>
      <w:numPr>
        <w:ilvl w:val="4"/>
      </w:numPr>
      <w:outlineLvl w:val="4"/>
    </w:pPr>
  </w:style>
  <w:style w:type="paragraph" w:styleId="Heading6">
    <w:name w:val="heading 6"/>
    <w:aliases w:val="Heading 6 - Appendix Heading 1_swift,Appendix Heading 1"/>
    <w:basedOn w:val="Heading5"/>
    <w:next w:val="Normal"/>
    <w:link w:val="Heading6Char"/>
    <w:qFormat/>
    <w:pPr>
      <w:numPr>
        <w:ilvl w:val="5"/>
      </w:numPr>
      <w:spacing w:before="500" w:after="100"/>
      <w:outlineLvl w:val="5"/>
    </w:pPr>
    <w:rPr>
      <w:sz w:val="32"/>
    </w:rPr>
  </w:style>
  <w:style w:type="paragraph" w:styleId="Heading7">
    <w:name w:val="heading 7"/>
    <w:aliases w:val="Heading 7 - Appendix Heading 2_swift,Heading 7 - Appendix Heading 2"/>
    <w:basedOn w:val="Heading6"/>
    <w:next w:val="Normal"/>
    <w:link w:val="Heading7Char"/>
    <w:qFormat/>
    <w:pPr>
      <w:numPr>
        <w:ilvl w:val="6"/>
      </w:numPr>
      <w:outlineLvl w:val="6"/>
    </w:pPr>
    <w:rPr>
      <w:sz w:val="28"/>
    </w:rPr>
  </w:style>
  <w:style w:type="paragraph" w:styleId="Heading8">
    <w:name w:val="heading 8"/>
    <w:aliases w:val="Heading 8 - Appendix Heading 3_swift"/>
    <w:basedOn w:val="Heading7"/>
    <w:next w:val="Normal"/>
    <w:link w:val="Heading8Char"/>
    <w:qFormat/>
    <w:pPr>
      <w:numPr>
        <w:ilvl w:val="7"/>
      </w:numPr>
      <w:tabs>
        <w:tab w:val="left" w:pos="990"/>
      </w:tabs>
      <w:spacing w:after="60"/>
      <w:outlineLvl w:val="7"/>
    </w:pPr>
    <w:rPr>
      <w:sz w:val="26"/>
    </w:rPr>
  </w:style>
  <w:style w:type="paragraph" w:styleId="Heading9">
    <w:name w:val="heading 9"/>
    <w:aliases w:val="Heading 9 - Appendix Heading 4_swift"/>
    <w:basedOn w:val="Normal"/>
    <w:next w:val="Normal"/>
    <w:link w:val="Heading9Char"/>
    <w:qFormat/>
    <w:pPr>
      <w:numPr>
        <w:ilvl w:val="8"/>
        <w:numId w:val="18"/>
      </w:numPr>
      <w:spacing w:before="320" w:after="60"/>
      <w:outlineLvl w:val="8"/>
    </w:pPr>
    <w:rPr>
      <w:rFonts w:ascii="Arial" w:eastAsia="Times" w:hAnsi="Arial" w:cs="Times New Roman"/>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hAnsi="Arial"/>
      <w:b/>
      <w:sz w:val="32"/>
      <w:lang w:val="en-GB"/>
    </w:rPr>
  </w:style>
  <w:style w:type="character" w:customStyle="1" w:styleId="Heading2Char">
    <w:name w:val="Heading 2 Char"/>
    <w:basedOn w:val="DefaultParagraphFont"/>
    <w:link w:val="Heading2"/>
    <w:rPr>
      <w:rFonts w:ascii="Arial" w:hAnsi="Arial"/>
      <w:b/>
      <w:sz w:val="28"/>
      <w:lang w:val="en-GB"/>
    </w:rPr>
  </w:style>
  <w:style w:type="character" w:customStyle="1" w:styleId="Heading3Char">
    <w:name w:val="Heading 3 Char"/>
    <w:basedOn w:val="DefaultParagraphFont"/>
    <w:link w:val="Heading3"/>
    <w:rPr>
      <w:rFonts w:ascii="Arial" w:hAnsi="Arial"/>
      <w:b/>
      <w:sz w:val="26"/>
      <w:lang w:val="en-GB"/>
    </w:rPr>
  </w:style>
  <w:style w:type="character" w:customStyle="1" w:styleId="Heading4Char">
    <w:name w:val="Heading 4 Char"/>
    <w:basedOn w:val="DefaultParagraphFont"/>
    <w:link w:val="Heading4"/>
    <w:rPr>
      <w:rFonts w:ascii="Arial" w:hAnsi="Arial"/>
      <w:b/>
      <w:sz w:val="24"/>
      <w:lang w:val="en-GB"/>
    </w:rPr>
  </w:style>
  <w:style w:type="character" w:customStyle="1" w:styleId="Heading5Char">
    <w:name w:val="Heading 5 Char"/>
    <w:basedOn w:val="DefaultParagraphFont"/>
    <w:link w:val="Heading5"/>
    <w:rPr>
      <w:rFonts w:ascii="Arial" w:hAnsi="Arial"/>
      <w:b/>
      <w:sz w:val="24"/>
      <w:lang w:val="en-GB"/>
    </w:rPr>
  </w:style>
  <w:style w:type="character" w:customStyle="1" w:styleId="Heading6Char">
    <w:name w:val="Heading 6 Char"/>
    <w:aliases w:val="Heading 6 - Appendix Heading 1_swift Char,Appendix Heading 1 Char"/>
    <w:basedOn w:val="DefaultParagraphFont"/>
    <w:link w:val="Heading6"/>
    <w:rPr>
      <w:rFonts w:ascii="Arial" w:hAnsi="Arial"/>
      <w:b/>
      <w:sz w:val="32"/>
      <w:lang w:val="en-GB"/>
    </w:rPr>
  </w:style>
  <w:style w:type="character" w:customStyle="1" w:styleId="Heading7Char">
    <w:name w:val="Heading 7 Char"/>
    <w:aliases w:val="Heading 7 - Appendix Heading 2_swift Char,Heading 7 - Appendix Heading 2 Char"/>
    <w:basedOn w:val="DefaultParagraphFont"/>
    <w:link w:val="Heading7"/>
    <w:rPr>
      <w:rFonts w:ascii="Arial" w:hAnsi="Arial"/>
      <w:b/>
      <w:sz w:val="28"/>
      <w:lang w:val="en-GB"/>
    </w:rPr>
  </w:style>
  <w:style w:type="character" w:customStyle="1" w:styleId="Heading8Char">
    <w:name w:val="Heading 8 Char"/>
    <w:aliases w:val="Heading 8 - Appendix Heading 3_swift Char"/>
    <w:basedOn w:val="DefaultParagraphFont"/>
    <w:link w:val="Heading8"/>
    <w:rPr>
      <w:rFonts w:ascii="Arial" w:hAnsi="Arial"/>
      <w:b/>
      <w:sz w:val="26"/>
      <w:lang w:val="en-GB"/>
    </w:rPr>
  </w:style>
  <w:style w:type="character" w:customStyle="1" w:styleId="Heading9Char">
    <w:name w:val="Heading 9 Char"/>
    <w:aliases w:val="Heading 9 - Appendix Heading 4_swift Char"/>
    <w:basedOn w:val="DefaultParagraphFont"/>
    <w:link w:val="Heading9"/>
    <w:rPr>
      <w:rFonts w:ascii="Arial" w:hAnsi="Arial"/>
      <w:b/>
      <w:lang w:val="en-GB"/>
    </w:rPr>
  </w:style>
  <w:style w:type="paragraph" w:styleId="Subtitle">
    <w:name w:val="Subtitle"/>
    <w:aliases w:val="Subtitle_swift"/>
    <w:basedOn w:val="Normal"/>
    <w:next w:val="Normal"/>
    <w:link w:val="SubtitleChar"/>
    <w:qFormat/>
    <w:pPr>
      <w:numPr>
        <w:ilvl w:val="1"/>
      </w:numPr>
    </w:pPr>
    <w:rPr>
      <w:rFonts w:ascii="Arial" w:eastAsiaTheme="majorEastAsia" w:hAnsi="Arial" w:cstheme="majorBidi"/>
      <w:i/>
      <w:iCs/>
      <w:spacing w:val="15"/>
      <w:sz w:val="24"/>
      <w:szCs w:val="24"/>
      <w:lang w:eastAsia="en-US"/>
    </w:rPr>
  </w:style>
  <w:style w:type="character" w:customStyle="1" w:styleId="SubtitleChar">
    <w:name w:val="Subtitle Char"/>
    <w:aliases w:val="Subtitle_swift Char"/>
    <w:basedOn w:val="DefaultParagraphFont"/>
    <w:link w:val="Subtitle"/>
    <w:rPr>
      <w:rFonts w:ascii="Arial" w:eastAsiaTheme="majorEastAsia" w:hAnsi="Arial" w:cstheme="majorBidi"/>
      <w:i/>
      <w:iCs/>
      <w:spacing w:val="15"/>
      <w:sz w:val="24"/>
      <w:szCs w:val="24"/>
      <w:lang w:val="en-GB"/>
    </w:rPr>
  </w:style>
  <w:style w:type="character" w:styleId="Strong">
    <w:name w:val="Strong"/>
    <w:basedOn w:val="DefaultParagraphFont"/>
    <w:qFormat/>
    <w:rPr>
      <w:rFonts w:ascii="Arial" w:hAnsi="Arial"/>
      <w:b/>
      <w:bCs/>
    </w:rPr>
  </w:style>
  <w:style w:type="paragraph" w:styleId="NoSpacing">
    <w:name w:val="No Spacing"/>
    <w:link w:val="NoSpacingChar"/>
    <w:uiPriority w:val="1"/>
    <w:qFormat/>
    <w:rPr>
      <w:rFonts w:ascii="Arial" w:hAnsi="Arial"/>
      <w:lang w:val="en-GB"/>
    </w:rPr>
  </w:style>
  <w:style w:type="character" w:customStyle="1" w:styleId="NoSpacingChar">
    <w:name w:val="No Spacing Char"/>
    <w:basedOn w:val="DefaultParagraphFont"/>
    <w:link w:val="NoSpacing"/>
    <w:uiPriority w:val="1"/>
    <w:rPr>
      <w:rFonts w:ascii="Arial" w:hAnsi="Arial"/>
      <w:lang w:val="en-GB"/>
    </w:rPr>
  </w:style>
  <w:style w:type="paragraph" w:styleId="ListParagraph">
    <w:name w:val="List Paragraph"/>
    <w:basedOn w:val="Normal"/>
    <w:uiPriority w:val="34"/>
    <w:qFormat/>
    <w:pPr>
      <w:ind w:left="720"/>
      <w:contextualSpacing/>
    </w:pPr>
    <w:rPr>
      <w:rFonts w:ascii="Arial" w:eastAsia="Times" w:hAnsi="Arial" w:cs="Times New Roman"/>
      <w:sz w:val="20"/>
      <w:szCs w:val="20"/>
      <w:lang w:eastAsia="en-US"/>
    </w:rPr>
  </w:style>
  <w:style w:type="paragraph" w:styleId="Quote">
    <w:name w:val="Quote"/>
    <w:basedOn w:val="Normal"/>
    <w:next w:val="Normal"/>
    <w:link w:val="QuoteChar"/>
    <w:uiPriority w:val="29"/>
    <w:qFormat/>
    <w:rPr>
      <w:rFonts w:ascii="Arial" w:eastAsia="Times" w:hAnsi="Arial" w:cs="Times New Roman"/>
      <w:i/>
      <w:iCs/>
      <w:color w:val="000000" w:themeColor="text1"/>
      <w:sz w:val="20"/>
      <w:szCs w:val="20"/>
      <w:lang w:eastAsia="en-US"/>
    </w:rPr>
  </w:style>
  <w:style w:type="character" w:customStyle="1" w:styleId="QuoteChar">
    <w:name w:val="Quote Char"/>
    <w:basedOn w:val="DefaultParagraphFont"/>
    <w:link w:val="Quote"/>
    <w:uiPriority w:val="29"/>
    <w:rPr>
      <w:rFonts w:ascii="Arial" w:hAnsi="Arial"/>
      <w:i/>
      <w:iCs/>
      <w:color w:val="000000" w:themeColor="text1"/>
      <w:lang w:val="en-GB"/>
    </w:rPr>
  </w:style>
  <w:style w:type="paragraph" w:styleId="IntenseQuote">
    <w:name w:val="Intense Quote"/>
    <w:basedOn w:val="Normal"/>
    <w:next w:val="Normal"/>
    <w:link w:val="IntenseQuoteChar"/>
    <w:uiPriority w:val="30"/>
    <w:qFormat/>
    <w:pPr>
      <w:pBdr>
        <w:bottom w:val="single" w:sz="4" w:space="4" w:color="auto"/>
      </w:pBdr>
      <w:spacing w:before="200" w:after="280"/>
      <w:ind w:left="936" w:right="936"/>
    </w:pPr>
    <w:rPr>
      <w:rFonts w:ascii="Arial" w:eastAsia="Times" w:hAnsi="Arial" w:cs="Times New Roman"/>
      <w:b/>
      <w:bCs/>
      <w:i/>
      <w:iCs/>
      <w:sz w:val="20"/>
      <w:szCs w:val="20"/>
      <w:lang w:eastAsia="en-US"/>
    </w:rPr>
  </w:style>
  <w:style w:type="character" w:customStyle="1" w:styleId="IntenseQuoteChar">
    <w:name w:val="Intense Quote Char"/>
    <w:basedOn w:val="DefaultParagraphFont"/>
    <w:link w:val="IntenseQuote"/>
    <w:uiPriority w:val="30"/>
    <w:rPr>
      <w:rFonts w:ascii="Arial" w:hAnsi="Arial"/>
      <w:b/>
      <w:bCs/>
      <w:i/>
      <w:iCs/>
      <w:lang w:val="en-GB"/>
    </w:rPr>
  </w:style>
  <w:style w:type="character" w:styleId="SubtleEmphasis">
    <w:name w:val="Subtle Emphasis"/>
    <w:basedOn w:val="DefaultParagraphFont"/>
    <w:uiPriority w:val="19"/>
    <w:qFormat/>
    <w:rPr>
      <w:rFonts w:ascii="Arial" w:hAnsi="Arial"/>
      <w:i/>
      <w:iCs/>
      <w:color w:val="auto"/>
    </w:rPr>
  </w:style>
  <w:style w:type="character" w:styleId="IntenseEmphasis">
    <w:name w:val="Intense Emphasis"/>
    <w:basedOn w:val="DefaultParagraphFont"/>
    <w:uiPriority w:val="21"/>
    <w:qFormat/>
    <w:rPr>
      <w:rFonts w:ascii="Arial" w:hAnsi="Arial"/>
      <w:b/>
      <w:bCs/>
      <w:i/>
      <w:iCs/>
      <w:color w:val="auto"/>
    </w:rPr>
  </w:style>
  <w:style w:type="character" w:styleId="IntenseReference">
    <w:name w:val="Intense Reference"/>
    <w:basedOn w:val="DefaultParagraphFont"/>
    <w:uiPriority w:val="32"/>
    <w:qFormat/>
    <w:rPr>
      <w:rFonts w:ascii="Arial" w:hAnsi="Arial"/>
      <w:b/>
      <w:bCs/>
      <w:smallCaps/>
      <w:color w:val="auto"/>
      <w:spacing w:val="5"/>
      <w:u w:val="single"/>
    </w:rPr>
  </w:style>
  <w:style w:type="paragraph" w:styleId="TOCHeading">
    <w:name w:val="TOC Heading"/>
    <w:basedOn w:val="Heading1"/>
    <w:next w:val="Normal"/>
    <w:uiPriority w:val="39"/>
    <w:semiHidden/>
    <w:unhideWhenUsed/>
    <w:qFormat/>
    <w:pPr>
      <w:keepLines/>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paragraph" w:customStyle="1" w:styleId="FooterSwift">
    <w:name w:val="Footer_Swift"/>
    <w:basedOn w:val="Normal"/>
    <w:next w:val="Footer"/>
    <w:link w:val="FooterSwiftChar"/>
    <w:pPr>
      <w:pBdr>
        <w:top w:val="single" w:sz="4" w:space="1" w:color="7F7F7F"/>
      </w:pBdr>
      <w:tabs>
        <w:tab w:val="center" w:pos="4200"/>
        <w:tab w:val="right" w:pos="8712"/>
      </w:tabs>
      <w:jc w:val="center"/>
    </w:pPr>
    <w:rPr>
      <w:rFonts w:ascii="Arial" w:eastAsia="Times" w:hAnsi="Arial" w:cs="Arial"/>
      <w:sz w:val="18"/>
      <w:szCs w:val="18"/>
      <w:lang w:eastAsia="en-US"/>
    </w:rPr>
  </w:style>
  <w:style w:type="paragraph" w:styleId="Footer">
    <w:name w:val="footer"/>
    <w:next w:val="FooterSwift"/>
    <w:link w:val="FooterChar"/>
    <w:uiPriority w:val="99"/>
    <w:semiHidden/>
    <w:unhideWhenUsed/>
    <w:pPr>
      <w:tabs>
        <w:tab w:val="center" w:pos="4680"/>
        <w:tab w:val="right" w:pos="9360"/>
      </w:tabs>
    </w:pPr>
    <w:rPr>
      <w:rFonts w:ascii="Arial" w:hAnsi="Arial"/>
      <w:lang w:val="en-GB"/>
    </w:rPr>
  </w:style>
  <w:style w:type="character" w:customStyle="1" w:styleId="FooterChar">
    <w:name w:val="Footer Char"/>
    <w:basedOn w:val="DefaultParagraphFont"/>
    <w:link w:val="Footer"/>
    <w:uiPriority w:val="99"/>
    <w:semiHidden/>
    <w:rPr>
      <w:rFonts w:ascii="Arial" w:hAnsi="Arial"/>
      <w:lang w:val="en-GB"/>
    </w:rPr>
  </w:style>
  <w:style w:type="character" w:customStyle="1" w:styleId="FooterSwiftChar">
    <w:name w:val="Footer_Swift Char"/>
    <w:basedOn w:val="FooterChar"/>
    <w:link w:val="FooterSwift"/>
    <w:rPr>
      <w:rFonts w:ascii="Arial" w:hAnsi="Arial" w:cs="Arial"/>
      <w:sz w:val="18"/>
      <w:szCs w:val="18"/>
      <w:lang w:val="en-GB"/>
    </w:rPr>
  </w:style>
  <w:style w:type="paragraph" w:customStyle="1" w:styleId="Titleswift">
    <w:name w:val="Title_swift"/>
    <w:basedOn w:val="Normal"/>
    <w:link w:val="TitleswiftChar"/>
    <w:pPr>
      <w:jc w:val="right"/>
    </w:pPr>
    <w:rPr>
      <w:rFonts w:ascii="Arial" w:eastAsia="Times" w:hAnsi="Arial" w:cs="Times New Roman"/>
      <w:b/>
      <w:sz w:val="48"/>
      <w:szCs w:val="48"/>
      <w:lang w:eastAsia="en-US"/>
    </w:rPr>
  </w:style>
  <w:style w:type="character" w:customStyle="1" w:styleId="TitleswiftChar">
    <w:name w:val="Title_swift Char"/>
    <w:basedOn w:val="DefaultParagraphFont"/>
    <w:link w:val="Titleswift"/>
    <w:rPr>
      <w:rFonts w:ascii="Arial" w:hAnsi="Arial"/>
      <w:b/>
      <w:sz w:val="48"/>
      <w:szCs w:val="48"/>
      <w:lang w:val="en-GB"/>
    </w:rPr>
  </w:style>
  <w:style w:type="paragraph" w:styleId="Header">
    <w:name w:val="header"/>
    <w:basedOn w:val="Normal"/>
    <w:link w:val="HeaderChar"/>
    <w:uiPriority w:val="99"/>
    <w:semiHidden/>
    <w:unhideWhenUsed/>
    <w:pPr>
      <w:tabs>
        <w:tab w:val="center" w:pos="4680"/>
        <w:tab w:val="right" w:pos="9360"/>
      </w:tabs>
    </w:pPr>
    <w:rPr>
      <w:rFonts w:ascii="Arial" w:eastAsia="Times" w:hAnsi="Arial" w:cs="Times New Roman"/>
      <w:sz w:val="20"/>
      <w:szCs w:val="20"/>
      <w:lang w:eastAsia="en-US"/>
    </w:rPr>
  </w:style>
  <w:style w:type="character" w:customStyle="1" w:styleId="HeaderChar">
    <w:name w:val="Header Char"/>
    <w:basedOn w:val="DefaultParagraphFont"/>
    <w:link w:val="Header"/>
    <w:uiPriority w:val="99"/>
    <w:semiHidden/>
    <w:rPr>
      <w:rFonts w:ascii="Arial" w:hAnsi="Arial"/>
      <w:lang w:val="en-GB"/>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eastAsia="Times" w:hAnsi="Tahoma" w:cs="Tahoma"/>
      <w:sz w:val="16"/>
      <w:szCs w:val="16"/>
      <w:lang w:eastAsia="en-US"/>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tyle1Swift">
    <w:name w:val="Style1_Swift"/>
    <w:basedOn w:val="TableNormal"/>
    <w:uiPriority w:val="99"/>
    <w:qFormat/>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sz w:val="20"/>
      </w:rPr>
      <w:tblPr/>
      <w:tcPr>
        <w:shd w:val="clear" w:color="auto" w:fill="A6A6A6" w:themeFill="background1" w:themeFillShade="A6"/>
        <w:vAlign w:val="center"/>
      </w:tcPr>
    </w:tblStylePr>
  </w:style>
  <w:style w:type="paragraph" w:styleId="Title">
    <w:name w:val="Title"/>
    <w:basedOn w:val="Normal"/>
    <w:next w:val="Normal"/>
    <w:link w:val="TitleChar"/>
    <w:qFormat/>
    <w:pPr>
      <w:pBdr>
        <w:bottom w:val="single" w:sz="8" w:space="4" w:color="4F81BD" w:themeColor="accent1"/>
      </w:pBdr>
      <w:spacing w:after="300"/>
      <w:contextualSpacing/>
    </w:pPr>
    <w:rPr>
      <w:rFonts w:ascii="Arial" w:eastAsiaTheme="majorEastAsia" w:hAnsi="Arial" w:cstheme="majorBidi"/>
      <w:spacing w:val="5"/>
      <w:kern w:val="28"/>
      <w:sz w:val="52"/>
      <w:szCs w:val="52"/>
      <w:lang w:eastAsia="en-US"/>
    </w:rPr>
  </w:style>
  <w:style w:type="character" w:customStyle="1" w:styleId="TitleChar">
    <w:name w:val="Title Char"/>
    <w:basedOn w:val="DefaultParagraphFont"/>
    <w:link w:val="Title"/>
    <w:rPr>
      <w:rFonts w:ascii="Arial" w:eastAsiaTheme="majorEastAsia" w:hAnsi="Arial" w:cstheme="majorBidi"/>
      <w:spacing w:val="5"/>
      <w:kern w:val="28"/>
      <w:sz w:val="52"/>
      <w:szCs w:val="52"/>
      <w:lang w:val="en-GB"/>
    </w:rPr>
  </w:style>
  <w:style w:type="character" w:styleId="Emphasis">
    <w:name w:val="Emphasis"/>
    <w:basedOn w:val="DefaultParagraphFont"/>
    <w:qFormat/>
    <w:rPr>
      <w:rFonts w:ascii="Arial" w:hAnsi="Arial"/>
      <w:i/>
      <w:iCs/>
    </w:rPr>
  </w:style>
  <w:style w:type="character" w:styleId="SubtleReference">
    <w:name w:val="Subtle Reference"/>
    <w:basedOn w:val="DefaultParagraphFont"/>
    <w:uiPriority w:val="31"/>
    <w:qFormat/>
    <w:rPr>
      <w:rFonts w:ascii="Arial" w:hAnsi="Arial"/>
      <w:smallCaps/>
      <w:color w:val="auto"/>
      <w:u w:val="single"/>
    </w:rPr>
  </w:style>
  <w:style w:type="character" w:styleId="BookTitle">
    <w:name w:val="Book Title"/>
    <w:basedOn w:val="DefaultParagraphFont"/>
    <w:uiPriority w:val="33"/>
    <w:qFormat/>
    <w:rPr>
      <w:rFonts w:ascii="Arial" w:hAnsi="Arial"/>
      <w:b/>
      <w:bCs/>
      <w:smallCaps/>
      <w:spacing w:val="5"/>
    </w:rPr>
  </w:style>
  <w:style w:type="paragraph" w:customStyle="1" w:styleId="Default">
    <w:name w:val="Default"/>
    <w:basedOn w:val="Normal"/>
    <w:rsid w:val="00F004D7"/>
    <w:pPr>
      <w:autoSpaceDE w:val="0"/>
      <w:autoSpaceDN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424789">
      <w:bodyDiv w:val="1"/>
      <w:marLeft w:val="0"/>
      <w:marRight w:val="0"/>
      <w:marTop w:val="0"/>
      <w:marBottom w:val="0"/>
      <w:divBdr>
        <w:top w:val="none" w:sz="0" w:space="0" w:color="auto"/>
        <w:left w:val="none" w:sz="0" w:space="0" w:color="auto"/>
        <w:bottom w:val="none" w:sz="0" w:space="0" w:color="auto"/>
        <w:right w:val="none" w:sz="0" w:space="0" w:color="auto"/>
      </w:divBdr>
    </w:div>
    <w:div w:id="173600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33AF65F3-102D-49F3-8014-92B0A834B051}">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SWIFT</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LITTRE Jacques</dc:creator>
  <cp:lastModifiedBy>LITTRE Jacques</cp:lastModifiedBy>
  <cp:revision>3</cp:revision>
  <dcterms:created xsi:type="dcterms:W3CDTF">2016-09-12T10:48:00Z</dcterms:created>
  <dcterms:modified xsi:type="dcterms:W3CDTF">2016-09-12T10:51:00Z</dcterms:modified>
</cp:coreProperties>
</file>