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21" w:rsidRDefault="00427621"/>
    <w:p w:rsidR="00F32BEF" w:rsidRPr="00F32BEF" w:rsidRDefault="00F32BEF">
      <w:pPr>
        <w:rPr>
          <w:b/>
        </w:rPr>
      </w:pPr>
      <w:r w:rsidRPr="00F32BEF">
        <w:rPr>
          <w:b/>
        </w:rPr>
        <w:t>CA 278 Usage of PRFC and NWFC from ISITC Corporate Action Market Practice</w:t>
      </w:r>
    </w:p>
    <w:p w:rsidR="00F32BEF" w:rsidRDefault="00F32BEF"/>
    <w:p w:rsidR="00F32BEF" w:rsidRDefault="00F32BEF">
      <w:r>
        <w:rPr>
          <w:noProof/>
        </w:rPr>
        <w:drawing>
          <wp:inline distT="0" distB="0" distL="0" distR="0">
            <wp:extent cx="5943600" cy="15588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EF" w:rsidRDefault="00F32BEF">
      <w:r>
        <w:rPr>
          <w:noProof/>
        </w:rPr>
        <w:lastRenderedPageBreak/>
        <w:drawing>
          <wp:inline distT="0" distB="0" distL="0" distR="0">
            <wp:extent cx="5943600" cy="427243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56737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EF" w:rsidRDefault="00F32BEF">
      <w:r>
        <w:rPr>
          <w:noProof/>
        </w:rPr>
        <w:drawing>
          <wp:inline distT="0" distB="0" distL="0" distR="0">
            <wp:extent cx="5943600" cy="135529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BEF" w:rsidSect="0042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2BEF"/>
    <w:rsid w:val="00427621"/>
    <w:rsid w:val="00F3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71</Characters>
  <Application>Microsoft Office Word</Application>
  <DocSecurity>0</DocSecurity>
  <Lines>1</Lines>
  <Paragraphs>1</Paragraphs>
  <ScaleCrop>false</ScaleCrop>
  <Company>BBH &amp; Co.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bs97082</dc:creator>
  <cp:lastModifiedBy>bs97082</cp:lastModifiedBy>
  <cp:revision>1</cp:revision>
  <dcterms:created xsi:type="dcterms:W3CDTF">2014-04-22T12:18:00Z</dcterms:created>
  <dcterms:modified xsi:type="dcterms:W3CDTF">2014-04-22T12:22:00Z</dcterms:modified>
</cp:coreProperties>
</file>