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C7053E" w:rsidP="00A738EA">
      <w:pPr>
        <w:pStyle w:val="Header"/>
        <w:rPr>
          <w:lang w:val="en-GB"/>
        </w:rPr>
      </w:pPr>
      <w:r>
        <w:rPr>
          <w:lang w:val="en-GB"/>
        </w:rPr>
        <w:t>28</w:t>
      </w:r>
      <w:r w:rsidR="00A738EA">
        <w:rPr>
          <w:lang w:val="en-GB"/>
        </w:rPr>
        <w:t xml:space="preserve"> </w:t>
      </w:r>
      <w:r>
        <w:rPr>
          <w:lang w:val="en-GB"/>
        </w:rPr>
        <w:t>January 2014</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C7053E"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Draft</w:t>
      </w:r>
      <w:r w:rsidR="007F36B9">
        <w:rPr>
          <w:lang w:val="en-GB"/>
        </w:rPr>
        <w:t xml:space="preserve"> </w:t>
      </w:r>
      <w:proofErr w:type="gramStart"/>
      <w:r w:rsidR="00BB670F" w:rsidRPr="00C10F02">
        <w:rPr>
          <w:lang w:val="en-GB"/>
        </w:rPr>
        <w:t xml:space="preserve">Version  </w:t>
      </w:r>
      <w:r w:rsidR="0076568D" w:rsidRPr="00C10F02">
        <w:rPr>
          <w:lang w:val="en-GB"/>
        </w:rPr>
        <w:t>v</w:t>
      </w:r>
      <w:r>
        <w:rPr>
          <w:lang w:val="en-GB"/>
        </w:rPr>
        <w:t>0</w:t>
      </w:r>
      <w:r w:rsidR="009C4334">
        <w:rPr>
          <w:lang w:val="en-GB"/>
        </w:rPr>
        <w:t>.</w:t>
      </w:r>
      <w:r>
        <w:rPr>
          <w:lang w:val="en-GB"/>
        </w:rPr>
        <w:t>1</w:t>
      </w:r>
      <w:proofErr w:type="gramEnd"/>
      <w:r w:rsidR="008179FB" w:rsidRPr="00C10F02">
        <w:rPr>
          <w:lang w:val="en-GB"/>
        </w:rPr>
        <w:t xml:space="preserve"> – </w:t>
      </w:r>
      <w:r>
        <w:rPr>
          <w:lang w:val="en-GB"/>
        </w:rPr>
        <w:t>February</w:t>
      </w:r>
      <w:r w:rsidR="00292B53">
        <w:rPr>
          <w:lang w:val="en-GB"/>
        </w:rPr>
        <w:t xml:space="preserve"> 10</w:t>
      </w:r>
      <w:r w:rsidR="00D87979">
        <w:rPr>
          <w:lang w:val="en-GB"/>
        </w:rPr>
        <w:t>, 2013</w:t>
      </w:r>
    </w:p>
    <w:p w:rsidR="00AB6103" w:rsidRDefault="00E81D81" w:rsidP="00592037">
      <w:pPr>
        <w:pStyle w:val="Title1"/>
      </w:pPr>
      <w:r>
        <w:lastRenderedPageBreak/>
        <w:t>Table of Contents</w:t>
      </w:r>
    </w:p>
    <w:p w:rsidR="00880051"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79812136" w:history="1">
        <w:r w:rsidR="00880051" w:rsidRPr="00540244">
          <w:rPr>
            <w:rStyle w:val="Hyperlink"/>
          </w:rPr>
          <w:t>1.</w:t>
        </w:r>
        <w:r w:rsidR="00880051">
          <w:rPr>
            <w:rFonts w:asciiTheme="minorHAnsi" w:eastAsiaTheme="minorEastAsia" w:hAnsiTheme="minorHAnsi" w:cstheme="minorBidi"/>
            <w:b w:val="0"/>
            <w:bCs w:val="0"/>
            <w:sz w:val="22"/>
            <w:szCs w:val="22"/>
            <w:lang w:val="en-GB" w:eastAsia="en-GB"/>
          </w:rPr>
          <w:tab/>
        </w:r>
        <w:r w:rsidR="00880051" w:rsidRPr="00540244">
          <w:rPr>
            <w:rStyle w:val="Hyperlink"/>
          </w:rPr>
          <w:t>Comments on December 12 conf call  minutes</w:t>
        </w:r>
        <w:r w:rsidR="00880051">
          <w:rPr>
            <w:webHidden/>
          </w:rPr>
          <w:tab/>
        </w:r>
        <w:r w:rsidR="00880051">
          <w:rPr>
            <w:webHidden/>
          </w:rPr>
          <w:fldChar w:fldCharType="begin"/>
        </w:r>
        <w:r w:rsidR="00880051">
          <w:rPr>
            <w:webHidden/>
          </w:rPr>
          <w:instrText xml:space="preserve"> PAGEREF _Toc379812136 \h </w:instrText>
        </w:r>
        <w:r w:rsidR="00880051">
          <w:rPr>
            <w:webHidden/>
          </w:rPr>
        </w:r>
        <w:r w:rsidR="00880051">
          <w:rPr>
            <w:webHidden/>
          </w:rPr>
          <w:fldChar w:fldCharType="separate"/>
        </w:r>
        <w:r w:rsidR="00880051">
          <w:rPr>
            <w:webHidden/>
          </w:rPr>
          <w:t>3</w:t>
        </w:r>
        <w:r w:rsidR="00880051">
          <w:rPr>
            <w:webHidden/>
          </w:rPr>
          <w:fldChar w:fldCharType="end"/>
        </w:r>
      </w:hyperlink>
    </w:p>
    <w:p w:rsidR="00880051" w:rsidRDefault="00880051">
      <w:pPr>
        <w:pStyle w:val="TOC1"/>
        <w:rPr>
          <w:rFonts w:asciiTheme="minorHAnsi" w:eastAsiaTheme="minorEastAsia" w:hAnsiTheme="minorHAnsi" w:cstheme="minorBidi"/>
          <w:b w:val="0"/>
          <w:bCs w:val="0"/>
          <w:sz w:val="22"/>
          <w:szCs w:val="22"/>
          <w:lang w:val="en-GB" w:eastAsia="en-GB"/>
        </w:rPr>
      </w:pPr>
      <w:hyperlink w:anchor="_Toc379812137" w:history="1">
        <w:r w:rsidRPr="00540244">
          <w:rPr>
            <w:rStyle w:val="Hyperlink"/>
          </w:rPr>
          <w:t>2.</w:t>
        </w:r>
        <w:r>
          <w:rPr>
            <w:rFonts w:asciiTheme="minorHAnsi" w:eastAsiaTheme="minorEastAsia" w:hAnsiTheme="minorHAnsi" w:cstheme="minorBidi"/>
            <w:b w:val="0"/>
            <w:bCs w:val="0"/>
            <w:sz w:val="22"/>
            <w:szCs w:val="22"/>
            <w:lang w:val="en-GB" w:eastAsia="en-GB"/>
          </w:rPr>
          <w:tab/>
        </w:r>
        <w:r w:rsidRPr="00540244">
          <w:rPr>
            <w:rStyle w:val="Hyperlink"/>
          </w:rPr>
          <w:t>CA203 - SR2014 MPs Maintenance &amp; Event Templates and summary of changes (Jacques)</w:t>
        </w:r>
        <w:r>
          <w:rPr>
            <w:webHidden/>
          </w:rPr>
          <w:tab/>
        </w:r>
        <w:r>
          <w:rPr>
            <w:webHidden/>
          </w:rPr>
          <w:fldChar w:fldCharType="begin"/>
        </w:r>
        <w:r>
          <w:rPr>
            <w:webHidden/>
          </w:rPr>
          <w:instrText xml:space="preserve"> PAGEREF _Toc379812137 \h </w:instrText>
        </w:r>
        <w:r>
          <w:rPr>
            <w:webHidden/>
          </w:rPr>
        </w:r>
        <w:r>
          <w:rPr>
            <w:webHidden/>
          </w:rPr>
          <w:fldChar w:fldCharType="separate"/>
        </w:r>
        <w:r>
          <w:rPr>
            <w:webHidden/>
          </w:rPr>
          <w:t>3</w:t>
        </w:r>
        <w:r>
          <w:rPr>
            <w:webHidden/>
          </w:rPr>
          <w:fldChar w:fldCharType="end"/>
        </w:r>
      </w:hyperlink>
    </w:p>
    <w:p w:rsidR="00880051" w:rsidRDefault="00880051">
      <w:pPr>
        <w:pStyle w:val="TOC1"/>
        <w:rPr>
          <w:rFonts w:asciiTheme="minorHAnsi" w:eastAsiaTheme="minorEastAsia" w:hAnsiTheme="minorHAnsi" w:cstheme="minorBidi"/>
          <w:b w:val="0"/>
          <w:bCs w:val="0"/>
          <w:sz w:val="22"/>
          <w:szCs w:val="22"/>
          <w:lang w:val="en-GB" w:eastAsia="en-GB"/>
        </w:rPr>
      </w:pPr>
      <w:hyperlink w:anchor="_Toc379812138" w:history="1">
        <w:r w:rsidRPr="00540244">
          <w:rPr>
            <w:rStyle w:val="Hyperlink"/>
          </w:rPr>
          <w:t>3.</w:t>
        </w:r>
        <w:r>
          <w:rPr>
            <w:rFonts w:asciiTheme="minorHAnsi" w:eastAsiaTheme="minorEastAsia" w:hAnsiTheme="minorHAnsi" w:cstheme="minorBidi"/>
            <w:b w:val="0"/>
            <w:bCs w:val="0"/>
            <w:sz w:val="22"/>
            <w:szCs w:val="22"/>
            <w:lang w:val="en-GB" w:eastAsia="en-GB"/>
          </w:rPr>
          <w:tab/>
        </w:r>
        <w:r w:rsidRPr="00540244">
          <w:rPr>
            <w:rStyle w:val="Hyperlink"/>
          </w:rPr>
          <w:t>CA226 - Disclosure (DSCL) event (Bernard)</w:t>
        </w:r>
        <w:r>
          <w:rPr>
            <w:webHidden/>
          </w:rPr>
          <w:tab/>
        </w:r>
        <w:r>
          <w:rPr>
            <w:webHidden/>
          </w:rPr>
          <w:fldChar w:fldCharType="begin"/>
        </w:r>
        <w:r>
          <w:rPr>
            <w:webHidden/>
          </w:rPr>
          <w:instrText xml:space="preserve"> PAGEREF _Toc379812138 \h </w:instrText>
        </w:r>
        <w:r>
          <w:rPr>
            <w:webHidden/>
          </w:rPr>
        </w:r>
        <w:r>
          <w:rPr>
            <w:webHidden/>
          </w:rPr>
          <w:fldChar w:fldCharType="separate"/>
        </w:r>
        <w:r>
          <w:rPr>
            <w:webHidden/>
          </w:rPr>
          <w:t>4</w:t>
        </w:r>
        <w:r>
          <w:rPr>
            <w:webHidden/>
          </w:rPr>
          <w:fldChar w:fldCharType="end"/>
        </w:r>
      </w:hyperlink>
    </w:p>
    <w:p w:rsidR="00880051" w:rsidRDefault="00880051">
      <w:pPr>
        <w:pStyle w:val="TOC1"/>
        <w:rPr>
          <w:rFonts w:asciiTheme="minorHAnsi" w:eastAsiaTheme="minorEastAsia" w:hAnsiTheme="minorHAnsi" w:cstheme="minorBidi"/>
          <w:b w:val="0"/>
          <w:bCs w:val="0"/>
          <w:sz w:val="22"/>
          <w:szCs w:val="22"/>
          <w:lang w:val="en-GB" w:eastAsia="en-GB"/>
        </w:rPr>
      </w:pPr>
      <w:hyperlink w:anchor="_Toc379812139" w:history="1">
        <w:r w:rsidRPr="00540244">
          <w:rPr>
            <w:rStyle w:val="Hyperlink"/>
          </w:rPr>
          <w:t>4.</w:t>
        </w:r>
        <w:r>
          <w:rPr>
            <w:rFonts w:asciiTheme="minorHAnsi" w:eastAsiaTheme="minorEastAsia" w:hAnsiTheme="minorHAnsi" w:cstheme="minorBidi"/>
            <w:b w:val="0"/>
            <w:bCs w:val="0"/>
            <w:sz w:val="22"/>
            <w:szCs w:val="22"/>
            <w:lang w:val="en-GB" w:eastAsia="en-GB"/>
          </w:rPr>
          <w:tab/>
        </w:r>
        <w:r w:rsidRPr="00540244">
          <w:rPr>
            <w:rStyle w:val="Hyperlink"/>
          </w:rPr>
          <w:t>CA240 - Disclosure / Certification for MAND event (Christine)</w:t>
        </w:r>
        <w:r>
          <w:rPr>
            <w:webHidden/>
          </w:rPr>
          <w:tab/>
        </w:r>
        <w:r>
          <w:rPr>
            <w:webHidden/>
          </w:rPr>
          <w:fldChar w:fldCharType="begin"/>
        </w:r>
        <w:r>
          <w:rPr>
            <w:webHidden/>
          </w:rPr>
          <w:instrText xml:space="preserve"> PAGEREF _Toc379812139 \h </w:instrText>
        </w:r>
        <w:r>
          <w:rPr>
            <w:webHidden/>
          </w:rPr>
        </w:r>
        <w:r>
          <w:rPr>
            <w:webHidden/>
          </w:rPr>
          <w:fldChar w:fldCharType="separate"/>
        </w:r>
        <w:r>
          <w:rPr>
            <w:webHidden/>
          </w:rPr>
          <w:t>4</w:t>
        </w:r>
        <w:r>
          <w:rPr>
            <w:webHidden/>
          </w:rPr>
          <w:fldChar w:fldCharType="end"/>
        </w:r>
      </w:hyperlink>
    </w:p>
    <w:p w:rsidR="00880051" w:rsidRDefault="00880051">
      <w:pPr>
        <w:pStyle w:val="TOC1"/>
        <w:rPr>
          <w:rFonts w:asciiTheme="minorHAnsi" w:eastAsiaTheme="minorEastAsia" w:hAnsiTheme="minorHAnsi" w:cstheme="minorBidi"/>
          <w:b w:val="0"/>
          <w:bCs w:val="0"/>
          <w:sz w:val="22"/>
          <w:szCs w:val="22"/>
          <w:lang w:val="en-GB" w:eastAsia="en-GB"/>
        </w:rPr>
      </w:pPr>
      <w:hyperlink w:anchor="_Toc379812140" w:history="1">
        <w:r w:rsidRPr="00540244">
          <w:rPr>
            <w:rStyle w:val="Hyperlink"/>
          </w:rPr>
          <w:t>5.</w:t>
        </w:r>
        <w:r>
          <w:rPr>
            <w:rFonts w:asciiTheme="minorHAnsi" w:eastAsiaTheme="minorEastAsia" w:hAnsiTheme="minorHAnsi" w:cstheme="minorBidi"/>
            <w:b w:val="0"/>
            <w:bCs w:val="0"/>
            <w:sz w:val="22"/>
            <w:szCs w:val="22"/>
            <w:lang w:val="en-GB" w:eastAsia="en-GB"/>
          </w:rPr>
          <w:tab/>
        </w:r>
        <w:r w:rsidRPr="00540244">
          <w:rPr>
            <w:rStyle w:val="Hyperlink"/>
          </w:rPr>
          <w:t>CA268 - Narratives scope/usage and indicate updates (Delphine)</w:t>
        </w:r>
        <w:r>
          <w:rPr>
            <w:webHidden/>
          </w:rPr>
          <w:tab/>
        </w:r>
        <w:r>
          <w:rPr>
            <w:webHidden/>
          </w:rPr>
          <w:fldChar w:fldCharType="begin"/>
        </w:r>
        <w:r>
          <w:rPr>
            <w:webHidden/>
          </w:rPr>
          <w:instrText xml:space="preserve"> PAGEREF _Toc379812140 \h </w:instrText>
        </w:r>
        <w:r>
          <w:rPr>
            <w:webHidden/>
          </w:rPr>
        </w:r>
        <w:r>
          <w:rPr>
            <w:webHidden/>
          </w:rPr>
          <w:fldChar w:fldCharType="separate"/>
        </w:r>
        <w:r>
          <w:rPr>
            <w:webHidden/>
          </w:rPr>
          <w:t>5</w:t>
        </w:r>
        <w:r>
          <w:rPr>
            <w:webHidden/>
          </w:rPr>
          <w:fldChar w:fldCharType="end"/>
        </w:r>
      </w:hyperlink>
    </w:p>
    <w:p w:rsidR="00880051" w:rsidRDefault="00880051">
      <w:pPr>
        <w:pStyle w:val="TOC1"/>
        <w:rPr>
          <w:rFonts w:asciiTheme="minorHAnsi" w:eastAsiaTheme="minorEastAsia" w:hAnsiTheme="minorHAnsi" w:cstheme="minorBidi"/>
          <w:b w:val="0"/>
          <w:bCs w:val="0"/>
          <w:sz w:val="22"/>
          <w:szCs w:val="22"/>
          <w:lang w:val="en-GB" w:eastAsia="en-GB"/>
        </w:rPr>
      </w:pPr>
      <w:hyperlink w:anchor="_Toc379812141" w:history="1">
        <w:r w:rsidRPr="00540244">
          <w:rPr>
            <w:rStyle w:val="Hyperlink"/>
          </w:rPr>
          <w:t>6.</w:t>
        </w:r>
        <w:r>
          <w:rPr>
            <w:rFonts w:asciiTheme="minorHAnsi" w:eastAsiaTheme="minorEastAsia" w:hAnsiTheme="minorHAnsi" w:cstheme="minorBidi"/>
            <w:b w:val="0"/>
            <w:bCs w:val="0"/>
            <w:sz w:val="22"/>
            <w:szCs w:val="22"/>
            <w:lang w:val="en-GB" w:eastAsia="en-GB"/>
          </w:rPr>
          <w:tab/>
        </w:r>
        <w:r w:rsidRPr="00540244">
          <w:rPr>
            <w:rStyle w:val="Hyperlink"/>
          </w:rPr>
          <w:t>CA269 - Confirmation of Actual Payment (Mari)</w:t>
        </w:r>
        <w:r>
          <w:rPr>
            <w:webHidden/>
          </w:rPr>
          <w:tab/>
        </w:r>
        <w:r>
          <w:rPr>
            <w:webHidden/>
          </w:rPr>
          <w:fldChar w:fldCharType="begin"/>
        </w:r>
        <w:r>
          <w:rPr>
            <w:webHidden/>
          </w:rPr>
          <w:instrText xml:space="preserve"> PAGEREF _Toc379812141 \h </w:instrText>
        </w:r>
        <w:r>
          <w:rPr>
            <w:webHidden/>
          </w:rPr>
        </w:r>
        <w:r>
          <w:rPr>
            <w:webHidden/>
          </w:rPr>
          <w:fldChar w:fldCharType="separate"/>
        </w:r>
        <w:r>
          <w:rPr>
            <w:webHidden/>
          </w:rPr>
          <w:t>5</w:t>
        </w:r>
        <w:r>
          <w:rPr>
            <w:webHidden/>
          </w:rPr>
          <w:fldChar w:fldCharType="end"/>
        </w:r>
      </w:hyperlink>
    </w:p>
    <w:p w:rsidR="00880051" w:rsidRDefault="00880051">
      <w:pPr>
        <w:pStyle w:val="TOC1"/>
        <w:rPr>
          <w:rFonts w:asciiTheme="minorHAnsi" w:eastAsiaTheme="minorEastAsia" w:hAnsiTheme="minorHAnsi" w:cstheme="minorBidi"/>
          <w:b w:val="0"/>
          <w:bCs w:val="0"/>
          <w:sz w:val="22"/>
          <w:szCs w:val="22"/>
          <w:lang w:val="en-GB" w:eastAsia="en-GB"/>
        </w:rPr>
      </w:pPr>
      <w:hyperlink w:anchor="_Toc379812142" w:history="1">
        <w:r w:rsidRPr="00540244">
          <w:rPr>
            <w:rStyle w:val="Hyperlink"/>
          </w:rPr>
          <w:t>7.</w:t>
        </w:r>
        <w:r>
          <w:rPr>
            <w:rFonts w:asciiTheme="minorHAnsi" w:eastAsiaTheme="minorEastAsia" w:hAnsiTheme="minorHAnsi" w:cstheme="minorBidi"/>
            <w:b w:val="0"/>
            <w:bCs w:val="0"/>
            <w:sz w:val="22"/>
            <w:szCs w:val="22"/>
            <w:lang w:val="en-GB" w:eastAsia="en-GB"/>
          </w:rPr>
          <w:tab/>
        </w:r>
        <w:r w:rsidRPr="00540244">
          <w:rPr>
            <w:rStyle w:val="Hyperlink"/>
          </w:rPr>
          <w:t>AOB</w:t>
        </w:r>
        <w:r>
          <w:rPr>
            <w:webHidden/>
          </w:rPr>
          <w:tab/>
        </w:r>
        <w:r>
          <w:rPr>
            <w:webHidden/>
          </w:rPr>
          <w:fldChar w:fldCharType="begin"/>
        </w:r>
        <w:r>
          <w:rPr>
            <w:webHidden/>
          </w:rPr>
          <w:instrText xml:space="preserve"> PAGEREF _Toc379812142 \h </w:instrText>
        </w:r>
        <w:r>
          <w:rPr>
            <w:webHidden/>
          </w:rPr>
        </w:r>
        <w:r>
          <w:rPr>
            <w:webHidden/>
          </w:rPr>
          <w:fldChar w:fldCharType="separate"/>
        </w:r>
        <w:r>
          <w:rPr>
            <w:webHidden/>
          </w:rPr>
          <w:t>6</w:t>
        </w:r>
        <w:r>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auto"/>
            <w:vAlign w:val="bottom"/>
          </w:tcPr>
          <w:p w:rsidR="00761329" w:rsidRPr="00EE045B" w:rsidRDefault="00761329" w:rsidP="00687ACB">
            <w:pPr>
              <w:spacing w:before="100" w:beforeAutospacing="1" w:after="100" w:afterAutospacing="1"/>
              <w:jc w:val="both"/>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BE</w:t>
            </w:r>
          </w:p>
        </w:tc>
        <w:tc>
          <w:tcPr>
            <w:tcW w:w="333" w:type="pct"/>
            <w:shd w:val="clear" w:color="auto" w:fill="auto"/>
            <w:vAlign w:val="bottom"/>
          </w:tcPr>
          <w:p w:rsidR="00761329" w:rsidRPr="00EE045B" w:rsidRDefault="00761329" w:rsidP="00687ACB">
            <w:pPr>
              <w:spacing w:before="100" w:beforeAutospacing="1" w:after="100" w:afterAutospacing="1"/>
              <w:jc w:val="both"/>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687ACB">
            <w:pPr>
              <w:spacing w:before="100" w:beforeAutospacing="1" w:after="100" w:afterAutospacing="1"/>
              <w:jc w:val="both"/>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Veronique</w:t>
            </w:r>
          </w:p>
        </w:tc>
        <w:tc>
          <w:tcPr>
            <w:tcW w:w="666" w:type="pct"/>
            <w:shd w:val="clear" w:color="auto" w:fill="auto"/>
            <w:vAlign w:val="bottom"/>
          </w:tcPr>
          <w:p w:rsidR="00761329" w:rsidRPr="00EE045B" w:rsidRDefault="00761329" w:rsidP="00687ACB">
            <w:pPr>
              <w:spacing w:before="100" w:beforeAutospacing="1" w:after="100" w:afterAutospacing="1"/>
              <w:jc w:val="both"/>
              <w:rPr>
                <w:color w:val="808080" w:themeColor="background1" w:themeShade="80"/>
              </w:rPr>
            </w:pPr>
            <w:proofErr w:type="spellStart"/>
            <w:r w:rsidRPr="00EE045B">
              <w:rPr>
                <w:color w:val="808080" w:themeColor="background1" w:themeShade="80"/>
              </w:rPr>
              <w:t>Peeters</w:t>
            </w:r>
            <w:proofErr w:type="spellEnd"/>
          </w:p>
        </w:tc>
        <w:tc>
          <w:tcPr>
            <w:tcW w:w="1383" w:type="pct"/>
            <w:shd w:val="clear" w:color="auto" w:fill="auto"/>
            <w:vAlign w:val="bottom"/>
          </w:tcPr>
          <w:p w:rsidR="00761329" w:rsidRPr="00EE045B" w:rsidRDefault="00761329" w:rsidP="00687ACB">
            <w:pPr>
              <w:spacing w:before="100" w:beforeAutospacing="1" w:after="100" w:afterAutospacing="1"/>
              <w:jc w:val="both"/>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BNY Mellon</w:t>
            </w:r>
          </w:p>
        </w:tc>
        <w:tc>
          <w:tcPr>
            <w:tcW w:w="760" w:type="pct"/>
            <w:shd w:val="clear" w:color="auto" w:fill="auto"/>
          </w:tcPr>
          <w:p w:rsidR="00761329" w:rsidRPr="00EE045B" w:rsidRDefault="00761329" w:rsidP="00687ACB">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CH</w:t>
            </w:r>
          </w:p>
        </w:tc>
        <w:tc>
          <w:tcPr>
            <w:tcW w:w="33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Michael</w:t>
            </w:r>
          </w:p>
        </w:tc>
        <w:tc>
          <w:tcPr>
            <w:tcW w:w="666"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Blumer</w:t>
            </w:r>
            <w:proofErr w:type="spellEnd"/>
          </w:p>
        </w:tc>
        <w:tc>
          <w:tcPr>
            <w:tcW w:w="138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Credit Suisse</w:t>
            </w:r>
          </w:p>
        </w:tc>
        <w:tc>
          <w:tcPr>
            <w:tcW w:w="760" w:type="pct"/>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Andreana</w:t>
            </w:r>
            <w:proofErr w:type="spellEnd"/>
            <w:r w:rsidRPr="00EE045B">
              <w:rPr>
                <w:rFonts w:ascii="Calibri" w:hAnsi="Calibri" w:cs="Calibri"/>
                <w:color w:val="808080" w:themeColor="background1" w:themeShade="80"/>
                <w:sz w:val="22"/>
                <w:szCs w:val="22"/>
              </w:rPr>
              <w:t>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Ravn</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D30222">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Steimann</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r w:rsidRPr="00EE045B">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Ms</w:t>
            </w:r>
            <w:proofErr w:type="spellEnd"/>
            <w:r w:rsidRPr="00EE045B">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r w:rsidRPr="00EE045B">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r w:rsidRPr="00EE045B">
              <w:rPr>
                <w:rFonts w:ascii="Calibri" w:hAnsi="Calibri" w:cs="Calibri"/>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Nordea</w:t>
            </w:r>
            <w:proofErr w:type="spellEnd"/>
            <w:r w:rsidRPr="00EE045B">
              <w:rPr>
                <w:rFonts w:ascii="Calibri" w:hAnsi="Calibri" w:cs="Calibri"/>
                <w:sz w:val="22"/>
                <w:szCs w:val="22"/>
              </w:rPr>
              <w:t xml:space="preserve"> Bank </w:t>
            </w:r>
            <w:proofErr w:type="spellStart"/>
            <w:r w:rsidRPr="00EE045B">
              <w:rPr>
                <w:rFonts w:ascii="Calibri" w:hAnsi="Calibri" w:cs="Calibri"/>
                <w:sz w:val="22"/>
                <w:szCs w:val="22"/>
              </w:rPr>
              <w:t>Plc</w:t>
            </w:r>
            <w:proofErr w:type="spellEnd"/>
            <w:r w:rsidRPr="00EE045B">
              <w:rPr>
                <w:rFonts w:ascii="Calibri" w:hAnsi="Calibri" w:cs="Calibri"/>
                <w:sz w:val="22"/>
                <w:szCs w:val="22"/>
              </w:rPr>
              <w:t>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EE045B" w:rsidRDefault="00EE045B"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Phungtran</w:t>
            </w:r>
            <w:proofErr w:type="spellEnd"/>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Yek</w:t>
            </w:r>
            <w:proofErr w:type="spellEnd"/>
            <w:r w:rsidRPr="00EE045B">
              <w:rPr>
                <w:rFonts w:ascii="Calibri" w:hAnsi="Calibri" w:cs="Calibri"/>
                <w:color w:val="808080" w:themeColor="background1" w:themeShade="80"/>
                <w:sz w:val="22"/>
                <w:szCs w:val="22"/>
              </w:rPr>
              <w:t xml:space="preserve"> Ling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Yamamoto</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EE045B" w:rsidP="00D3022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413358"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Yasuo</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roofErr w:type="spellStart"/>
            <w:r w:rsidR="00413358" w:rsidRPr="00EE045B">
              <w:rPr>
                <w:rFonts w:ascii="Calibri" w:hAnsi="Calibri" w:cs="Calibri"/>
                <w:color w:val="808080" w:themeColor="background1" w:themeShade="80"/>
                <w:sz w:val="22"/>
                <w:szCs w:val="22"/>
              </w:rPr>
              <w:t>Oga</w:t>
            </w:r>
            <w:proofErr w:type="spellEnd"/>
            <w:r w:rsidR="00413358" w:rsidRPr="00EE045B">
              <w:rPr>
                <w:rFonts w:ascii="Calibri" w:hAnsi="Calibri" w:cs="Calibri"/>
                <w:color w:val="808080" w:themeColor="background1" w:themeShade="80"/>
                <w:sz w:val="22"/>
                <w:szCs w:val="22"/>
              </w:rPr>
              <w:t>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EE045B" w:rsidP="00D3022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Co-Chair</w:t>
            </w:r>
          </w:p>
        </w:tc>
        <w:tc>
          <w:tcPr>
            <w:tcW w:w="554" w:type="pct"/>
            <w:tcBorders>
              <w:lef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LU</w:t>
            </w:r>
          </w:p>
        </w:tc>
        <w:tc>
          <w:tcPr>
            <w:tcW w:w="33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Bernard</w:t>
            </w:r>
          </w:p>
        </w:tc>
        <w:tc>
          <w:tcPr>
            <w:tcW w:w="666"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Lenelle</w:t>
            </w:r>
          </w:p>
        </w:tc>
        <w:tc>
          <w:tcPr>
            <w:tcW w:w="138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Clearstream</w:t>
            </w:r>
            <w:proofErr w:type="spellEnd"/>
          </w:p>
        </w:tc>
        <w:tc>
          <w:tcPr>
            <w:tcW w:w="760" w:type="pct"/>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MDPUG</w:t>
            </w:r>
          </w:p>
        </w:tc>
        <w:tc>
          <w:tcPr>
            <w:tcW w:w="333"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Peter</w:t>
            </w:r>
          </w:p>
        </w:tc>
        <w:tc>
          <w:tcPr>
            <w:tcW w:w="666"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Hinds</w:t>
            </w:r>
          </w:p>
        </w:tc>
        <w:tc>
          <w:tcPr>
            <w:tcW w:w="1383"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MDPUG / Interactive Data</w:t>
            </w:r>
          </w:p>
        </w:tc>
        <w:tc>
          <w:tcPr>
            <w:tcW w:w="760" w:type="pct"/>
            <w:shd w:val="clear" w:color="auto" w:fill="92D050"/>
          </w:tcPr>
          <w:p w:rsidR="00761329" w:rsidRPr="00EE045B" w:rsidRDefault="00EE045B"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7E1B7E">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MDPUG</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Laura</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Fuller</w:t>
            </w:r>
          </w:p>
        </w:tc>
        <w:tc>
          <w:tcPr>
            <w:tcW w:w="1383"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Telekurs</w:t>
            </w:r>
            <w:proofErr w:type="spellEnd"/>
          </w:p>
        </w:tc>
        <w:tc>
          <w:tcPr>
            <w:tcW w:w="760" w:type="pct"/>
            <w:shd w:val="clear" w:color="auto" w:fill="auto"/>
          </w:tcPr>
          <w:p w:rsidR="00761329" w:rsidRPr="00EE045B" w:rsidRDefault="00EE045B" w:rsidP="00D3022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color w:val="808080" w:themeColor="background1" w:themeShade="80"/>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center"/>
          </w:tcPr>
          <w:p w:rsidR="00761329" w:rsidRPr="00EE045B" w:rsidRDefault="00761329"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NO</w:t>
            </w:r>
          </w:p>
        </w:tc>
        <w:tc>
          <w:tcPr>
            <w:tcW w:w="333" w:type="pct"/>
            <w:shd w:val="clear" w:color="auto" w:fill="auto"/>
            <w:vAlign w:val="center"/>
          </w:tcPr>
          <w:p w:rsidR="00761329" w:rsidRPr="00EE045B" w:rsidRDefault="00761329"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center"/>
          </w:tcPr>
          <w:p w:rsidR="00761329" w:rsidRPr="00EE045B" w:rsidRDefault="00761329" w:rsidP="00420881">
            <w:pPr>
              <w:spacing w:before="100" w:beforeAutospacing="1" w:after="100" w:afterAutospacing="1"/>
              <w:rPr>
                <w:color w:val="808080" w:themeColor="background1" w:themeShade="80"/>
              </w:rPr>
            </w:pPr>
            <w:r w:rsidRPr="00EE045B">
              <w:rPr>
                <w:color w:val="808080" w:themeColor="background1" w:themeShade="80"/>
              </w:rPr>
              <w:t>Hans Marti</w:t>
            </w:r>
            <w:r w:rsidR="004E063D" w:rsidRPr="00EE045B">
              <w:rPr>
                <w:color w:val="808080" w:themeColor="background1" w:themeShade="80"/>
              </w:rPr>
              <w:t>n</w:t>
            </w:r>
          </w:p>
        </w:tc>
        <w:tc>
          <w:tcPr>
            <w:tcW w:w="666" w:type="pct"/>
            <w:shd w:val="clear" w:color="auto" w:fill="auto"/>
            <w:vAlign w:val="center"/>
          </w:tcPr>
          <w:p w:rsidR="00761329" w:rsidRPr="00EE045B" w:rsidRDefault="00761329" w:rsidP="00420881">
            <w:pPr>
              <w:spacing w:before="100" w:beforeAutospacing="1" w:after="100" w:afterAutospacing="1"/>
              <w:rPr>
                <w:color w:val="808080" w:themeColor="background1" w:themeShade="80"/>
              </w:rPr>
            </w:pPr>
            <w:proofErr w:type="spellStart"/>
            <w:r w:rsidRPr="00EE045B">
              <w:rPr>
                <w:color w:val="808080" w:themeColor="background1" w:themeShade="80"/>
              </w:rPr>
              <w:t>Aulie</w:t>
            </w:r>
            <w:proofErr w:type="spellEnd"/>
          </w:p>
        </w:tc>
        <w:tc>
          <w:tcPr>
            <w:tcW w:w="1383" w:type="pct"/>
            <w:shd w:val="clear" w:color="auto" w:fill="auto"/>
            <w:vAlign w:val="center"/>
          </w:tcPr>
          <w:p w:rsidR="00761329" w:rsidRPr="00EE045B" w:rsidRDefault="00761329" w:rsidP="00420881">
            <w:pPr>
              <w:spacing w:before="100" w:beforeAutospacing="1" w:after="100" w:afterAutospacing="1"/>
              <w:rPr>
                <w:color w:val="808080" w:themeColor="background1" w:themeShade="80"/>
              </w:rPr>
            </w:pPr>
            <w:r w:rsidRPr="00EE045B">
              <w:rPr>
                <w:color w:val="808080" w:themeColor="background1" w:themeShade="80"/>
              </w:rPr>
              <w:t>DNB Bank</w:t>
            </w:r>
          </w:p>
        </w:tc>
        <w:tc>
          <w:tcPr>
            <w:tcW w:w="760" w:type="pct"/>
            <w:shd w:val="clear" w:color="auto" w:fill="auto"/>
            <w:vAlign w:val="center"/>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NO</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Mr. </w:t>
            </w:r>
          </w:p>
        </w:tc>
        <w:tc>
          <w:tcPr>
            <w:tcW w:w="715"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Alexander</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Wathne</w:t>
            </w:r>
            <w:proofErr w:type="spellEnd"/>
          </w:p>
        </w:tc>
        <w:tc>
          <w:tcPr>
            <w:tcW w:w="1383"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Nordea</w:t>
            </w:r>
            <w:proofErr w:type="spellEnd"/>
          </w:p>
        </w:tc>
        <w:tc>
          <w:tcPr>
            <w:tcW w:w="760" w:type="pct"/>
            <w:shd w:val="clear" w:color="auto" w:fill="auto"/>
          </w:tcPr>
          <w:p w:rsidR="00761329" w:rsidRPr="00EE045B" w:rsidRDefault="00761329" w:rsidP="00761329">
            <w:pPr>
              <w:spacing w:before="100" w:beforeAutospacing="1" w:after="100" w:afterAutospacing="1"/>
              <w:jc w:val="center"/>
              <w:rPr>
                <w:color w:val="808080" w:themeColor="background1" w:themeShade="80"/>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RU</w:t>
            </w:r>
          </w:p>
        </w:tc>
        <w:tc>
          <w:tcPr>
            <w:tcW w:w="33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Mrs</w:t>
            </w:r>
            <w:proofErr w:type="spellEnd"/>
          </w:p>
        </w:tc>
        <w:tc>
          <w:tcPr>
            <w:tcW w:w="715"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Elena</w:t>
            </w:r>
          </w:p>
        </w:tc>
        <w:tc>
          <w:tcPr>
            <w:tcW w:w="666"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Solovyeva</w:t>
            </w:r>
            <w:proofErr w:type="spellEnd"/>
          </w:p>
        </w:tc>
        <w:tc>
          <w:tcPr>
            <w:tcW w:w="138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NSD</w:t>
            </w:r>
          </w:p>
        </w:tc>
        <w:tc>
          <w:tcPr>
            <w:tcW w:w="760" w:type="pct"/>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RU </w:t>
            </w:r>
          </w:p>
        </w:tc>
        <w:tc>
          <w:tcPr>
            <w:tcW w:w="333" w:type="pct"/>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Mrs</w:t>
            </w:r>
            <w:proofErr w:type="spellEnd"/>
          </w:p>
        </w:tc>
        <w:tc>
          <w:tcPr>
            <w:tcW w:w="715" w:type="pct"/>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Sofia</w:t>
            </w:r>
          </w:p>
        </w:tc>
        <w:tc>
          <w:tcPr>
            <w:tcW w:w="666" w:type="pct"/>
            <w:shd w:val="clear" w:color="auto" w:fill="auto"/>
            <w:vAlign w:val="bottom"/>
          </w:tcPr>
          <w:p w:rsidR="00FD4E80" w:rsidRPr="00EE045B" w:rsidRDefault="00D95A95" w:rsidP="00550DB3">
            <w:pPr>
              <w:spacing w:before="100" w:beforeAutospacing="1" w:after="100" w:afterAutospacing="1"/>
              <w:rPr>
                <w:rFonts w:asciiTheme="minorHAnsi" w:hAnsiTheme="minorHAnsi" w:cstheme="minorHAnsi"/>
                <w:color w:val="808080" w:themeColor="background1" w:themeShade="80"/>
                <w:sz w:val="22"/>
                <w:szCs w:val="22"/>
              </w:rPr>
            </w:pPr>
            <w:proofErr w:type="spellStart"/>
            <w:r w:rsidRPr="00EE045B">
              <w:rPr>
                <w:rFonts w:asciiTheme="minorHAnsi" w:hAnsiTheme="minorHAnsi" w:cstheme="minorHAnsi"/>
                <w:snapToGrid w:val="0"/>
                <w:color w:val="808080" w:themeColor="background1" w:themeShade="80"/>
                <w:sz w:val="22"/>
                <w:lang w:val="en-GB"/>
              </w:rPr>
              <w:t>Prokofeva</w:t>
            </w:r>
            <w:proofErr w:type="spellEnd"/>
          </w:p>
        </w:tc>
        <w:tc>
          <w:tcPr>
            <w:tcW w:w="1383" w:type="pct"/>
            <w:shd w:val="clear" w:color="auto" w:fill="auto"/>
            <w:vAlign w:val="bottom"/>
          </w:tcPr>
          <w:p w:rsidR="00FD4E80" w:rsidRPr="00EE045B" w:rsidRDefault="00D95A95"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Rosbank</w:t>
            </w:r>
            <w:proofErr w:type="spellEnd"/>
          </w:p>
        </w:tc>
        <w:tc>
          <w:tcPr>
            <w:tcW w:w="760" w:type="pct"/>
            <w:shd w:val="clear" w:color="auto" w:fill="auto"/>
          </w:tcPr>
          <w:p w:rsidR="00FD4E80" w:rsidRPr="00EE045B" w:rsidRDefault="00FD4E80" w:rsidP="00D30222">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Co-Chair</w:t>
            </w: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SE</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Christine</w:t>
            </w:r>
          </w:p>
        </w:tc>
        <w:tc>
          <w:tcPr>
            <w:tcW w:w="666"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Strandberg</w:t>
            </w:r>
            <w:proofErr w:type="spellEnd"/>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SEB</w:t>
            </w:r>
          </w:p>
        </w:tc>
        <w:tc>
          <w:tcPr>
            <w:tcW w:w="760" w:type="pct"/>
            <w:shd w:val="clear" w:color="auto" w:fill="auto"/>
          </w:tcPr>
          <w:p w:rsidR="00761329" w:rsidRPr="00EE045B" w:rsidRDefault="00EE045B" w:rsidP="002D481C">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w:t>
            </w:r>
          </w:p>
        </w:tc>
        <w:tc>
          <w:tcPr>
            <w:tcW w:w="333"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Jyi-Chen</w:t>
            </w:r>
          </w:p>
        </w:tc>
        <w:tc>
          <w:tcPr>
            <w:tcW w:w="666"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Chueh</w:t>
            </w:r>
          </w:p>
        </w:tc>
        <w:tc>
          <w:tcPr>
            <w:tcW w:w="1383"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SC</w:t>
            </w:r>
          </w:p>
        </w:tc>
        <w:tc>
          <w:tcPr>
            <w:tcW w:w="760" w:type="pct"/>
            <w:shd w:val="clear" w:color="auto" w:fill="auto"/>
          </w:tcPr>
          <w:p w:rsidR="004E063D" w:rsidRPr="00EE045B" w:rsidRDefault="004E063D" w:rsidP="004E063D">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UK &amp; IE</w:t>
            </w:r>
          </w:p>
        </w:tc>
        <w:tc>
          <w:tcPr>
            <w:tcW w:w="33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Mrs.</w:t>
            </w:r>
          </w:p>
        </w:tc>
        <w:tc>
          <w:tcPr>
            <w:tcW w:w="715"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Mariangela</w:t>
            </w:r>
            <w:proofErr w:type="spellEnd"/>
          </w:p>
        </w:tc>
        <w:tc>
          <w:tcPr>
            <w:tcW w:w="666"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Fumagalli</w:t>
            </w:r>
            <w:proofErr w:type="spellEnd"/>
          </w:p>
        </w:tc>
        <w:tc>
          <w:tcPr>
            <w:tcW w:w="138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BNP Paribas</w:t>
            </w:r>
          </w:p>
        </w:tc>
        <w:tc>
          <w:tcPr>
            <w:tcW w:w="760" w:type="pct"/>
            <w:shd w:val="clear" w:color="auto" w:fill="92D050"/>
          </w:tcPr>
          <w:p w:rsidR="004E063D" w:rsidRPr="00EE045B" w:rsidRDefault="00EE045B" w:rsidP="00EE045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4E063D" w:rsidRPr="00EE045B" w:rsidRDefault="004E063D" w:rsidP="00D30222">
            <w:pPr>
              <w:spacing w:before="100" w:beforeAutospacing="1" w:after="100" w:afterAutospacing="1"/>
              <w:rPr>
                <w:rFonts w:ascii="Calibri" w:hAnsi="Calibri" w:cs="Calibri"/>
                <w:sz w:val="22"/>
                <w:szCs w:val="22"/>
              </w:rPr>
            </w:pPr>
            <w:r w:rsidRPr="00EE045B">
              <w:rPr>
                <w:rFonts w:ascii="Calibri" w:hAnsi="Calibri" w:cs="Calibri"/>
                <w:sz w:val="22"/>
                <w:szCs w:val="22"/>
              </w:rPr>
              <w:t>UK &amp; IE</w:t>
            </w:r>
          </w:p>
        </w:tc>
        <w:tc>
          <w:tcPr>
            <w:tcW w:w="333" w:type="pct"/>
            <w:shd w:val="clear" w:color="auto" w:fill="92D050"/>
            <w:vAlign w:val="bottom"/>
          </w:tcPr>
          <w:p w:rsidR="004E063D" w:rsidRPr="00EE045B" w:rsidRDefault="004E063D" w:rsidP="009220AE">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Matthew</w:t>
            </w:r>
          </w:p>
        </w:tc>
        <w:tc>
          <w:tcPr>
            <w:tcW w:w="666"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Middleton</w:t>
            </w:r>
          </w:p>
        </w:tc>
        <w:tc>
          <w:tcPr>
            <w:tcW w:w="138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LSE</w:t>
            </w:r>
          </w:p>
        </w:tc>
        <w:tc>
          <w:tcPr>
            <w:tcW w:w="760" w:type="pct"/>
            <w:shd w:val="clear" w:color="auto" w:fill="92D050"/>
          </w:tcPr>
          <w:p w:rsidR="004E063D"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US ISITC</w:t>
            </w:r>
          </w:p>
        </w:tc>
        <w:tc>
          <w:tcPr>
            <w:tcW w:w="333" w:type="pct"/>
            <w:shd w:val="clear" w:color="auto" w:fill="auto"/>
            <w:vAlign w:val="bottom"/>
          </w:tcPr>
          <w:p w:rsidR="004E063D" w:rsidRPr="00EE045B" w:rsidRDefault="004E063D" w:rsidP="009220AE">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Sonda</w:t>
            </w:r>
            <w:proofErr w:type="spellEnd"/>
          </w:p>
        </w:tc>
        <w:tc>
          <w:tcPr>
            <w:tcW w:w="666"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Pimental</w:t>
            </w:r>
            <w:proofErr w:type="spellEnd"/>
          </w:p>
        </w:tc>
        <w:tc>
          <w:tcPr>
            <w:tcW w:w="1383"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BBH</w:t>
            </w:r>
          </w:p>
        </w:tc>
        <w:tc>
          <w:tcPr>
            <w:tcW w:w="760" w:type="pct"/>
            <w:shd w:val="clear" w:color="auto" w:fill="auto"/>
          </w:tcPr>
          <w:p w:rsidR="004E063D" w:rsidRPr="00EE045B" w:rsidRDefault="004E063D"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4E063D" w:rsidRPr="00EE045B" w:rsidRDefault="004E063D"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EE045B" w:rsidRDefault="004E063D" w:rsidP="00276F9D">
            <w:pPr>
              <w:spacing w:before="100" w:beforeAutospacing="1" w:after="100" w:afterAutospacing="1"/>
              <w:rPr>
                <w:rFonts w:ascii="Calibri" w:hAnsi="Calibri" w:cs="Calibri"/>
                <w:sz w:val="22"/>
                <w:szCs w:val="22"/>
              </w:rPr>
            </w:pPr>
            <w:r w:rsidRPr="00EE045B">
              <w:rPr>
                <w:rFonts w:ascii="Calibri" w:hAnsi="Calibri" w:cs="Calibri"/>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EE045B" w:rsidRDefault="004E063D" w:rsidP="00276F9D">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Ms</w:t>
            </w:r>
            <w:proofErr w:type="spellEnd"/>
            <w:r w:rsidRPr="00EE045B">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EE045B" w:rsidRDefault="004E063D" w:rsidP="00276F9D">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Haillez</w:t>
            </w:r>
            <w:proofErr w:type="spellEnd"/>
            <w:r w:rsidRPr="00EE045B">
              <w:rPr>
                <w:rFonts w:ascii="Calibri" w:hAnsi="Calibri" w:cs="Calibri"/>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EE045B" w:rsidRDefault="004E063D" w:rsidP="00276F9D">
            <w:pPr>
              <w:spacing w:before="100" w:beforeAutospacing="1" w:after="100" w:afterAutospacing="1"/>
              <w:rPr>
                <w:rFonts w:ascii="Calibri" w:hAnsi="Calibri" w:cs="Calibri"/>
                <w:sz w:val="22"/>
                <w:szCs w:val="22"/>
              </w:rPr>
            </w:pPr>
            <w:r w:rsidRPr="00EE045B">
              <w:rPr>
                <w:rFonts w:ascii="Calibri" w:hAnsi="Calibri" w:cs="Calibri"/>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4E063D" w:rsidRPr="00EE045B" w:rsidRDefault="004E063D" w:rsidP="00276F9D">
            <w:pPr>
              <w:spacing w:before="100" w:beforeAutospacing="1" w:after="100" w:afterAutospacing="1"/>
              <w:rPr>
                <w:rFonts w:ascii="Calibri" w:hAnsi="Calibri" w:cs="Calibri"/>
                <w:sz w:val="22"/>
                <w:szCs w:val="22"/>
              </w:rPr>
            </w:pPr>
            <w:r w:rsidRPr="00EE045B">
              <w:rPr>
                <w:rFonts w:ascii="Calibri" w:hAnsi="Calibri" w:cs="Calibri"/>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4E063D" w:rsidRPr="00EE045B" w:rsidRDefault="00EE045B" w:rsidP="007E039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ZA</w:t>
            </w:r>
          </w:p>
        </w:tc>
        <w:tc>
          <w:tcPr>
            <w:tcW w:w="333" w:type="pct"/>
            <w:shd w:val="clear" w:color="auto" w:fill="92D050"/>
            <w:vAlign w:val="bottom"/>
          </w:tcPr>
          <w:p w:rsidR="004E063D" w:rsidRPr="00EE045B" w:rsidRDefault="004E063D" w:rsidP="009220AE">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Sanjeev</w:t>
            </w:r>
            <w:proofErr w:type="spellEnd"/>
          </w:p>
        </w:tc>
        <w:tc>
          <w:tcPr>
            <w:tcW w:w="666"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Jayram</w:t>
            </w:r>
            <w:proofErr w:type="spellEnd"/>
          </w:p>
        </w:tc>
        <w:tc>
          <w:tcPr>
            <w:tcW w:w="138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First National Bank</w:t>
            </w:r>
          </w:p>
        </w:tc>
        <w:tc>
          <w:tcPr>
            <w:tcW w:w="760" w:type="pct"/>
            <w:shd w:val="clear" w:color="auto" w:fill="92D050"/>
          </w:tcPr>
          <w:p w:rsidR="004E063D"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138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4E063D"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1"/>
      <w:bookmarkEnd w:id="2"/>
    </w:tbl>
    <w:p w:rsidR="00550DB3" w:rsidRDefault="00550DB3" w:rsidP="003D56C9">
      <w:pPr>
        <w:rPr>
          <w:b/>
          <w:u w:val="single"/>
        </w:rPr>
      </w:pPr>
    </w:p>
    <w:p w:rsidR="00C7053E" w:rsidRDefault="00C7053E" w:rsidP="00C7053E">
      <w:pPr>
        <w:pStyle w:val="Heading1"/>
      </w:pPr>
      <w:bookmarkStart w:id="3" w:name="OLE_LINK5"/>
      <w:bookmarkStart w:id="4" w:name="OLE_LINK8"/>
      <w:bookmarkStart w:id="5" w:name="_Toc379812136"/>
      <w:r>
        <w:t xml:space="preserve">Comments on December 12 conf </w:t>
      </w:r>
      <w:proofErr w:type="gramStart"/>
      <w:r>
        <w:t>call  minutes</w:t>
      </w:r>
      <w:bookmarkEnd w:id="5"/>
      <w:proofErr w:type="gramEnd"/>
      <w:r>
        <w:t xml:space="preserve"> </w:t>
      </w:r>
    </w:p>
    <w:p w:rsidR="00D8106C" w:rsidRPr="00D8106C" w:rsidRDefault="00561C81" w:rsidP="00D8106C">
      <w:r>
        <w:t>No comments received; minutes are approved.</w:t>
      </w:r>
    </w:p>
    <w:p w:rsidR="00C7053E" w:rsidRDefault="00D8106C" w:rsidP="00C7053E">
      <w:pPr>
        <w:pStyle w:val="Heading1"/>
      </w:pPr>
      <w:bookmarkStart w:id="6" w:name="_Toc379812137"/>
      <w:r>
        <w:t xml:space="preserve">CA203 - </w:t>
      </w:r>
      <w:r w:rsidR="00C7053E">
        <w:t>SR2014 MPs Maintenance &amp; Event T</w:t>
      </w:r>
      <w:r w:rsidR="00561C81">
        <w:t>emplates and summary of changes</w:t>
      </w:r>
      <w:r w:rsidR="00A15CC8">
        <w:t xml:space="preserve"> (Jacques)</w:t>
      </w:r>
      <w:bookmarkEnd w:id="6"/>
    </w:p>
    <w:p w:rsidR="00561C81" w:rsidRPr="00561C81" w:rsidRDefault="00561C81" w:rsidP="00561C81">
      <w:r>
        <w:t>Review of action items</w:t>
      </w:r>
      <w:proofErr w:type="gramStart"/>
      <w:r w:rsidR="00266D71">
        <w:t xml:space="preserve">/ </w:t>
      </w:r>
      <w:r>
        <w:t xml:space="preserve"> status</w:t>
      </w:r>
      <w:proofErr w:type="gramEnd"/>
      <w:r>
        <w:t>:</w:t>
      </w:r>
    </w:p>
    <w:p w:rsidR="00561C81" w:rsidRDefault="00561C81" w:rsidP="00753AD7">
      <w:pPr>
        <w:pStyle w:val="ListParagraph"/>
        <w:numPr>
          <w:ilvl w:val="0"/>
          <w:numId w:val="43"/>
        </w:numPr>
      </w:pPr>
      <w:r>
        <w:t>All NMPG’s to review their assigned event templates (see the “Open Item” file attached here below in “CA Event Templates List” tab) and send the updated event templates with track changes to Jacques before December 18.</w:t>
      </w:r>
    </w:p>
    <w:p w:rsidR="00753AD7" w:rsidRDefault="00292B53" w:rsidP="00753AD7">
      <w:pPr>
        <w:pStyle w:val="ListParagraph"/>
        <w:numPr>
          <w:ilvl w:val="0"/>
          <w:numId w:val="44"/>
        </w:numPr>
      </w:pPr>
      <w:r>
        <w:t>No feedback received from US, NL, DE and BE.</w:t>
      </w:r>
    </w:p>
    <w:p w:rsidR="00E31A16" w:rsidRDefault="00E31A16" w:rsidP="00753AD7">
      <w:pPr>
        <w:pStyle w:val="ListParagraph"/>
        <w:numPr>
          <w:ilvl w:val="0"/>
          <w:numId w:val="44"/>
        </w:numPr>
      </w:pPr>
      <w:r>
        <w:lastRenderedPageBreak/>
        <w:t xml:space="preserve">Peter has sent a question to Sonda regarding the DTCH US sample </w:t>
      </w:r>
      <w:r w:rsidR="008C1F40">
        <w:t>and the presence of the MQSO quantity since in the MDPUG system rules, MQSO should be present when QTSO is present.</w:t>
      </w:r>
    </w:p>
    <w:p w:rsidR="00292B53" w:rsidRDefault="00292B53" w:rsidP="00292B53">
      <w:pPr>
        <w:pStyle w:val="Actions"/>
      </w:pPr>
      <w:r w:rsidRPr="00292B53">
        <w:rPr>
          <w:u w:val="single"/>
        </w:rPr>
        <w:t>Actions Items</w:t>
      </w:r>
      <w:r>
        <w:t>:</w:t>
      </w:r>
    </w:p>
    <w:p w:rsidR="00292B53" w:rsidRDefault="00292B53" w:rsidP="00292B53">
      <w:pPr>
        <w:pStyle w:val="Actions"/>
        <w:numPr>
          <w:ilvl w:val="0"/>
          <w:numId w:val="46"/>
        </w:numPr>
      </w:pPr>
      <w:r w:rsidRPr="00AC09FC">
        <w:rPr>
          <w:u w:val="single"/>
        </w:rPr>
        <w:t>Jacques</w:t>
      </w:r>
      <w:r>
        <w:t xml:space="preserve"> to send reminder for missing sample feedback</w:t>
      </w:r>
    </w:p>
    <w:p w:rsidR="008C1F40" w:rsidRDefault="00292B53" w:rsidP="00292B53">
      <w:pPr>
        <w:pStyle w:val="Actions"/>
        <w:numPr>
          <w:ilvl w:val="0"/>
          <w:numId w:val="46"/>
        </w:numPr>
      </w:pPr>
      <w:r w:rsidRPr="00AC09FC">
        <w:rPr>
          <w:u w:val="single"/>
        </w:rPr>
        <w:t>US, NL, DE and BE</w:t>
      </w:r>
      <w:r>
        <w:t xml:space="preserve"> to provides their input for </w:t>
      </w:r>
      <w:r w:rsidRPr="00292B53">
        <w:rPr>
          <w:u w:val="single"/>
        </w:rPr>
        <w:t>Monday Feb. 3 at the latest</w:t>
      </w:r>
      <w:r>
        <w:t>.</w:t>
      </w:r>
      <w:r w:rsidR="008C1F40">
        <w:t xml:space="preserve"> </w:t>
      </w:r>
    </w:p>
    <w:p w:rsidR="00292B53" w:rsidRDefault="008C1F40" w:rsidP="00292B53">
      <w:pPr>
        <w:pStyle w:val="Actions"/>
        <w:numPr>
          <w:ilvl w:val="0"/>
          <w:numId w:val="46"/>
        </w:numPr>
      </w:pPr>
      <w:r w:rsidRPr="00AC09FC">
        <w:rPr>
          <w:u w:val="single"/>
        </w:rPr>
        <w:t>Sonda</w:t>
      </w:r>
      <w:r>
        <w:t xml:space="preserve"> to look at the MDPUG question on MQSO on the DUTCH VOLU. </w:t>
      </w:r>
    </w:p>
    <w:p w:rsidR="00292B53" w:rsidRPr="008C1F40" w:rsidRDefault="00292B53" w:rsidP="00292B53">
      <w:pPr>
        <w:rPr>
          <w:lang w:val="en-GB"/>
        </w:rPr>
      </w:pPr>
    </w:p>
    <w:p w:rsidR="00561C81" w:rsidRDefault="008B3630" w:rsidP="008B3630">
      <w:r>
        <w:t xml:space="preserve">3. </w:t>
      </w:r>
      <w:r w:rsidR="00561C81">
        <w:t>Jacques to add a placeholder for ACCU in Even Template doc and move CAPI MAND to an XS folder.</w:t>
      </w:r>
      <w:r w:rsidR="00E31A16">
        <w:t xml:space="preserve"> -&gt; Done</w:t>
      </w:r>
    </w:p>
    <w:p w:rsidR="00561C81" w:rsidRDefault="00561C81" w:rsidP="00561C81">
      <w:r>
        <w:t>4. Jacques to update the EIG accordingly with “n/a” in GG for ATTI and DETI.</w:t>
      </w:r>
      <w:r w:rsidR="00E31A16">
        <w:t xml:space="preserve"> -&gt; Done</w:t>
      </w:r>
    </w:p>
    <w:p w:rsidR="00561C81" w:rsidRDefault="00561C81" w:rsidP="00561C81">
      <w:r>
        <w:t>5. Jacques to update the EIG accordingly with “n/a” in GG for SMAL.</w:t>
      </w:r>
      <w:r w:rsidR="00E31A16">
        <w:t xml:space="preserve"> -&gt; Done</w:t>
      </w:r>
    </w:p>
    <w:p w:rsidR="00561C81" w:rsidRDefault="00561C81" w:rsidP="00561C81">
      <w:r>
        <w:t>6. Jacques to update the EIG accordingly with “n/a” in GG for INFO MAND</w:t>
      </w:r>
      <w:r w:rsidR="00E31A16">
        <w:t xml:space="preserve"> -&gt; Done</w:t>
      </w:r>
    </w:p>
    <w:p w:rsidR="00101E0D" w:rsidRDefault="00561C81" w:rsidP="00561C81">
      <w:r>
        <w:t xml:space="preserve">7. All NMPGs to provide input to the revision of the EIG </w:t>
      </w:r>
      <w:r w:rsidR="00C50E04">
        <w:t xml:space="preserve">GG, </w:t>
      </w:r>
      <w:r>
        <w:t>CC, GMP1, GMP3 and final review of the Event samples document by January 17.</w:t>
      </w:r>
      <w:r w:rsidR="00E31A16">
        <w:t xml:space="preserve"> </w:t>
      </w:r>
    </w:p>
    <w:p w:rsidR="003B0C63" w:rsidRDefault="003B0C63" w:rsidP="00101E0D">
      <w:pPr>
        <w:pStyle w:val="ListParagraph"/>
        <w:numPr>
          <w:ilvl w:val="0"/>
          <w:numId w:val="47"/>
        </w:numPr>
      </w:pPr>
      <w:r>
        <w:t>Part 2 EIG CC inputs provided by XS, FI, NO, ZA, SE, KR, CH and JP.</w:t>
      </w:r>
    </w:p>
    <w:p w:rsidR="00C50E04" w:rsidRDefault="00C50E04" w:rsidP="00C50E04">
      <w:pPr>
        <w:pStyle w:val="ListParagraph"/>
        <w:numPr>
          <w:ilvl w:val="0"/>
          <w:numId w:val="47"/>
        </w:numPr>
      </w:pPr>
      <w:r>
        <w:t xml:space="preserve">CH proposes to add a new SHPR CHOS line into the GG for covering the choice of currency. </w:t>
      </w:r>
    </w:p>
    <w:p w:rsidR="00C50E04" w:rsidRDefault="00C50E04" w:rsidP="00C50E04">
      <w:pPr>
        <w:pStyle w:val="Decisions"/>
        <w:ind w:firstLine="420"/>
      </w:pPr>
      <w:r>
        <w:t>Decision: Approved by the group.</w:t>
      </w:r>
    </w:p>
    <w:p w:rsidR="003B0C63" w:rsidRDefault="003B0C63" w:rsidP="00101E0D">
      <w:pPr>
        <w:pStyle w:val="ListParagraph"/>
        <w:numPr>
          <w:ilvl w:val="0"/>
          <w:numId w:val="47"/>
        </w:numPr>
      </w:pPr>
      <w:r>
        <w:t>Part 1 &amp; 3: no comments received.</w:t>
      </w:r>
    </w:p>
    <w:p w:rsidR="00561C81" w:rsidRDefault="003B0C63" w:rsidP="008C4EB9">
      <w:pPr>
        <w:pStyle w:val="Actions"/>
      </w:pPr>
      <w:r>
        <w:t xml:space="preserve"> </w:t>
      </w:r>
      <w:r w:rsidR="008C4EB9" w:rsidRPr="008C4EB9">
        <w:rPr>
          <w:u w:val="single"/>
        </w:rPr>
        <w:t>Action Item</w:t>
      </w:r>
      <w:r w:rsidR="00AC09FC">
        <w:t>: Monday Feb.</w:t>
      </w:r>
      <w:r w:rsidR="008C4EB9">
        <w:t>3, latest deadline for NMPGs to send feedback / inputs on the documents.</w:t>
      </w:r>
    </w:p>
    <w:p w:rsidR="008C4EB9" w:rsidRDefault="008C4EB9" w:rsidP="008C4EB9">
      <w:pPr>
        <w:pStyle w:val="Actions"/>
      </w:pPr>
    </w:p>
    <w:p w:rsidR="00561C81" w:rsidRDefault="00561C81" w:rsidP="00561C81">
      <w:r>
        <w:t>8. Jacques to publish the SR2014 draft template document before end of the year.</w:t>
      </w:r>
      <w:r w:rsidR="003B0C63">
        <w:t xml:space="preserve"> -&gt; Done by 24 Dec.</w:t>
      </w:r>
    </w:p>
    <w:p w:rsidR="00561C81" w:rsidRDefault="00561C81" w:rsidP="00561C81">
      <w:r>
        <w:t>9. Sonda to write a proposed text for GMP Part 1 explaining the use of INFO VOLU vs. INFO MAND.</w:t>
      </w:r>
    </w:p>
    <w:p w:rsidR="003B0C63" w:rsidRDefault="003B0C63" w:rsidP="003B0C63">
      <w:pPr>
        <w:pStyle w:val="ListParagraph"/>
        <w:numPr>
          <w:ilvl w:val="0"/>
          <w:numId w:val="48"/>
        </w:numPr>
      </w:pPr>
      <w:r>
        <w:t>No input so far.</w:t>
      </w:r>
    </w:p>
    <w:p w:rsidR="003B0C63" w:rsidRDefault="003B0C63" w:rsidP="003B0C63"/>
    <w:p w:rsidR="00D8106C" w:rsidRDefault="00561C81" w:rsidP="00561C81">
      <w:r>
        <w:t>10. Bernard to provide the rational for the change of last year on EXWA MAND for European warrant.</w:t>
      </w:r>
    </w:p>
    <w:p w:rsidR="00FE4C19" w:rsidRDefault="00FE4C19" w:rsidP="00561C81">
      <w:r>
        <w:t>Bernard needs to investigate internally.</w:t>
      </w:r>
    </w:p>
    <w:p w:rsidR="003B0C63" w:rsidRPr="00D8106C" w:rsidRDefault="00FE4C19" w:rsidP="00FE4C19">
      <w:pPr>
        <w:pStyle w:val="Actions"/>
      </w:pPr>
      <w:r w:rsidRPr="00193DD6">
        <w:rPr>
          <w:u w:val="single"/>
        </w:rPr>
        <w:t>Action item</w:t>
      </w:r>
      <w:r>
        <w:t xml:space="preserve">: </w:t>
      </w:r>
      <w:r w:rsidRPr="00FE4C19">
        <w:rPr>
          <w:u w:val="single"/>
        </w:rPr>
        <w:t>Bernard</w:t>
      </w:r>
      <w:r>
        <w:t xml:space="preserve"> to provide the rationale for the changes requested last year by </w:t>
      </w:r>
      <w:r w:rsidR="007374E4">
        <w:t>C</w:t>
      </w:r>
      <w:r>
        <w:t xml:space="preserve">learstream on the EXWA entries in the EIG+ </w:t>
      </w:r>
      <w:r w:rsidR="007374E4">
        <w:t xml:space="preserve">(mainly the </w:t>
      </w:r>
      <w:r>
        <w:t>European style warrant</w:t>
      </w:r>
      <w:r w:rsidR="00193DD6">
        <w:t xml:space="preserve"> – EXWA MAND).</w:t>
      </w:r>
      <w:r>
        <w:t xml:space="preserve"> </w:t>
      </w:r>
    </w:p>
    <w:p w:rsidR="00C7053E" w:rsidRDefault="00D8106C" w:rsidP="00C7053E">
      <w:pPr>
        <w:pStyle w:val="Heading1"/>
      </w:pPr>
      <w:bookmarkStart w:id="7" w:name="_Toc379812138"/>
      <w:r>
        <w:t xml:space="preserve">CA226 - </w:t>
      </w:r>
      <w:r w:rsidR="00C7053E">
        <w:t>Disclosure (DSCL) event (Bernard)</w:t>
      </w:r>
      <w:bookmarkEnd w:id="7"/>
    </w:p>
    <w:p w:rsidR="00266D71" w:rsidRPr="00561C81" w:rsidRDefault="00266D71" w:rsidP="00266D71">
      <w:r>
        <w:t>Review of action items / status:</w:t>
      </w:r>
    </w:p>
    <w:p w:rsidR="00266D71" w:rsidRDefault="00266D71" w:rsidP="00266D71">
      <w:r>
        <w:t xml:space="preserve">1. Véronique to propose </w:t>
      </w:r>
      <w:proofErr w:type="gramStart"/>
      <w:r>
        <w:t>a writing</w:t>
      </w:r>
      <w:proofErr w:type="gramEnd"/>
      <w:r>
        <w:t xml:space="preserve"> for the MP about DCSL based on the statement agreed in Johannesburg.</w:t>
      </w:r>
    </w:p>
    <w:p w:rsidR="00266D71" w:rsidRDefault="00266D71" w:rsidP="00266D71">
      <w:r>
        <w:t>Véronique was not present at the call but however sent the following input the day after the meeting:</w:t>
      </w:r>
    </w:p>
    <w:p w:rsidR="00266D71" w:rsidRPr="00266D71" w:rsidRDefault="00266D71" w:rsidP="00D8106C">
      <w:pPr>
        <w:rPr>
          <w:color w:val="00B0F0"/>
          <w:u w:val="single"/>
        </w:rPr>
      </w:pPr>
      <w:r w:rsidRPr="00266D71">
        <w:rPr>
          <w:color w:val="00B0F0"/>
          <w:u w:val="single"/>
        </w:rPr>
        <w:t>Post meeting input from Véronique:</w:t>
      </w:r>
    </w:p>
    <w:p w:rsidR="00266D71" w:rsidRPr="00266D71" w:rsidRDefault="00266D71" w:rsidP="00266D71">
      <w:pPr>
        <w:pStyle w:val="PlainText"/>
        <w:rPr>
          <w:rFonts w:ascii="Arial" w:hAnsi="Arial"/>
          <w:color w:val="00B0F0"/>
        </w:rPr>
      </w:pPr>
      <w:r>
        <w:rPr>
          <w:rFonts w:ascii="Arial" w:hAnsi="Arial"/>
          <w:color w:val="00B0F0"/>
        </w:rPr>
        <w:t>“</w:t>
      </w:r>
      <w:r w:rsidRPr="00266D71">
        <w:rPr>
          <w:rFonts w:ascii="Arial" w:hAnsi="Arial"/>
          <w:color w:val="00B0F0"/>
        </w:rPr>
        <w:t>The usage of disclosure events (DSCL) is limited to ICSD only, for ad hoc request in the XS market.</w:t>
      </w:r>
      <w:r>
        <w:rPr>
          <w:rFonts w:ascii="Arial" w:hAnsi="Arial"/>
          <w:color w:val="00B0F0"/>
        </w:rPr>
        <w:t xml:space="preserve"> </w:t>
      </w:r>
      <w:r w:rsidRPr="00266D71">
        <w:rPr>
          <w:rFonts w:ascii="Arial" w:hAnsi="Arial"/>
          <w:color w:val="00B0F0"/>
        </w:rPr>
        <w:t xml:space="preserve">If a disclosure is required in the context of a corporate action event, then the disclosure request should </w:t>
      </w:r>
      <w:r w:rsidR="00AC09FC">
        <w:rPr>
          <w:rFonts w:ascii="Arial" w:hAnsi="Arial"/>
          <w:color w:val="00B0F0"/>
        </w:rPr>
        <w:t>be announced within that event</w:t>
      </w:r>
      <w:r w:rsidR="003C6487">
        <w:rPr>
          <w:rFonts w:ascii="Arial" w:hAnsi="Arial"/>
          <w:color w:val="00B0F0"/>
        </w:rPr>
        <w:t>.</w:t>
      </w:r>
      <w:r>
        <w:rPr>
          <w:rFonts w:ascii="Arial" w:hAnsi="Arial"/>
          <w:color w:val="00B0F0"/>
        </w:rPr>
        <w:t>”</w:t>
      </w:r>
    </w:p>
    <w:p w:rsidR="00266D71" w:rsidRPr="00266D71" w:rsidRDefault="00266D71" w:rsidP="00266D71">
      <w:pPr>
        <w:pStyle w:val="Actions"/>
      </w:pPr>
      <w:r w:rsidRPr="00266D71">
        <w:rPr>
          <w:u w:val="single"/>
        </w:rPr>
        <w:t>Action Item</w:t>
      </w:r>
      <w:r>
        <w:t xml:space="preserve">: </w:t>
      </w:r>
      <w:r w:rsidRPr="00AC09FC">
        <w:rPr>
          <w:u w:val="single"/>
        </w:rPr>
        <w:t>NMPGs</w:t>
      </w:r>
      <w:r w:rsidRPr="00266D71">
        <w:t xml:space="preserve"> to provide feedback on the proposal</w:t>
      </w:r>
      <w:r w:rsidR="003C6487">
        <w:t xml:space="preserve"> for next call.</w:t>
      </w:r>
    </w:p>
    <w:p w:rsidR="00C7053E" w:rsidRDefault="00D8106C" w:rsidP="00C7053E">
      <w:pPr>
        <w:pStyle w:val="Heading1"/>
      </w:pPr>
      <w:bookmarkStart w:id="8" w:name="_Toc379812139"/>
      <w:r>
        <w:t xml:space="preserve">CA240 - </w:t>
      </w:r>
      <w:r w:rsidR="00C7053E">
        <w:t>Disclosure / Certification for MAND event (Christine)</w:t>
      </w:r>
      <w:bookmarkEnd w:id="8"/>
    </w:p>
    <w:p w:rsidR="00962701" w:rsidRDefault="00962701" w:rsidP="00962701">
      <w:r>
        <w:t>Review of action Items / Status:</w:t>
      </w:r>
    </w:p>
    <w:p w:rsidR="00962701" w:rsidRDefault="006E300C" w:rsidP="00962701">
      <w:r w:rsidRPr="00582C6D">
        <w:rPr>
          <w:u w:val="single"/>
        </w:rPr>
        <w:lastRenderedPageBreak/>
        <w:t xml:space="preserve">Action </w:t>
      </w:r>
      <w:r w:rsidR="00A15CC8" w:rsidRPr="00582C6D">
        <w:rPr>
          <w:u w:val="single"/>
        </w:rPr>
        <w:t>2:</w:t>
      </w:r>
      <w:r w:rsidR="00962701" w:rsidRPr="00962701">
        <w:t xml:space="preserve"> NMPGs to review the text from Christine and provide feedback on the text and if it can be implemented as MP in SR 2014 without the new ADDB indicator (but a narrative) or only when the indicator has been added to the standards in SR2015.</w:t>
      </w:r>
    </w:p>
    <w:p w:rsidR="00962701" w:rsidRDefault="006923D7" w:rsidP="006923D7">
      <w:pPr>
        <w:ind w:left="630" w:right="1026"/>
      </w:pPr>
      <w:r>
        <w:t>As a reminder, t</w:t>
      </w:r>
      <w:r w:rsidR="00962701">
        <w:t>he final proposed text reworded by Christine reads as follows:</w:t>
      </w:r>
    </w:p>
    <w:p w:rsidR="00962701" w:rsidRPr="00856B5F" w:rsidRDefault="00962701" w:rsidP="006923D7">
      <w:pPr>
        <w:ind w:left="630" w:right="1026"/>
        <w:rPr>
          <w:color w:val="0000FF"/>
          <w:lang w:val="en-ZA"/>
        </w:rPr>
      </w:pPr>
      <w:r>
        <w:rPr>
          <w:i/>
          <w:iCs/>
          <w:color w:val="0000FF"/>
        </w:rPr>
        <w:t>“</w:t>
      </w:r>
      <w:r w:rsidRPr="00856B5F">
        <w:rPr>
          <w:i/>
          <w:iCs/>
          <w:color w:val="0000FF"/>
        </w:rPr>
        <w:t>There are certain types of mandatory events (MAND) where some form of action is required by the account owner in order to receive the entitlement/proceeds. Examples include spin-off where the outturn securities cannot be held in the same CSD/account as the underlying securities, and distribution of interim securities/subscription rights where the account owner must certify it is not restricted from participation before the entitlement/proceeds can be distributed. For these events, the SMPG recommends the usage of CAMV code CHOS instead of MAND, with option SECU/CASE/CASH according to the terms of the event and option LAPS, forfeiting the entitled proceeds, as the default. Narrative will most likely always be needed in order to explain the exact information required.</w:t>
      </w:r>
    </w:p>
    <w:p w:rsidR="00962701" w:rsidRPr="00856B5F" w:rsidRDefault="00962701" w:rsidP="006923D7">
      <w:pPr>
        <w:ind w:left="630" w:right="1026"/>
        <w:rPr>
          <w:color w:val="0000FF"/>
          <w:lang w:val="en-ZA"/>
        </w:rPr>
      </w:pPr>
      <w:r w:rsidRPr="00856B5F">
        <w:rPr>
          <w:i/>
          <w:iCs/>
          <w:color w:val="0000FF"/>
        </w:rPr>
        <w:t>The SMPG also recommends the addition of a code (e.g. ADDB or OPTF) to indicate that the event is mandatory but the account owner must perform an action in order to receive the proceeds, and will request this code to be added in SR2015.</w:t>
      </w:r>
      <w:r>
        <w:rPr>
          <w:i/>
          <w:iCs/>
          <w:color w:val="0000FF"/>
        </w:rPr>
        <w:t>”</w:t>
      </w:r>
    </w:p>
    <w:p w:rsidR="00D8106C" w:rsidRDefault="006923D7" w:rsidP="00D8106C">
      <w:pPr>
        <w:rPr>
          <w:lang w:val="en-ZA"/>
        </w:rPr>
      </w:pPr>
      <w:r>
        <w:rPr>
          <w:lang w:val="en-ZA"/>
        </w:rPr>
        <w:t xml:space="preserve">LU, BE and XS agree with the above proposal. The others </w:t>
      </w:r>
      <w:r w:rsidR="00D335F7">
        <w:rPr>
          <w:lang w:val="en-ZA"/>
        </w:rPr>
        <w:t xml:space="preserve">generally </w:t>
      </w:r>
      <w:r>
        <w:rPr>
          <w:lang w:val="en-ZA"/>
        </w:rPr>
        <w:t xml:space="preserve">agree to wait for the SR 2015 to have the new ADB indicator </w:t>
      </w:r>
      <w:r w:rsidR="00582C6D">
        <w:rPr>
          <w:lang w:val="en-ZA"/>
        </w:rPr>
        <w:t>together with a MP.</w:t>
      </w:r>
    </w:p>
    <w:p w:rsidR="00582C6D" w:rsidRDefault="00582C6D" w:rsidP="00582C6D">
      <w:pPr>
        <w:pStyle w:val="Actions"/>
      </w:pPr>
      <w:r w:rsidRPr="00582C6D">
        <w:rPr>
          <w:u w:val="single"/>
        </w:rPr>
        <w:t>Action Items</w:t>
      </w:r>
      <w:r>
        <w:t xml:space="preserve">: </w:t>
      </w:r>
    </w:p>
    <w:p w:rsidR="006358C8" w:rsidRDefault="00582C6D" w:rsidP="00582C6D">
      <w:pPr>
        <w:pStyle w:val="Actions"/>
        <w:numPr>
          <w:ilvl w:val="0"/>
          <w:numId w:val="49"/>
        </w:numPr>
      </w:pPr>
      <w:r w:rsidRPr="00AC09FC">
        <w:rPr>
          <w:u w:val="single"/>
        </w:rPr>
        <w:t>NMPGs</w:t>
      </w:r>
      <w:r>
        <w:t xml:space="preserve"> feedback on the above text and on the MP implementation date. </w:t>
      </w:r>
    </w:p>
    <w:p w:rsidR="003C6487" w:rsidRPr="00D8106C" w:rsidRDefault="006E300C" w:rsidP="00582C6D">
      <w:pPr>
        <w:pStyle w:val="Actions"/>
        <w:numPr>
          <w:ilvl w:val="0"/>
          <w:numId w:val="49"/>
        </w:numPr>
      </w:pPr>
      <w:r w:rsidRPr="00AC09FC">
        <w:rPr>
          <w:u w:val="single"/>
        </w:rPr>
        <w:t>Michael</w:t>
      </w:r>
      <w:r w:rsidRPr="006E300C">
        <w:t xml:space="preserve"> (CH) still to provide required information - scenario (bottom-up scenario of securities distribution).</w:t>
      </w:r>
    </w:p>
    <w:p w:rsidR="00C7053E" w:rsidRDefault="00D8106C" w:rsidP="00C7053E">
      <w:pPr>
        <w:pStyle w:val="Heading1"/>
      </w:pPr>
      <w:bookmarkStart w:id="9" w:name="_Toc379812140"/>
      <w:r>
        <w:t xml:space="preserve">CA268 - </w:t>
      </w:r>
      <w:r w:rsidR="00C7053E">
        <w:t>Narratives scope/usage and indicate updates (Delphine)</w:t>
      </w:r>
      <w:bookmarkEnd w:id="9"/>
    </w:p>
    <w:p w:rsidR="00D8106C" w:rsidRDefault="00733BD8" w:rsidP="00D80287">
      <w:pPr>
        <w:pStyle w:val="ListParagraph"/>
        <w:numPr>
          <w:ilvl w:val="0"/>
          <w:numId w:val="50"/>
        </w:numPr>
      </w:pPr>
      <w:r>
        <w:t>NMPGs feedback on the full alignment of narrative fields between MT564/566:</w:t>
      </w:r>
    </w:p>
    <w:p w:rsidR="00D80287" w:rsidRDefault="00733BD8" w:rsidP="00D8106C">
      <w:r>
        <w:t xml:space="preserve">FR, LU, XS in favor of aligning all narratives. Euroclear </w:t>
      </w:r>
      <w:r w:rsidR="00D80287">
        <w:t>always uses narrative exclusively with the MT 568. The MDPUG does not use the 568 at all. Globally, there is an agreement to align narratives amongst the MT564 and 568.</w:t>
      </w:r>
    </w:p>
    <w:p w:rsidR="00733BD8" w:rsidRDefault="00D80287" w:rsidP="00AC09FC">
      <w:pPr>
        <w:pStyle w:val="Actions"/>
      </w:pPr>
      <w:r w:rsidRPr="00AC09FC">
        <w:rPr>
          <w:u w:val="single"/>
        </w:rPr>
        <w:t>Action</w:t>
      </w:r>
      <w:r>
        <w:t xml:space="preserve">: </w:t>
      </w:r>
      <w:r w:rsidRPr="00AC09FC">
        <w:rPr>
          <w:u w:val="single"/>
        </w:rPr>
        <w:t>Jacques</w:t>
      </w:r>
      <w:r>
        <w:t xml:space="preserve"> to create CR for SR2015 on alignment of narratives fields.</w:t>
      </w:r>
    </w:p>
    <w:p w:rsidR="00AC09FC" w:rsidRDefault="00AC09FC" w:rsidP="00AC09FC">
      <w:pPr>
        <w:pStyle w:val="Actions"/>
      </w:pPr>
    </w:p>
    <w:p w:rsidR="00D80287" w:rsidRDefault="00D80287" w:rsidP="00D80287">
      <w:pPr>
        <w:pStyle w:val="ListParagraph"/>
        <w:numPr>
          <w:ilvl w:val="0"/>
          <w:numId w:val="50"/>
        </w:numPr>
      </w:pPr>
      <w:r>
        <w:t xml:space="preserve">NMPGs </w:t>
      </w:r>
      <w:r w:rsidRPr="00D80287">
        <w:t>feedback on what is the best narrative qualifier  to provide narrative</w:t>
      </w:r>
      <w:r>
        <w:t xml:space="preserve"> information on how to instruct:</w:t>
      </w:r>
    </w:p>
    <w:p w:rsidR="00582C6D" w:rsidRDefault="00066D5C" w:rsidP="00D8106C">
      <w:proofErr w:type="gramStart"/>
      <w:r>
        <w:t>Agreement that it would be an added value to have that information aside from ADTX.</w:t>
      </w:r>
      <w:proofErr w:type="gramEnd"/>
      <w:r>
        <w:t xml:space="preserve"> The narratives on how to instruct could be eventually placed in CETI or even in TAXE in some cases. CETI should perhaps be added to sequence F of the </w:t>
      </w:r>
      <w:proofErr w:type="gramStart"/>
      <w:r>
        <w:t>MT564 ?</w:t>
      </w:r>
      <w:proofErr w:type="gramEnd"/>
    </w:p>
    <w:p w:rsidR="00066D5C" w:rsidRDefault="00066D5C" w:rsidP="00066D5C">
      <w:pPr>
        <w:pStyle w:val="Actions"/>
      </w:pPr>
      <w:r w:rsidRPr="007F2ABF">
        <w:rPr>
          <w:u w:val="single"/>
        </w:rPr>
        <w:t>Action</w:t>
      </w:r>
      <w:r>
        <w:t xml:space="preserve">: </w:t>
      </w:r>
      <w:r w:rsidRPr="007F2ABF">
        <w:rPr>
          <w:u w:val="single"/>
        </w:rPr>
        <w:t>Mariangela, Kim and all NMPGs</w:t>
      </w:r>
      <w:r>
        <w:t xml:space="preserve"> to provide examples of such narrative on how to instruct for next conf. call.</w:t>
      </w:r>
    </w:p>
    <w:p w:rsidR="00A12989" w:rsidRPr="00D8106C" w:rsidRDefault="00C86F14" w:rsidP="00A12989">
      <w:pPr>
        <w:pStyle w:val="ListParagraph"/>
        <w:numPr>
          <w:ilvl w:val="0"/>
          <w:numId w:val="50"/>
        </w:numPr>
      </w:pPr>
      <w:r>
        <w:t xml:space="preserve">The </w:t>
      </w:r>
      <w:r w:rsidR="00A12989">
        <w:t xml:space="preserve">GMP Part 1 </w:t>
      </w:r>
      <w:proofErr w:type="gramStart"/>
      <w:r w:rsidR="00A12989">
        <w:t>subgroup</w:t>
      </w:r>
      <w:r>
        <w:t xml:space="preserve"> still need</w:t>
      </w:r>
      <w:proofErr w:type="gramEnd"/>
      <w:r>
        <w:t xml:space="preserve"> to provide a text on CETI to include into GMP Part 1 section 3.15.15.</w:t>
      </w:r>
      <w:bookmarkStart w:id="10" w:name="_GoBack"/>
      <w:bookmarkEnd w:id="10"/>
    </w:p>
    <w:p w:rsidR="00C7053E" w:rsidRDefault="00D8106C" w:rsidP="00C7053E">
      <w:pPr>
        <w:pStyle w:val="Heading1"/>
      </w:pPr>
      <w:bookmarkStart w:id="11" w:name="_Toc379812141"/>
      <w:r>
        <w:t xml:space="preserve">CA269 - </w:t>
      </w:r>
      <w:r w:rsidR="00C7053E">
        <w:t>Confirm</w:t>
      </w:r>
      <w:r w:rsidR="00D335F7">
        <w:t>ation of Actual Payment (Mari</w:t>
      </w:r>
      <w:r w:rsidR="00C7053E">
        <w:t>)</w:t>
      </w:r>
      <w:bookmarkEnd w:id="11"/>
    </w:p>
    <w:p w:rsidR="007F2ABF" w:rsidRPr="007F2ABF" w:rsidRDefault="007F2ABF" w:rsidP="007F2ABF">
      <w:r>
        <w:t xml:space="preserve">Objective: confirm that the contractual payment has become </w:t>
      </w:r>
      <w:proofErr w:type="gramStart"/>
      <w:r w:rsidR="00535B35">
        <w:t>actual</w:t>
      </w:r>
      <w:proofErr w:type="gramEnd"/>
      <w:r w:rsidR="00535B35">
        <w:t xml:space="preserve"> and</w:t>
      </w:r>
      <w:r>
        <w:t xml:space="preserve"> providing the finality of the payment.</w:t>
      </w:r>
    </w:p>
    <w:p w:rsidR="00D8106C" w:rsidRDefault="007A4C0F" w:rsidP="00D8106C">
      <w:r w:rsidRPr="007A4C0F">
        <w:t>NMPGs fee</w:t>
      </w:r>
      <w:r>
        <w:t xml:space="preserve">dback on the possible solutions (MT566 </w:t>
      </w:r>
      <w:r w:rsidR="00535B35">
        <w:t>vs.</w:t>
      </w:r>
      <w:r>
        <w:t xml:space="preserve"> MT567):</w:t>
      </w:r>
    </w:p>
    <w:p w:rsidR="007A4C0F" w:rsidRDefault="007A4C0F" w:rsidP="00D8106C">
      <w:r>
        <w:t xml:space="preserve">CH, FR, LU, XS and ZA are not in favor of an MT566 solution (new function code) as this would heavily impact the processing </w:t>
      </w:r>
      <w:r w:rsidR="007F2ABF">
        <w:t xml:space="preserve">logic </w:t>
      </w:r>
      <w:r>
        <w:t>of the MT566 which is not supposed to be “replaceable” like the MT564</w:t>
      </w:r>
      <w:r w:rsidR="007F2ABF">
        <w:t xml:space="preserve"> and </w:t>
      </w:r>
      <w:r w:rsidR="007F2ABF">
        <w:lastRenderedPageBreak/>
        <w:t>moreover this would be just for a few cases</w:t>
      </w:r>
      <w:r>
        <w:t xml:space="preserve"> </w:t>
      </w:r>
      <w:r w:rsidR="007F2ABF">
        <w:t>per year.</w:t>
      </w:r>
      <w:r>
        <w:t xml:space="preserve"> </w:t>
      </w:r>
      <w:r w:rsidR="007F2ABF">
        <w:t xml:space="preserve">Potentially this could create confusion in the MT566 payment processing. </w:t>
      </w:r>
    </w:p>
    <w:p w:rsidR="007F2ABF" w:rsidRDefault="007F2ABF" w:rsidP="00D8106C">
      <w:r>
        <w:t>However the preference goes to using the MT567 status message where it could be more easily integrated than with the MT566 and minimize the impact.</w:t>
      </w:r>
    </w:p>
    <w:p w:rsidR="007F2ABF" w:rsidRDefault="007F2ABF" w:rsidP="00D8106C">
      <w:r>
        <w:t xml:space="preserve">The UK NMPG on the other hand has a preference for the MT566 and a new function code. </w:t>
      </w:r>
    </w:p>
    <w:p w:rsidR="007F2ABF" w:rsidRPr="00D8106C" w:rsidRDefault="007F2ABF" w:rsidP="00D8106C">
      <w:r>
        <w:t>More NMPGs feedback expected for next conf. call.</w:t>
      </w:r>
    </w:p>
    <w:p w:rsidR="00655E03" w:rsidRDefault="00655E03" w:rsidP="003C142B">
      <w:pPr>
        <w:pStyle w:val="Heading1"/>
      </w:pPr>
      <w:bookmarkStart w:id="12" w:name="_Toc379812142"/>
      <w:bookmarkEnd w:id="3"/>
      <w:bookmarkEnd w:id="4"/>
      <w:r w:rsidRPr="00655E03">
        <w:t>AOB</w:t>
      </w:r>
      <w:bookmarkEnd w:id="12"/>
    </w:p>
    <w:p w:rsidR="003345B8" w:rsidRDefault="003345B8" w:rsidP="003345B8">
      <w:pPr>
        <w:pStyle w:val="Heading2"/>
      </w:pPr>
      <w:r>
        <w:t xml:space="preserve">Follow up on the </w:t>
      </w:r>
      <w:bookmarkStart w:id="13" w:name="_Toc379811487"/>
      <w:r>
        <w:t>topic raised in Johannesburg on the “</w:t>
      </w:r>
      <w:r w:rsidRPr="00A01EB9">
        <w:t xml:space="preserve">SMPG Role concerning Non-compliant </w:t>
      </w:r>
      <w:r>
        <w:t xml:space="preserve">“country specific” </w:t>
      </w:r>
      <w:r w:rsidRPr="00A01EB9">
        <w:t>MP</w:t>
      </w:r>
      <w:r>
        <w:t>s</w:t>
      </w:r>
      <w:bookmarkEnd w:id="13"/>
      <w:r>
        <w:t>”</w:t>
      </w:r>
    </w:p>
    <w:p w:rsidR="002A51DB" w:rsidRDefault="003345B8" w:rsidP="003345B8">
      <w:r>
        <w:t xml:space="preserve">Peter confirms that the MDPUG will soon make a new proposal to rephrase the note about the non-SMPG compliance case with the DRIP sample in their “Principles” document </w:t>
      </w:r>
    </w:p>
    <w:p w:rsidR="002A51DB" w:rsidRDefault="002A51DB" w:rsidP="003345B8"/>
    <w:p w:rsidR="00E842DC" w:rsidRDefault="003345B8" w:rsidP="003345B8">
      <w:pPr>
        <w:pStyle w:val="Actions"/>
      </w:pPr>
      <w:r w:rsidRPr="003345B8">
        <w:rPr>
          <w:u w:val="single"/>
        </w:rPr>
        <w:t>Action</w:t>
      </w:r>
      <w:r>
        <w:t xml:space="preserve">: </w:t>
      </w:r>
      <w:r w:rsidRPr="003345B8">
        <w:rPr>
          <w:u w:val="single"/>
        </w:rPr>
        <w:t>Peter/MDPUG</w:t>
      </w:r>
      <w:r>
        <w:t xml:space="preserve"> to submit proposal on rephrasing the note</w:t>
      </w:r>
      <w:r w:rsidR="006C299E">
        <w:t xml:space="preserve"> and provide example on “Pay Date” periods.</w:t>
      </w:r>
    </w:p>
    <w:p w:rsidR="003345B8" w:rsidRPr="00066D5C" w:rsidRDefault="003345B8" w:rsidP="00066D5C"/>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12"/>
      <w:headerReference w:type="default" r:id="rId13"/>
      <w:headerReference w:type="first" r:id="rId14"/>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DB" w:rsidRDefault="002A51DB" w:rsidP="00592037">
      <w:r>
        <w:separator/>
      </w:r>
    </w:p>
    <w:p w:rsidR="002A51DB" w:rsidRDefault="002A51DB" w:rsidP="00592037"/>
  </w:endnote>
  <w:endnote w:type="continuationSeparator" w:id="0">
    <w:p w:rsidR="002A51DB" w:rsidRDefault="002A51DB" w:rsidP="00592037">
      <w:r>
        <w:continuationSeparator/>
      </w:r>
    </w:p>
    <w:p w:rsidR="002A51DB" w:rsidRDefault="002A51DB"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DB" w:rsidRDefault="002A51D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51DB" w:rsidRDefault="002A51DB"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DB" w:rsidRPr="005733ED" w:rsidRDefault="002A51D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telco_20140128_v0_1</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C86F14">
      <w:rPr>
        <w:noProof/>
        <w:lang w:val="en-GB"/>
      </w:rPr>
      <w:t>5</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DB" w:rsidRDefault="002A51DB" w:rsidP="00592037">
      <w:r>
        <w:separator/>
      </w:r>
    </w:p>
    <w:p w:rsidR="002A51DB" w:rsidRDefault="002A51DB" w:rsidP="00592037"/>
  </w:footnote>
  <w:footnote w:type="continuationSeparator" w:id="0">
    <w:p w:rsidR="002A51DB" w:rsidRDefault="002A51DB" w:rsidP="00592037">
      <w:r>
        <w:continuationSeparator/>
      </w:r>
    </w:p>
    <w:p w:rsidR="002A51DB" w:rsidRDefault="002A51DB"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DB" w:rsidRDefault="002A51DB"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DB" w:rsidRPr="00284B42" w:rsidRDefault="002A51DB"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53556160" r:id="rId2"/>
      </w:pict>
    </w:r>
    <w:r w:rsidRPr="00284B42">
      <w:rPr>
        <w:b/>
      </w:rPr>
      <w:t xml:space="preserve">CA SMPG </w:t>
    </w:r>
    <w:r>
      <w:rPr>
        <w:b/>
      </w:rPr>
      <w:t>– 12 December 2013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DB" w:rsidRDefault="002A51DB"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D09A0"/>
    <w:multiLevelType w:val="hybridMultilevel"/>
    <w:tmpl w:val="D98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3">
    <w:nsid w:val="0EA20279"/>
    <w:multiLevelType w:val="hybridMultilevel"/>
    <w:tmpl w:val="FBAA3A54"/>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F3DCE"/>
    <w:multiLevelType w:val="hybridMultilevel"/>
    <w:tmpl w:val="904EA9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6B0E0C"/>
    <w:multiLevelType w:val="hybridMultilevel"/>
    <w:tmpl w:val="0ED6AC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33726"/>
    <w:multiLevelType w:val="hybridMultilevel"/>
    <w:tmpl w:val="E20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44484"/>
    <w:multiLevelType w:val="hybridMultilevel"/>
    <w:tmpl w:val="E5ACA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9638FD"/>
    <w:multiLevelType w:val="hybridMultilevel"/>
    <w:tmpl w:val="260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23585"/>
    <w:multiLevelType w:val="hybridMultilevel"/>
    <w:tmpl w:val="E47A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9C6337"/>
    <w:multiLevelType w:val="hybridMultilevel"/>
    <w:tmpl w:val="D9F08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D76A51"/>
    <w:multiLevelType w:val="hybridMultilevel"/>
    <w:tmpl w:val="08586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0A11B5"/>
    <w:multiLevelType w:val="hybridMultilevel"/>
    <w:tmpl w:val="DDEC4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4160A5"/>
    <w:multiLevelType w:val="hybridMultilevel"/>
    <w:tmpl w:val="0F8E1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F9716B"/>
    <w:multiLevelType w:val="hybridMultilevel"/>
    <w:tmpl w:val="3E56ED50"/>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E63D6"/>
    <w:multiLevelType w:val="hybridMultilevel"/>
    <w:tmpl w:val="B4D4B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0101049"/>
    <w:multiLevelType w:val="hybridMultilevel"/>
    <w:tmpl w:val="435442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4868AB"/>
    <w:multiLevelType w:val="hybridMultilevel"/>
    <w:tmpl w:val="5504E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5B817FB"/>
    <w:multiLevelType w:val="hybridMultilevel"/>
    <w:tmpl w:val="544E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3ABB5829"/>
    <w:multiLevelType w:val="hybridMultilevel"/>
    <w:tmpl w:val="FED6F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FD415B"/>
    <w:multiLevelType w:val="hybridMultilevel"/>
    <w:tmpl w:val="FD08ADB8"/>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3F1AF7"/>
    <w:multiLevelType w:val="hybridMultilevel"/>
    <w:tmpl w:val="62C0C4EC"/>
    <w:lvl w:ilvl="0" w:tplc="33022562">
      <w:start w:val="1"/>
      <w:numFmt w:val="bullet"/>
      <w:lvlText w:val=""/>
      <w:lvlJc w:val="left"/>
      <w:pPr>
        <w:ind w:left="780" w:hanging="360"/>
      </w:pPr>
      <w:rPr>
        <w:rFonts w:ascii="Wingdings" w:eastAsia="Times New Roman" w:hAnsi="Wingdings" w:cs="Arial" w:hint="default"/>
        <w:lang w:val="en-U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5337B34"/>
    <w:multiLevelType w:val="hybridMultilevel"/>
    <w:tmpl w:val="244A7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3D4E92"/>
    <w:multiLevelType w:val="hybridMultilevel"/>
    <w:tmpl w:val="0B16C7E4"/>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D4BB1"/>
    <w:multiLevelType w:val="hybridMultilevel"/>
    <w:tmpl w:val="16C86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C5582F"/>
    <w:multiLevelType w:val="hybridMultilevel"/>
    <w:tmpl w:val="2874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A53F96"/>
    <w:multiLevelType w:val="hybridMultilevel"/>
    <w:tmpl w:val="39A0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B35520"/>
    <w:multiLevelType w:val="hybridMultilevel"/>
    <w:tmpl w:val="EA985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2821C0"/>
    <w:multiLevelType w:val="hybridMultilevel"/>
    <w:tmpl w:val="DD046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18941AC"/>
    <w:multiLevelType w:val="hybridMultilevel"/>
    <w:tmpl w:val="28EC72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9A506C"/>
    <w:multiLevelType w:val="hybridMultilevel"/>
    <w:tmpl w:val="91200BD0"/>
    <w:lvl w:ilvl="0" w:tplc="AAC02E02">
      <w:start w:val="1"/>
      <w:numFmt w:val="decimal"/>
      <w:lvlText w:val="%1."/>
      <w:lvlJc w:val="left"/>
      <w:pPr>
        <w:ind w:left="360" w:hanging="360"/>
      </w:pPr>
      <w:rPr>
        <w:rFonts w:ascii="Calibri" w:eastAsia="Times New Roman" w:hAnsi="Calibri"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3">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A25514"/>
    <w:multiLevelType w:val="hybridMultilevel"/>
    <w:tmpl w:val="511E5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5B551362"/>
    <w:multiLevelType w:val="hybridMultilevel"/>
    <w:tmpl w:val="39EA1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BF92EDE"/>
    <w:multiLevelType w:val="hybridMultilevel"/>
    <w:tmpl w:val="77F0B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E181924"/>
    <w:multiLevelType w:val="hybridMultilevel"/>
    <w:tmpl w:val="B2DE70EE"/>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4C4CCA"/>
    <w:multiLevelType w:val="hybridMultilevel"/>
    <w:tmpl w:val="03C88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A22D70"/>
    <w:multiLevelType w:val="hybridMultilevel"/>
    <w:tmpl w:val="975AE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578400A"/>
    <w:multiLevelType w:val="hybridMultilevel"/>
    <w:tmpl w:val="F450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811C7E"/>
    <w:multiLevelType w:val="hybridMultilevel"/>
    <w:tmpl w:val="AA4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005374"/>
    <w:multiLevelType w:val="hybridMultilevel"/>
    <w:tmpl w:val="7C380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nsid w:val="792F625A"/>
    <w:multiLevelType w:val="hybridMultilevel"/>
    <w:tmpl w:val="BBB8146E"/>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A596E8D"/>
    <w:multiLevelType w:val="hybridMultilevel"/>
    <w:tmpl w:val="DC76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A8923A8"/>
    <w:multiLevelType w:val="hybridMultilevel"/>
    <w:tmpl w:val="378C6680"/>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790841"/>
    <w:multiLevelType w:val="hybridMultilevel"/>
    <w:tmpl w:val="C3C6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0"/>
  </w:num>
  <w:num w:numId="4">
    <w:abstractNumId w:val="11"/>
  </w:num>
  <w:num w:numId="5">
    <w:abstractNumId w:val="2"/>
  </w:num>
  <w:num w:numId="6">
    <w:abstractNumId w:val="41"/>
  </w:num>
  <w:num w:numId="7">
    <w:abstractNumId w:val="40"/>
  </w:num>
  <w:num w:numId="8">
    <w:abstractNumId w:val="33"/>
  </w:num>
  <w:num w:numId="9">
    <w:abstractNumId w:val="1"/>
  </w:num>
  <w:num w:numId="10">
    <w:abstractNumId w:val="5"/>
  </w:num>
  <w:num w:numId="11">
    <w:abstractNumId w:val="30"/>
  </w:num>
  <w:num w:numId="12">
    <w:abstractNumId w:val="37"/>
  </w:num>
  <w:num w:numId="13">
    <w:abstractNumId w:val="47"/>
  </w:num>
  <w:num w:numId="14">
    <w:abstractNumId w:val="18"/>
  </w:num>
  <w:num w:numId="15">
    <w:abstractNumId w:val="45"/>
  </w:num>
  <w:num w:numId="16">
    <w:abstractNumId w:val="42"/>
  </w:num>
  <w:num w:numId="17">
    <w:abstractNumId w:val="7"/>
  </w:num>
  <w:num w:numId="18">
    <w:abstractNumId w:val="16"/>
  </w:num>
  <w:num w:numId="19">
    <w:abstractNumId w:val="14"/>
  </w:num>
  <w:num w:numId="20">
    <w:abstractNumId w:val="46"/>
  </w:num>
  <w:num w:numId="21">
    <w:abstractNumId w:val="8"/>
  </w:num>
  <w:num w:numId="22">
    <w:abstractNumId w:val="6"/>
  </w:num>
  <w:num w:numId="23">
    <w:abstractNumId w:val="43"/>
  </w:num>
  <w:num w:numId="24">
    <w:abstractNumId w:val="21"/>
  </w:num>
  <w:num w:numId="25">
    <w:abstractNumId w:val="44"/>
  </w:num>
  <w:num w:numId="26">
    <w:abstractNumId w:val="31"/>
  </w:num>
  <w:num w:numId="27">
    <w:abstractNumId w:val="17"/>
  </w:num>
  <w:num w:numId="28">
    <w:abstractNumId w:val="2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4"/>
  </w:num>
  <w:num w:numId="32">
    <w:abstractNumId w:val="13"/>
  </w:num>
  <w:num w:numId="33">
    <w:abstractNumId w:val="49"/>
  </w:num>
  <w:num w:numId="34">
    <w:abstractNumId w:val="36"/>
  </w:num>
  <w:num w:numId="35">
    <w:abstractNumId w:val="38"/>
  </w:num>
  <w:num w:numId="36">
    <w:abstractNumId w:val="25"/>
  </w:num>
  <w:num w:numId="37">
    <w:abstractNumId w:val="39"/>
  </w:num>
  <w:num w:numId="38">
    <w:abstractNumId w:val="12"/>
  </w:num>
  <w:num w:numId="39">
    <w:abstractNumId w:val="4"/>
  </w:num>
  <w:num w:numId="40">
    <w:abstractNumId w:val="29"/>
  </w:num>
  <w:num w:numId="41">
    <w:abstractNumId w:val="27"/>
  </w:num>
  <w:num w:numId="42">
    <w:abstractNumId w:val="22"/>
  </w:num>
  <w:num w:numId="43">
    <w:abstractNumId w:val="24"/>
  </w:num>
  <w:num w:numId="44">
    <w:abstractNumId w:val="3"/>
  </w:num>
  <w:num w:numId="45">
    <w:abstractNumId w:val="48"/>
  </w:num>
  <w:num w:numId="46">
    <w:abstractNumId w:val="9"/>
  </w:num>
  <w:num w:numId="47">
    <w:abstractNumId w:val="23"/>
  </w:num>
  <w:num w:numId="48">
    <w:abstractNumId w:val="15"/>
  </w:num>
  <w:num w:numId="49">
    <w:abstractNumId w:val="28"/>
  </w:num>
  <w:num w:numId="5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1CEB"/>
    <w:rsid w:val="00032F97"/>
    <w:rsid w:val="000357FF"/>
    <w:rsid w:val="00037351"/>
    <w:rsid w:val="000415FC"/>
    <w:rsid w:val="0004371B"/>
    <w:rsid w:val="00043D75"/>
    <w:rsid w:val="00044AD0"/>
    <w:rsid w:val="00045152"/>
    <w:rsid w:val="00046B58"/>
    <w:rsid w:val="00046E03"/>
    <w:rsid w:val="00047EB2"/>
    <w:rsid w:val="0005167F"/>
    <w:rsid w:val="00052FE4"/>
    <w:rsid w:val="0005309A"/>
    <w:rsid w:val="000530AA"/>
    <w:rsid w:val="0005604D"/>
    <w:rsid w:val="00056990"/>
    <w:rsid w:val="00057A3B"/>
    <w:rsid w:val="00057AD3"/>
    <w:rsid w:val="00057B4E"/>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786"/>
    <w:rsid w:val="000768FB"/>
    <w:rsid w:val="00081263"/>
    <w:rsid w:val="0008302E"/>
    <w:rsid w:val="00085311"/>
    <w:rsid w:val="000855C1"/>
    <w:rsid w:val="00087328"/>
    <w:rsid w:val="0008767E"/>
    <w:rsid w:val="0009050D"/>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1CE"/>
    <w:rsid w:val="000E2A55"/>
    <w:rsid w:val="000E2F7A"/>
    <w:rsid w:val="000E4C23"/>
    <w:rsid w:val="000E5503"/>
    <w:rsid w:val="000E5ACC"/>
    <w:rsid w:val="000E6687"/>
    <w:rsid w:val="000E797B"/>
    <w:rsid w:val="000E7A30"/>
    <w:rsid w:val="000F07A5"/>
    <w:rsid w:val="000F4705"/>
    <w:rsid w:val="000F5DCF"/>
    <w:rsid w:val="001006E9"/>
    <w:rsid w:val="0010148B"/>
    <w:rsid w:val="00101E0D"/>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01AA"/>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16F"/>
    <w:rsid w:val="00157457"/>
    <w:rsid w:val="001577B5"/>
    <w:rsid w:val="00160901"/>
    <w:rsid w:val="001614CA"/>
    <w:rsid w:val="001630BD"/>
    <w:rsid w:val="001661A6"/>
    <w:rsid w:val="001676C8"/>
    <w:rsid w:val="00167ADC"/>
    <w:rsid w:val="001712B1"/>
    <w:rsid w:val="0017306F"/>
    <w:rsid w:val="001753F9"/>
    <w:rsid w:val="001803DE"/>
    <w:rsid w:val="0018324D"/>
    <w:rsid w:val="001865D5"/>
    <w:rsid w:val="001867B1"/>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52F"/>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1C67"/>
    <w:rsid w:val="002127BA"/>
    <w:rsid w:val="002129D0"/>
    <w:rsid w:val="00212BFF"/>
    <w:rsid w:val="002131AF"/>
    <w:rsid w:val="00214473"/>
    <w:rsid w:val="0021532F"/>
    <w:rsid w:val="00215780"/>
    <w:rsid w:val="00216A0C"/>
    <w:rsid w:val="00217002"/>
    <w:rsid w:val="002178B6"/>
    <w:rsid w:val="002200DE"/>
    <w:rsid w:val="002200F0"/>
    <w:rsid w:val="00220ED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13B9"/>
    <w:rsid w:val="00262E44"/>
    <w:rsid w:val="00262F75"/>
    <w:rsid w:val="00265B60"/>
    <w:rsid w:val="00266341"/>
    <w:rsid w:val="00266950"/>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907A7"/>
    <w:rsid w:val="002907F5"/>
    <w:rsid w:val="00292B53"/>
    <w:rsid w:val="0029301A"/>
    <w:rsid w:val="00293BD3"/>
    <w:rsid w:val="0029519D"/>
    <w:rsid w:val="00297415"/>
    <w:rsid w:val="00297D5D"/>
    <w:rsid w:val="002A0A67"/>
    <w:rsid w:val="002A16AD"/>
    <w:rsid w:val="002A1D00"/>
    <w:rsid w:val="002A22A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44F0"/>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7C15"/>
    <w:rsid w:val="00330A55"/>
    <w:rsid w:val="00330C7E"/>
    <w:rsid w:val="00332F91"/>
    <w:rsid w:val="00333A87"/>
    <w:rsid w:val="003345B8"/>
    <w:rsid w:val="003360F9"/>
    <w:rsid w:val="00340788"/>
    <w:rsid w:val="003419F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406C"/>
    <w:rsid w:val="003656AB"/>
    <w:rsid w:val="003657AB"/>
    <w:rsid w:val="00366FEC"/>
    <w:rsid w:val="003700E7"/>
    <w:rsid w:val="0037101D"/>
    <w:rsid w:val="00371B50"/>
    <w:rsid w:val="00371D8F"/>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348"/>
    <w:rsid w:val="003B1C69"/>
    <w:rsid w:val="003B250E"/>
    <w:rsid w:val="003B28EF"/>
    <w:rsid w:val="003B43BF"/>
    <w:rsid w:val="003B46C6"/>
    <w:rsid w:val="003B4992"/>
    <w:rsid w:val="003B54B2"/>
    <w:rsid w:val="003B5D70"/>
    <w:rsid w:val="003B7A2F"/>
    <w:rsid w:val="003B7A76"/>
    <w:rsid w:val="003C142B"/>
    <w:rsid w:val="003C292A"/>
    <w:rsid w:val="003C3076"/>
    <w:rsid w:val="003C3419"/>
    <w:rsid w:val="003C44DF"/>
    <w:rsid w:val="003C4F1E"/>
    <w:rsid w:val="003C599B"/>
    <w:rsid w:val="003C6487"/>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23C3"/>
    <w:rsid w:val="003E458D"/>
    <w:rsid w:val="003E58A3"/>
    <w:rsid w:val="003E5EFD"/>
    <w:rsid w:val="003E6B0C"/>
    <w:rsid w:val="003F0EE4"/>
    <w:rsid w:val="003F1217"/>
    <w:rsid w:val="003F1787"/>
    <w:rsid w:val="003F2BDB"/>
    <w:rsid w:val="003F5926"/>
    <w:rsid w:val="003F5CD3"/>
    <w:rsid w:val="003F79E6"/>
    <w:rsid w:val="0040048C"/>
    <w:rsid w:val="00400D44"/>
    <w:rsid w:val="0040244E"/>
    <w:rsid w:val="00403047"/>
    <w:rsid w:val="00403D4A"/>
    <w:rsid w:val="00404C0C"/>
    <w:rsid w:val="00404FF3"/>
    <w:rsid w:val="00405217"/>
    <w:rsid w:val="004059D7"/>
    <w:rsid w:val="0040717B"/>
    <w:rsid w:val="0040750A"/>
    <w:rsid w:val="004078BD"/>
    <w:rsid w:val="00410935"/>
    <w:rsid w:val="00410D38"/>
    <w:rsid w:val="0041103C"/>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67E8"/>
    <w:rsid w:val="00436B91"/>
    <w:rsid w:val="00436BB0"/>
    <w:rsid w:val="004370B2"/>
    <w:rsid w:val="004378C7"/>
    <w:rsid w:val="0044105F"/>
    <w:rsid w:val="0044227C"/>
    <w:rsid w:val="004422F3"/>
    <w:rsid w:val="0044610D"/>
    <w:rsid w:val="004466C3"/>
    <w:rsid w:val="00450C00"/>
    <w:rsid w:val="00450EBE"/>
    <w:rsid w:val="00451AAA"/>
    <w:rsid w:val="00454A63"/>
    <w:rsid w:val="00455291"/>
    <w:rsid w:val="00456BBD"/>
    <w:rsid w:val="00456E82"/>
    <w:rsid w:val="00457BF4"/>
    <w:rsid w:val="004656E5"/>
    <w:rsid w:val="00465D09"/>
    <w:rsid w:val="00465F68"/>
    <w:rsid w:val="00466275"/>
    <w:rsid w:val="0046643B"/>
    <w:rsid w:val="0046659B"/>
    <w:rsid w:val="0046661C"/>
    <w:rsid w:val="004672F5"/>
    <w:rsid w:val="00467DC3"/>
    <w:rsid w:val="00467FE4"/>
    <w:rsid w:val="00471403"/>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B96"/>
    <w:rsid w:val="004B2F86"/>
    <w:rsid w:val="004B376B"/>
    <w:rsid w:val="004B410C"/>
    <w:rsid w:val="004B449F"/>
    <w:rsid w:val="004B5DE4"/>
    <w:rsid w:val="004B68CC"/>
    <w:rsid w:val="004B69EF"/>
    <w:rsid w:val="004B74C6"/>
    <w:rsid w:val="004B7DFC"/>
    <w:rsid w:val="004B7E5A"/>
    <w:rsid w:val="004B7FE6"/>
    <w:rsid w:val="004C09AB"/>
    <w:rsid w:val="004C1D25"/>
    <w:rsid w:val="004C2196"/>
    <w:rsid w:val="004C2424"/>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6EC6"/>
    <w:rsid w:val="004D77A7"/>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6869"/>
    <w:rsid w:val="00510058"/>
    <w:rsid w:val="00510BCA"/>
    <w:rsid w:val="0051169F"/>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546A"/>
    <w:rsid w:val="00535B35"/>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56185"/>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2C6D"/>
    <w:rsid w:val="00583B21"/>
    <w:rsid w:val="00584BD4"/>
    <w:rsid w:val="005850FF"/>
    <w:rsid w:val="00585DE9"/>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A79E1"/>
    <w:rsid w:val="005B0264"/>
    <w:rsid w:val="005B4768"/>
    <w:rsid w:val="005B5097"/>
    <w:rsid w:val="005C033A"/>
    <w:rsid w:val="005C066C"/>
    <w:rsid w:val="005C0760"/>
    <w:rsid w:val="005C2A8B"/>
    <w:rsid w:val="005C39DE"/>
    <w:rsid w:val="005C3E37"/>
    <w:rsid w:val="005C3FCB"/>
    <w:rsid w:val="005C410F"/>
    <w:rsid w:val="005C54C3"/>
    <w:rsid w:val="005C7169"/>
    <w:rsid w:val="005D082A"/>
    <w:rsid w:val="005D1D53"/>
    <w:rsid w:val="005D495D"/>
    <w:rsid w:val="005D4A34"/>
    <w:rsid w:val="005E0B6F"/>
    <w:rsid w:val="005E0C08"/>
    <w:rsid w:val="005E2A81"/>
    <w:rsid w:val="005E337F"/>
    <w:rsid w:val="005E3B2D"/>
    <w:rsid w:val="005E4A0B"/>
    <w:rsid w:val="005E64E7"/>
    <w:rsid w:val="005E6846"/>
    <w:rsid w:val="005E6B80"/>
    <w:rsid w:val="005E74B2"/>
    <w:rsid w:val="005E7C94"/>
    <w:rsid w:val="005F1349"/>
    <w:rsid w:val="005F37C7"/>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5F4A"/>
    <w:rsid w:val="0061654D"/>
    <w:rsid w:val="0061750F"/>
    <w:rsid w:val="00622B75"/>
    <w:rsid w:val="006233D9"/>
    <w:rsid w:val="00625958"/>
    <w:rsid w:val="00630A9A"/>
    <w:rsid w:val="00631595"/>
    <w:rsid w:val="006341E8"/>
    <w:rsid w:val="00634CFC"/>
    <w:rsid w:val="0063519F"/>
    <w:rsid w:val="006358C8"/>
    <w:rsid w:val="00635ECA"/>
    <w:rsid w:val="006366E2"/>
    <w:rsid w:val="00636A0D"/>
    <w:rsid w:val="0064140F"/>
    <w:rsid w:val="00642DE8"/>
    <w:rsid w:val="00645061"/>
    <w:rsid w:val="00645735"/>
    <w:rsid w:val="006477E1"/>
    <w:rsid w:val="00650969"/>
    <w:rsid w:val="00650C44"/>
    <w:rsid w:val="00651668"/>
    <w:rsid w:val="00651E32"/>
    <w:rsid w:val="00651EB7"/>
    <w:rsid w:val="00652BDD"/>
    <w:rsid w:val="00653B37"/>
    <w:rsid w:val="006547EA"/>
    <w:rsid w:val="006559FF"/>
    <w:rsid w:val="00655E03"/>
    <w:rsid w:val="00656EEB"/>
    <w:rsid w:val="0065719E"/>
    <w:rsid w:val="0065757D"/>
    <w:rsid w:val="00657EA2"/>
    <w:rsid w:val="00661478"/>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3FE"/>
    <w:rsid w:val="006877D0"/>
    <w:rsid w:val="00687ACB"/>
    <w:rsid w:val="006904E8"/>
    <w:rsid w:val="0069103E"/>
    <w:rsid w:val="0069126A"/>
    <w:rsid w:val="0069148C"/>
    <w:rsid w:val="006923D7"/>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99E"/>
    <w:rsid w:val="006C2ADA"/>
    <w:rsid w:val="006C4331"/>
    <w:rsid w:val="006C450B"/>
    <w:rsid w:val="006C5C86"/>
    <w:rsid w:val="006C7749"/>
    <w:rsid w:val="006D1C81"/>
    <w:rsid w:val="006D1DD6"/>
    <w:rsid w:val="006D1DE0"/>
    <w:rsid w:val="006D290F"/>
    <w:rsid w:val="006D2D08"/>
    <w:rsid w:val="006D3A23"/>
    <w:rsid w:val="006D4E80"/>
    <w:rsid w:val="006D59D0"/>
    <w:rsid w:val="006D7688"/>
    <w:rsid w:val="006D7BE2"/>
    <w:rsid w:val="006E1767"/>
    <w:rsid w:val="006E1BB8"/>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EB8"/>
    <w:rsid w:val="006F680E"/>
    <w:rsid w:val="006F7DC5"/>
    <w:rsid w:val="00700C78"/>
    <w:rsid w:val="0070379B"/>
    <w:rsid w:val="0070770C"/>
    <w:rsid w:val="007107F2"/>
    <w:rsid w:val="007114CE"/>
    <w:rsid w:val="00712934"/>
    <w:rsid w:val="00713713"/>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3BD8"/>
    <w:rsid w:val="00734DE6"/>
    <w:rsid w:val="007359F5"/>
    <w:rsid w:val="0073707E"/>
    <w:rsid w:val="007374E4"/>
    <w:rsid w:val="0073772C"/>
    <w:rsid w:val="00737BF1"/>
    <w:rsid w:val="0074191F"/>
    <w:rsid w:val="00743759"/>
    <w:rsid w:val="007444CA"/>
    <w:rsid w:val="00746488"/>
    <w:rsid w:val="00746C2E"/>
    <w:rsid w:val="0075032C"/>
    <w:rsid w:val="0075046F"/>
    <w:rsid w:val="007530F5"/>
    <w:rsid w:val="00753AD7"/>
    <w:rsid w:val="0075425F"/>
    <w:rsid w:val="00754448"/>
    <w:rsid w:val="00754DB9"/>
    <w:rsid w:val="0075589B"/>
    <w:rsid w:val="00756700"/>
    <w:rsid w:val="00756959"/>
    <w:rsid w:val="00757308"/>
    <w:rsid w:val="00757A1A"/>
    <w:rsid w:val="00761329"/>
    <w:rsid w:val="00763F34"/>
    <w:rsid w:val="007647F8"/>
    <w:rsid w:val="00764C15"/>
    <w:rsid w:val="007650F5"/>
    <w:rsid w:val="0076568D"/>
    <w:rsid w:val="00766046"/>
    <w:rsid w:val="0076639E"/>
    <w:rsid w:val="00766510"/>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C5C31"/>
    <w:rsid w:val="007D0957"/>
    <w:rsid w:val="007D1312"/>
    <w:rsid w:val="007D1415"/>
    <w:rsid w:val="007D1E41"/>
    <w:rsid w:val="007D236C"/>
    <w:rsid w:val="007D31BF"/>
    <w:rsid w:val="007D3AE3"/>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45BD"/>
    <w:rsid w:val="00804D45"/>
    <w:rsid w:val="008052DA"/>
    <w:rsid w:val="00805EC4"/>
    <w:rsid w:val="00806EB5"/>
    <w:rsid w:val="00811879"/>
    <w:rsid w:val="008120D1"/>
    <w:rsid w:val="00812EAF"/>
    <w:rsid w:val="00813092"/>
    <w:rsid w:val="0081358D"/>
    <w:rsid w:val="00813DB8"/>
    <w:rsid w:val="0081429D"/>
    <w:rsid w:val="00815369"/>
    <w:rsid w:val="00815724"/>
    <w:rsid w:val="0081662E"/>
    <w:rsid w:val="0081704F"/>
    <w:rsid w:val="008179FB"/>
    <w:rsid w:val="00820300"/>
    <w:rsid w:val="00821516"/>
    <w:rsid w:val="00822653"/>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408"/>
    <w:rsid w:val="00873198"/>
    <w:rsid w:val="00873E0F"/>
    <w:rsid w:val="00875C2E"/>
    <w:rsid w:val="00875E99"/>
    <w:rsid w:val="00880051"/>
    <w:rsid w:val="0088093C"/>
    <w:rsid w:val="00880977"/>
    <w:rsid w:val="00881F16"/>
    <w:rsid w:val="00882CA0"/>
    <w:rsid w:val="00882FB3"/>
    <w:rsid w:val="00882FBE"/>
    <w:rsid w:val="00883904"/>
    <w:rsid w:val="0088392C"/>
    <w:rsid w:val="0088496F"/>
    <w:rsid w:val="008860F3"/>
    <w:rsid w:val="0088650A"/>
    <w:rsid w:val="00886677"/>
    <w:rsid w:val="00890F1B"/>
    <w:rsid w:val="00891F36"/>
    <w:rsid w:val="008932C0"/>
    <w:rsid w:val="008958B0"/>
    <w:rsid w:val="00895F7D"/>
    <w:rsid w:val="008965FE"/>
    <w:rsid w:val="008A00D6"/>
    <w:rsid w:val="008A0E84"/>
    <w:rsid w:val="008A2391"/>
    <w:rsid w:val="008A2D39"/>
    <w:rsid w:val="008A355C"/>
    <w:rsid w:val="008A6521"/>
    <w:rsid w:val="008A6ACE"/>
    <w:rsid w:val="008A7441"/>
    <w:rsid w:val="008B014F"/>
    <w:rsid w:val="008B0D0A"/>
    <w:rsid w:val="008B0FD7"/>
    <w:rsid w:val="008B1ADB"/>
    <w:rsid w:val="008B1C4C"/>
    <w:rsid w:val="008B2018"/>
    <w:rsid w:val="008B2480"/>
    <w:rsid w:val="008B3630"/>
    <w:rsid w:val="008B526C"/>
    <w:rsid w:val="008B566B"/>
    <w:rsid w:val="008B5B2B"/>
    <w:rsid w:val="008B656D"/>
    <w:rsid w:val="008B7113"/>
    <w:rsid w:val="008C1F40"/>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75A"/>
    <w:rsid w:val="00930971"/>
    <w:rsid w:val="00930DD6"/>
    <w:rsid w:val="0093143C"/>
    <w:rsid w:val="00932DA3"/>
    <w:rsid w:val="0093345E"/>
    <w:rsid w:val="00936A77"/>
    <w:rsid w:val="009370FE"/>
    <w:rsid w:val="00937498"/>
    <w:rsid w:val="00941A95"/>
    <w:rsid w:val="00941E29"/>
    <w:rsid w:val="009427AE"/>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2701"/>
    <w:rsid w:val="00964834"/>
    <w:rsid w:val="009660AE"/>
    <w:rsid w:val="00966710"/>
    <w:rsid w:val="00970323"/>
    <w:rsid w:val="00972373"/>
    <w:rsid w:val="00973196"/>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EA3"/>
    <w:rsid w:val="009919CC"/>
    <w:rsid w:val="00991DD7"/>
    <w:rsid w:val="00992377"/>
    <w:rsid w:val="0099255F"/>
    <w:rsid w:val="00993839"/>
    <w:rsid w:val="009942B6"/>
    <w:rsid w:val="00997182"/>
    <w:rsid w:val="0099768F"/>
    <w:rsid w:val="009A29E6"/>
    <w:rsid w:val="009A2AF6"/>
    <w:rsid w:val="009A3539"/>
    <w:rsid w:val="009A3AB3"/>
    <w:rsid w:val="009A4375"/>
    <w:rsid w:val="009A5647"/>
    <w:rsid w:val="009A56CE"/>
    <w:rsid w:val="009A5877"/>
    <w:rsid w:val="009A667B"/>
    <w:rsid w:val="009A72F8"/>
    <w:rsid w:val="009B05F4"/>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3AA0"/>
    <w:rsid w:val="009D3B68"/>
    <w:rsid w:val="009D4249"/>
    <w:rsid w:val="009D48DA"/>
    <w:rsid w:val="009D4BFD"/>
    <w:rsid w:val="009D55F5"/>
    <w:rsid w:val="009D5D20"/>
    <w:rsid w:val="009E074F"/>
    <w:rsid w:val="009E0D0B"/>
    <w:rsid w:val="009E1F2B"/>
    <w:rsid w:val="009E24BD"/>
    <w:rsid w:val="009E4332"/>
    <w:rsid w:val="009E464C"/>
    <w:rsid w:val="009E7051"/>
    <w:rsid w:val="009E73E7"/>
    <w:rsid w:val="009E76A5"/>
    <w:rsid w:val="009E7703"/>
    <w:rsid w:val="009E786F"/>
    <w:rsid w:val="009E7B6E"/>
    <w:rsid w:val="009E7DF0"/>
    <w:rsid w:val="009F032D"/>
    <w:rsid w:val="009F156D"/>
    <w:rsid w:val="009F26B9"/>
    <w:rsid w:val="009F2BEE"/>
    <w:rsid w:val="009F3B02"/>
    <w:rsid w:val="009F415C"/>
    <w:rsid w:val="009F42B9"/>
    <w:rsid w:val="009F5040"/>
    <w:rsid w:val="009F533D"/>
    <w:rsid w:val="009F68F2"/>
    <w:rsid w:val="009F6E7E"/>
    <w:rsid w:val="009F73CA"/>
    <w:rsid w:val="00A00A07"/>
    <w:rsid w:val="00A0635A"/>
    <w:rsid w:val="00A06939"/>
    <w:rsid w:val="00A06EE5"/>
    <w:rsid w:val="00A07B34"/>
    <w:rsid w:val="00A10E27"/>
    <w:rsid w:val="00A11D42"/>
    <w:rsid w:val="00A12989"/>
    <w:rsid w:val="00A129A4"/>
    <w:rsid w:val="00A13549"/>
    <w:rsid w:val="00A15CC8"/>
    <w:rsid w:val="00A2179F"/>
    <w:rsid w:val="00A22B3A"/>
    <w:rsid w:val="00A232E0"/>
    <w:rsid w:val="00A24AA4"/>
    <w:rsid w:val="00A25A07"/>
    <w:rsid w:val="00A2628E"/>
    <w:rsid w:val="00A26E9B"/>
    <w:rsid w:val="00A27D39"/>
    <w:rsid w:val="00A27D75"/>
    <w:rsid w:val="00A27E5E"/>
    <w:rsid w:val="00A31D13"/>
    <w:rsid w:val="00A32526"/>
    <w:rsid w:val="00A330F2"/>
    <w:rsid w:val="00A332BC"/>
    <w:rsid w:val="00A3342F"/>
    <w:rsid w:val="00A35DE2"/>
    <w:rsid w:val="00A36F7E"/>
    <w:rsid w:val="00A37CFE"/>
    <w:rsid w:val="00A4048E"/>
    <w:rsid w:val="00A40575"/>
    <w:rsid w:val="00A422E7"/>
    <w:rsid w:val="00A42D4E"/>
    <w:rsid w:val="00A43511"/>
    <w:rsid w:val="00A444B1"/>
    <w:rsid w:val="00A44A41"/>
    <w:rsid w:val="00A46158"/>
    <w:rsid w:val="00A47E9A"/>
    <w:rsid w:val="00A50D47"/>
    <w:rsid w:val="00A51A7F"/>
    <w:rsid w:val="00A54710"/>
    <w:rsid w:val="00A54ED5"/>
    <w:rsid w:val="00A55A24"/>
    <w:rsid w:val="00A57665"/>
    <w:rsid w:val="00A60BBC"/>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2464"/>
    <w:rsid w:val="00AB3C29"/>
    <w:rsid w:val="00AB5229"/>
    <w:rsid w:val="00AB5D12"/>
    <w:rsid w:val="00AB6103"/>
    <w:rsid w:val="00AB6283"/>
    <w:rsid w:val="00AB69B2"/>
    <w:rsid w:val="00AB7794"/>
    <w:rsid w:val="00AC03B4"/>
    <w:rsid w:val="00AC0752"/>
    <w:rsid w:val="00AC09FC"/>
    <w:rsid w:val="00AC108C"/>
    <w:rsid w:val="00AC1347"/>
    <w:rsid w:val="00AC1EC3"/>
    <w:rsid w:val="00AC27D4"/>
    <w:rsid w:val="00AC33D2"/>
    <w:rsid w:val="00AC3B87"/>
    <w:rsid w:val="00AC51B8"/>
    <w:rsid w:val="00AC564B"/>
    <w:rsid w:val="00AC639A"/>
    <w:rsid w:val="00AC74CF"/>
    <w:rsid w:val="00AD0A2E"/>
    <w:rsid w:val="00AD28BB"/>
    <w:rsid w:val="00AD4824"/>
    <w:rsid w:val="00AD5C22"/>
    <w:rsid w:val="00AD6414"/>
    <w:rsid w:val="00AD7FAD"/>
    <w:rsid w:val="00AE045E"/>
    <w:rsid w:val="00AE053C"/>
    <w:rsid w:val="00AE295B"/>
    <w:rsid w:val="00AE414F"/>
    <w:rsid w:val="00AE5261"/>
    <w:rsid w:val="00AE6450"/>
    <w:rsid w:val="00AE679C"/>
    <w:rsid w:val="00AF0815"/>
    <w:rsid w:val="00AF2227"/>
    <w:rsid w:val="00AF4BD8"/>
    <w:rsid w:val="00AF4C0B"/>
    <w:rsid w:val="00AF58FF"/>
    <w:rsid w:val="00AF5E71"/>
    <w:rsid w:val="00AF6404"/>
    <w:rsid w:val="00B0227F"/>
    <w:rsid w:val="00B02FFF"/>
    <w:rsid w:val="00B03B5C"/>
    <w:rsid w:val="00B04CD7"/>
    <w:rsid w:val="00B0526E"/>
    <w:rsid w:val="00B07E91"/>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726A"/>
    <w:rsid w:val="00B40C8B"/>
    <w:rsid w:val="00B40ED7"/>
    <w:rsid w:val="00B41238"/>
    <w:rsid w:val="00B416F4"/>
    <w:rsid w:val="00B417B4"/>
    <w:rsid w:val="00B42519"/>
    <w:rsid w:val="00B4281A"/>
    <w:rsid w:val="00B443EF"/>
    <w:rsid w:val="00B44667"/>
    <w:rsid w:val="00B44871"/>
    <w:rsid w:val="00B45637"/>
    <w:rsid w:val="00B4667C"/>
    <w:rsid w:val="00B47358"/>
    <w:rsid w:val="00B50E51"/>
    <w:rsid w:val="00B51AF6"/>
    <w:rsid w:val="00B5246F"/>
    <w:rsid w:val="00B524B3"/>
    <w:rsid w:val="00B524CD"/>
    <w:rsid w:val="00B579A1"/>
    <w:rsid w:val="00B6083C"/>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E0210"/>
    <w:rsid w:val="00BE07EB"/>
    <w:rsid w:val="00BE199C"/>
    <w:rsid w:val="00BE28FF"/>
    <w:rsid w:val="00BE40D8"/>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047"/>
    <w:rsid w:val="00C11FA9"/>
    <w:rsid w:val="00C17ED7"/>
    <w:rsid w:val="00C20EEF"/>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5226"/>
    <w:rsid w:val="00C45A37"/>
    <w:rsid w:val="00C45AC0"/>
    <w:rsid w:val="00C46006"/>
    <w:rsid w:val="00C461B6"/>
    <w:rsid w:val="00C50009"/>
    <w:rsid w:val="00C5015F"/>
    <w:rsid w:val="00C50C30"/>
    <w:rsid w:val="00C50E04"/>
    <w:rsid w:val="00C524E7"/>
    <w:rsid w:val="00C5298F"/>
    <w:rsid w:val="00C52D77"/>
    <w:rsid w:val="00C53023"/>
    <w:rsid w:val="00C555A7"/>
    <w:rsid w:val="00C55C9D"/>
    <w:rsid w:val="00C57624"/>
    <w:rsid w:val="00C57AA7"/>
    <w:rsid w:val="00C61167"/>
    <w:rsid w:val="00C615ED"/>
    <w:rsid w:val="00C62B35"/>
    <w:rsid w:val="00C667DC"/>
    <w:rsid w:val="00C6697D"/>
    <w:rsid w:val="00C675A5"/>
    <w:rsid w:val="00C67D2C"/>
    <w:rsid w:val="00C7053E"/>
    <w:rsid w:val="00C70CF3"/>
    <w:rsid w:val="00C72082"/>
    <w:rsid w:val="00C7276D"/>
    <w:rsid w:val="00C733E2"/>
    <w:rsid w:val="00C74054"/>
    <w:rsid w:val="00C75D8D"/>
    <w:rsid w:val="00C7630D"/>
    <w:rsid w:val="00C7660C"/>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A002C"/>
    <w:rsid w:val="00CA01D6"/>
    <w:rsid w:val="00CA0C4D"/>
    <w:rsid w:val="00CA182B"/>
    <w:rsid w:val="00CA1917"/>
    <w:rsid w:val="00CA1CF7"/>
    <w:rsid w:val="00CA2C6F"/>
    <w:rsid w:val="00CA3AD6"/>
    <w:rsid w:val="00CA43E2"/>
    <w:rsid w:val="00CA58A2"/>
    <w:rsid w:val="00CA58E8"/>
    <w:rsid w:val="00CA7E4F"/>
    <w:rsid w:val="00CB2316"/>
    <w:rsid w:val="00CB3613"/>
    <w:rsid w:val="00CB43B0"/>
    <w:rsid w:val="00CC01AE"/>
    <w:rsid w:val="00CC0FE7"/>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3F95"/>
    <w:rsid w:val="00CD4CAD"/>
    <w:rsid w:val="00CD5021"/>
    <w:rsid w:val="00CD6DF1"/>
    <w:rsid w:val="00CE078B"/>
    <w:rsid w:val="00CE2177"/>
    <w:rsid w:val="00CE2B3D"/>
    <w:rsid w:val="00CE3C8B"/>
    <w:rsid w:val="00CE4500"/>
    <w:rsid w:val="00CE68D2"/>
    <w:rsid w:val="00CE7EFD"/>
    <w:rsid w:val="00CF08B4"/>
    <w:rsid w:val="00CF0A4F"/>
    <w:rsid w:val="00CF1B8D"/>
    <w:rsid w:val="00CF3D5E"/>
    <w:rsid w:val="00CF4A10"/>
    <w:rsid w:val="00CF72AE"/>
    <w:rsid w:val="00CF758D"/>
    <w:rsid w:val="00D0031E"/>
    <w:rsid w:val="00D00D84"/>
    <w:rsid w:val="00D015FD"/>
    <w:rsid w:val="00D021DA"/>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155B0"/>
    <w:rsid w:val="00D21652"/>
    <w:rsid w:val="00D21B7D"/>
    <w:rsid w:val="00D223C8"/>
    <w:rsid w:val="00D225BD"/>
    <w:rsid w:val="00D25104"/>
    <w:rsid w:val="00D25A2A"/>
    <w:rsid w:val="00D25E7E"/>
    <w:rsid w:val="00D26521"/>
    <w:rsid w:val="00D269D1"/>
    <w:rsid w:val="00D26FEA"/>
    <w:rsid w:val="00D271A6"/>
    <w:rsid w:val="00D27410"/>
    <w:rsid w:val="00D27715"/>
    <w:rsid w:val="00D30222"/>
    <w:rsid w:val="00D31BC8"/>
    <w:rsid w:val="00D32277"/>
    <w:rsid w:val="00D32471"/>
    <w:rsid w:val="00D3301C"/>
    <w:rsid w:val="00D335F7"/>
    <w:rsid w:val="00D35353"/>
    <w:rsid w:val="00D357EC"/>
    <w:rsid w:val="00D3589C"/>
    <w:rsid w:val="00D35C28"/>
    <w:rsid w:val="00D35E2D"/>
    <w:rsid w:val="00D35FA2"/>
    <w:rsid w:val="00D37F4C"/>
    <w:rsid w:val="00D40245"/>
    <w:rsid w:val="00D410EB"/>
    <w:rsid w:val="00D41A77"/>
    <w:rsid w:val="00D42C55"/>
    <w:rsid w:val="00D44D0B"/>
    <w:rsid w:val="00D453D6"/>
    <w:rsid w:val="00D46E82"/>
    <w:rsid w:val="00D50AA7"/>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7076A"/>
    <w:rsid w:val="00D72173"/>
    <w:rsid w:val="00D747F6"/>
    <w:rsid w:val="00D75CB5"/>
    <w:rsid w:val="00D76F5E"/>
    <w:rsid w:val="00D80287"/>
    <w:rsid w:val="00D8106C"/>
    <w:rsid w:val="00D81E0E"/>
    <w:rsid w:val="00D82782"/>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D6421"/>
    <w:rsid w:val="00DE040F"/>
    <w:rsid w:val="00DE1BB6"/>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633D"/>
    <w:rsid w:val="00E26F96"/>
    <w:rsid w:val="00E30F1F"/>
    <w:rsid w:val="00E31A16"/>
    <w:rsid w:val="00E32023"/>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740D"/>
    <w:rsid w:val="00E77299"/>
    <w:rsid w:val="00E80485"/>
    <w:rsid w:val="00E81D57"/>
    <w:rsid w:val="00E81D81"/>
    <w:rsid w:val="00E82007"/>
    <w:rsid w:val="00E82056"/>
    <w:rsid w:val="00E82181"/>
    <w:rsid w:val="00E83286"/>
    <w:rsid w:val="00E842DC"/>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2F07"/>
    <w:rsid w:val="00ED3466"/>
    <w:rsid w:val="00ED35A1"/>
    <w:rsid w:val="00ED7C2B"/>
    <w:rsid w:val="00EE005E"/>
    <w:rsid w:val="00EE045B"/>
    <w:rsid w:val="00EE0AC8"/>
    <w:rsid w:val="00EE1123"/>
    <w:rsid w:val="00EE16B7"/>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20CC"/>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918"/>
    <w:rsid w:val="00FD7B37"/>
    <w:rsid w:val="00FE0ED0"/>
    <w:rsid w:val="00FE14AF"/>
    <w:rsid w:val="00FE2A44"/>
    <w:rsid w:val="00FE2CBE"/>
    <w:rsid w:val="00FE3AB7"/>
    <w:rsid w:val="00FE4C19"/>
    <w:rsid w:val="00FE55CF"/>
    <w:rsid w:val="00FE5F32"/>
    <w:rsid w:val="00FE70A2"/>
    <w:rsid w:val="00FE7BF6"/>
    <w:rsid w:val="00FF0069"/>
    <w:rsid w:val="00FF0B77"/>
    <w:rsid w:val="00FF1B67"/>
    <w:rsid w:val="00FF2320"/>
    <w:rsid w:val="00FF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719C-3653-48F2-B2BA-0915DBEB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9195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28</cp:revision>
  <cp:lastPrinted>2012-05-10T13:07:00Z</cp:lastPrinted>
  <dcterms:created xsi:type="dcterms:W3CDTF">2014-02-06T16:07:00Z</dcterms:created>
  <dcterms:modified xsi:type="dcterms:W3CDTF">2014-02-10T15:47:00Z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