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03" w:rsidRPr="007A69C8" w:rsidRDefault="00916F59" w:rsidP="00592037">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45.5pt;margin-top:-16.5pt;width:296pt;height:222pt;z-index:251657728">
            <v:imagedata r:id="rId8" o:title="SMPG2"/>
            <w10:wrap type="topAndBottom"/>
          </v:shape>
        </w:pict>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652BA8" w:rsidP="00592037">
      <w:pPr>
        <w:pStyle w:val="Header"/>
        <w:rPr>
          <w:lang w:val="en-GB"/>
        </w:rPr>
      </w:pPr>
      <w:r>
        <w:rPr>
          <w:lang w:val="en-GB"/>
        </w:rPr>
        <w:t>Telephone Conference</w:t>
      </w:r>
      <w:r w:rsidR="0057492E">
        <w:rPr>
          <w:lang w:val="en-GB"/>
        </w:rPr>
        <w:t xml:space="preserve"> </w:t>
      </w:r>
      <w:r>
        <w:rPr>
          <w:lang w:val="en-GB"/>
        </w:rPr>
        <w:t>Minutes</w:t>
      </w:r>
    </w:p>
    <w:p w:rsidR="00AB6103" w:rsidRPr="007A69C8" w:rsidRDefault="00D05845" w:rsidP="00592037">
      <w:pPr>
        <w:pStyle w:val="Header"/>
        <w:rPr>
          <w:lang w:val="en-GB"/>
        </w:rPr>
      </w:pPr>
      <w:r>
        <w:rPr>
          <w:lang w:val="en-GB"/>
        </w:rPr>
        <w:t>27</w:t>
      </w:r>
      <w:r w:rsidR="00652BA8">
        <w:rPr>
          <w:lang w:val="en-GB"/>
        </w:rPr>
        <w:t xml:space="preserve"> </w:t>
      </w:r>
      <w:r>
        <w:rPr>
          <w:lang w:val="en-GB"/>
        </w:rPr>
        <w:t>June</w:t>
      </w:r>
      <w:r w:rsidR="00B20795">
        <w:rPr>
          <w:lang w:val="en-GB"/>
        </w:rPr>
        <w:t xml:space="preserve"> 201</w:t>
      </w:r>
      <w:r w:rsidR="00567EB8">
        <w:rPr>
          <w:lang w:val="en-GB"/>
        </w:rPr>
        <w:t>2</w:t>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57492E" w:rsidRDefault="007A08A5" w:rsidP="00141100">
      <w:pPr>
        <w:tabs>
          <w:tab w:val="left" w:pos="3690"/>
        </w:tabs>
        <w:rPr>
          <w:lang w:val="en-GB"/>
        </w:rPr>
        <w:sectPr w:rsidR="00AB6103" w:rsidRPr="0057492E">
          <w:footerReference w:type="even" r:id="rId9"/>
          <w:footerReference w:type="default" r:id="rId10"/>
          <w:pgSz w:w="12240" w:h="15840"/>
          <w:pgMar w:top="1106" w:right="1800" w:bottom="1440" w:left="1800" w:header="720" w:footer="720" w:gutter="0"/>
          <w:cols w:space="720"/>
          <w:docGrid w:linePitch="360"/>
        </w:sectPr>
      </w:pPr>
      <w:bookmarkStart w:id="0" w:name="_Toc54501830"/>
      <w:r>
        <w:rPr>
          <w:lang w:val="en-GB"/>
        </w:rPr>
        <w:t>Draft</w:t>
      </w:r>
      <w:r w:rsidR="00BB670F">
        <w:rPr>
          <w:lang w:val="en-GB"/>
        </w:rPr>
        <w:t xml:space="preserve"> Version</w:t>
      </w:r>
      <w:r w:rsidR="00BB670F" w:rsidRPr="0057492E">
        <w:rPr>
          <w:lang w:val="en-GB"/>
        </w:rPr>
        <w:t xml:space="preserve">  </w:t>
      </w:r>
      <w:r w:rsidR="0076568D" w:rsidRPr="0057492E">
        <w:rPr>
          <w:lang w:val="en-GB"/>
        </w:rPr>
        <w:t>v</w:t>
      </w:r>
      <w:r w:rsidR="00CF6406">
        <w:rPr>
          <w:lang w:val="en-GB"/>
        </w:rPr>
        <w:t>0.1</w:t>
      </w:r>
      <w:r w:rsidR="008179FB">
        <w:rPr>
          <w:lang w:val="en-GB"/>
        </w:rPr>
        <w:t xml:space="preserve"> –</w:t>
      </w:r>
      <w:r w:rsidR="0004321D">
        <w:rPr>
          <w:lang w:val="en-GB"/>
        </w:rPr>
        <w:t xml:space="preserve"> </w:t>
      </w:r>
      <w:r w:rsidR="006E598E">
        <w:rPr>
          <w:lang w:val="en-GB"/>
        </w:rPr>
        <w:t>July 16</w:t>
      </w:r>
      <w:r w:rsidR="00567EB8">
        <w:rPr>
          <w:lang w:val="en-GB"/>
        </w:rPr>
        <w:t>, 2012</w:t>
      </w:r>
    </w:p>
    <w:p w:rsidR="00AB6103" w:rsidRPr="007A69C8" w:rsidRDefault="00E81D81" w:rsidP="00592037">
      <w:pPr>
        <w:pStyle w:val="Title1"/>
      </w:pPr>
      <w:r>
        <w:lastRenderedPageBreak/>
        <w:t>Table of Contents</w:t>
      </w:r>
    </w:p>
    <w:p w:rsidR="001C0DE2" w:rsidRDefault="00916F59">
      <w:pPr>
        <w:pStyle w:val="TOC1"/>
        <w:rPr>
          <w:rFonts w:asciiTheme="minorHAnsi" w:eastAsiaTheme="minorEastAsia" w:hAnsiTheme="minorHAnsi" w:cstheme="minorBidi"/>
          <w:b w:val="0"/>
          <w:bCs w:val="0"/>
          <w:sz w:val="22"/>
          <w:szCs w:val="22"/>
          <w:lang w:val="en-GB" w:eastAsia="en-GB"/>
        </w:rPr>
      </w:pPr>
      <w:r w:rsidRPr="00916F59">
        <w:fldChar w:fldCharType="begin"/>
      </w:r>
      <w:r w:rsidR="00C26716">
        <w:instrText xml:space="preserve"> TOC \o "1-3" \h \z \u </w:instrText>
      </w:r>
      <w:r w:rsidRPr="00916F59">
        <w:fldChar w:fldCharType="separate"/>
      </w:r>
      <w:hyperlink w:anchor="_Toc330222654" w:history="1">
        <w:r w:rsidR="001C0DE2" w:rsidRPr="009E5439">
          <w:rPr>
            <w:rStyle w:val="Hyperlink"/>
          </w:rPr>
          <w:t>1.</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Approval of May 23 Conf Call</w:t>
        </w:r>
        <w:r w:rsidR="001C0DE2">
          <w:rPr>
            <w:webHidden/>
          </w:rPr>
          <w:tab/>
        </w:r>
        <w:r>
          <w:rPr>
            <w:webHidden/>
          </w:rPr>
          <w:fldChar w:fldCharType="begin"/>
        </w:r>
        <w:r w:rsidR="001C0DE2">
          <w:rPr>
            <w:webHidden/>
          </w:rPr>
          <w:instrText xml:space="preserve"> PAGEREF _Toc330222654 \h </w:instrText>
        </w:r>
        <w:r>
          <w:rPr>
            <w:webHidden/>
          </w:rPr>
        </w:r>
        <w:r>
          <w:rPr>
            <w:webHidden/>
          </w:rPr>
          <w:fldChar w:fldCharType="separate"/>
        </w:r>
        <w:r w:rsidR="001C0DE2">
          <w:rPr>
            <w:webHidden/>
          </w:rPr>
          <w:t>4</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55" w:history="1">
        <w:r w:rsidR="001C0DE2" w:rsidRPr="009E5439">
          <w:rPr>
            <w:rStyle w:val="Hyperlink"/>
          </w:rPr>
          <w:t>2.</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Conf Call schedule</w:t>
        </w:r>
        <w:r w:rsidR="001C0DE2">
          <w:rPr>
            <w:webHidden/>
          </w:rPr>
          <w:tab/>
        </w:r>
        <w:r>
          <w:rPr>
            <w:webHidden/>
          </w:rPr>
          <w:fldChar w:fldCharType="begin"/>
        </w:r>
        <w:r w:rsidR="001C0DE2">
          <w:rPr>
            <w:webHidden/>
          </w:rPr>
          <w:instrText xml:space="preserve"> PAGEREF _Toc330222655 \h </w:instrText>
        </w:r>
        <w:r>
          <w:rPr>
            <w:webHidden/>
          </w:rPr>
        </w:r>
        <w:r>
          <w:rPr>
            <w:webHidden/>
          </w:rPr>
          <w:fldChar w:fldCharType="separate"/>
        </w:r>
        <w:r w:rsidR="001C0DE2">
          <w:rPr>
            <w:webHidden/>
          </w:rPr>
          <w:t>4</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56" w:history="1">
        <w:r w:rsidR="001C0DE2" w:rsidRPr="009E5439">
          <w:rPr>
            <w:rStyle w:val="Hyperlink"/>
          </w:rPr>
          <w:t>3.</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CA 203 – EIG+ &amp; Template Updates (review &amp; follow up NMPG inputs)</w:t>
        </w:r>
        <w:r w:rsidR="001C0DE2">
          <w:rPr>
            <w:webHidden/>
          </w:rPr>
          <w:tab/>
        </w:r>
        <w:r>
          <w:rPr>
            <w:webHidden/>
          </w:rPr>
          <w:fldChar w:fldCharType="begin"/>
        </w:r>
        <w:r w:rsidR="001C0DE2">
          <w:rPr>
            <w:webHidden/>
          </w:rPr>
          <w:instrText xml:space="preserve"> PAGEREF _Toc330222656 \h </w:instrText>
        </w:r>
        <w:r>
          <w:rPr>
            <w:webHidden/>
          </w:rPr>
        </w:r>
        <w:r>
          <w:rPr>
            <w:webHidden/>
          </w:rPr>
          <w:fldChar w:fldCharType="separate"/>
        </w:r>
        <w:r w:rsidR="001C0DE2">
          <w:rPr>
            <w:webHidden/>
          </w:rPr>
          <w:t>4</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57" w:history="1">
        <w:r w:rsidR="001C0DE2" w:rsidRPr="009E5439">
          <w:rPr>
            <w:rStyle w:val="Hyperlink"/>
          </w:rPr>
          <w:t>4.</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CA 167 – Consent Events /+ Schemes - Clarify business flows</w:t>
        </w:r>
        <w:r w:rsidR="001C0DE2">
          <w:rPr>
            <w:webHidden/>
          </w:rPr>
          <w:tab/>
        </w:r>
        <w:r>
          <w:rPr>
            <w:webHidden/>
          </w:rPr>
          <w:fldChar w:fldCharType="begin"/>
        </w:r>
        <w:r w:rsidR="001C0DE2">
          <w:rPr>
            <w:webHidden/>
          </w:rPr>
          <w:instrText xml:space="preserve"> PAGEREF _Toc330222657 \h </w:instrText>
        </w:r>
        <w:r>
          <w:rPr>
            <w:webHidden/>
          </w:rPr>
        </w:r>
        <w:r>
          <w:rPr>
            <w:webHidden/>
          </w:rPr>
          <w:fldChar w:fldCharType="separate"/>
        </w:r>
        <w:r w:rsidR="001C0DE2">
          <w:rPr>
            <w:webHidden/>
          </w:rPr>
          <w:t>4</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58" w:history="1">
        <w:r w:rsidR="001C0DE2" w:rsidRPr="009E5439">
          <w:rPr>
            <w:rStyle w:val="Hyperlink"/>
          </w:rPr>
          <w:t>5.</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CA 202 – Funds related Issue</w:t>
        </w:r>
        <w:r w:rsidR="001C0DE2">
          <w:rPr>
            <w:webHidden/>
          </w:rPr>
          <w:tab/>
        </w:r>
        <w:r>
          <w:rPr>
            <w:webHidden/>
          </w:rPr>
          <w:fldChar w:fldCharType="begin"/>
        </w:r>
        <w:r w:rsidR="001C0DE2">
          <w:rPr>
            <w:webHidden/>
          </w:rPr>
          <w:instrText xml:space="preserve"> PAGEREF _Toc330222658 \h </w:instrText>
        </w:r>
        <w:r>
          <w:rPr>
            <w:webHidden/>
          </w:rPr>
        </w:r>
        <w:r>
          <w:rPr>
            <w:webHidden/>
          </w:rPr>
          <w:fldChar w:fldCharType="separate"/>
        </w:r>
        <w:r w:rsidR="001C0DE2">
          <w:rPr>
            <w:webHidden/>
          </w:rPr>
          <w:t>5</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59" w:history="1">
        <w:r w:rsidR="001C0DE2" w:rsidRPr="009E5439">
          <w:rPr>
            <w:rStyle w:val="Hyperlink"/>
          </w:rPr>
          <w:t>6.</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CA 224 - MT 56X - New Event Type INFO &amp; &amp; PROC//INFO Indicator</w:t>
        </w:r>
        <w:r w:rsidR="001C0DE2">
          <w:rPr>
            <w:webHidden/>
          </w:rPr>
          <w:tab/>
        </w:r>
        <w:r>
          <w:rPr>
            <w:webHidden/>
          </w:rPr>
          <w:fldChar w:fldCharType="begin"/>
        </w:r>
        <w:r w:rsidR="001C0DE2">
          <w:rPr>
            <w:webHidden/>
          </w:rPr>
          <w:instrText xml:space="preserve"> PAGEREF _Toc330222659 \h </w:instrText>
        </w:r>
        <w:r>
          <w:rPr>
            <w:webHidden/>
          </w:rPr>
        </w:r>
        <w:r>
          <w:rPr>
            <w:webHidden/>
          </w:rPr>
          <w:fldChar w:fldCharType="separate"/>
        </w:r>
        <w:r w:rsidR="001C0DE2">
          <w:rPr>
            <w:webHidden/>
          </w:rPr>
          <w:t>5</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60" w:history="1">
        <w:r w:rsidR="001C0DE2" w:rsidRPr="009E5439">
          <w:rPr>
            <w:rStyle w:val="Hyperlink"/>
          </w:rPr>
          <w:t>7.</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CA 225 – MT 565 - Add Option Features, Rates and Narrative (NMPG Feedback)</w:t>
        </w:r>
        <w:r w:rsidR="001C0DE2">
          <w:rPr>
            <w:webHidden/>
          </w:rPr>
          <w:tab/>
        </w:r>
        <w:r>
          <w:rPr>
            <w:webHidden/>
          </w:rPr>
          <w:fldChar w:fldCharType="begin"/>
        </w:r>
        <w:r w:rsidR="001C0DE2">
          <w:rPr>
            <w:webHidden/>
          </w:rPr>
          <w:instrText xml:space="preserve"> PAGEREF _Toc330222660 \h </w:instrText>
        </w:r>
        <w:r>
          <w:rPr>
            <w:webHidden/>
          </w:rPr>
        </w:r>
        <w:r>
          <w:rPr>
            <w:webHidden/>
          </w:rPr>
          <w:fldChar w:fldCharType="separate"/>
        </w:r>
        <w:r w:rsidR="001C0DE2">
          <w:rPr>
            <w:webHidden/>
          </w:rPr>
          <w:t>5</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61" w:history="1">
        <w:r w:rsidR="001C0DE2" w:rsidRPr="009E5439">
          <w:rPr>
            <w:rStyle w:val="Hyperlink"/>
          </w:rPr>
          <w:t>8.</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CA 226 – Disclosure (DSCL) event  - Clarify Usage / MP</w:t>
        </w:r>
        <w:r w:rsidR="001C0DE2">
          <w:rPr>
            <w:webHidden/>
          </w:rPr>
          <w:tab/>
        </w:r>
        <w:r>
          <w:rPr>
            <w:webHidden/>
          </w:rPr>
          <w:fldChar w:fldCharType="begin"/>
        </w:r>
        <w:r w:rsidR="001C0DE2">
          <w:rPr>
            <w:webHidden/>
          </w:rPr>
          <w:instrText xml:space="preserve"> PAGEREF _Toc330222661 \h </w:instrText>
        </w:r>
        <w:r>
          <w:rPr>
            <w:webHidden/>
          </w:rPr>
        </w:r>
        <w:r>
          <w:rPr>
            <w:webHidden/>
          </w:rPr>
          <w:fldChar w:fldCharType="separate"/>
        </w:r>
        <w:r w:rsidR="001C0DE2">
          <w:rPr>
            <w:webHidden/>
          </w:rPr>
          <w:t>6</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62" w:history="1">
        <w:r w:rsidR="001C0DE2" w:rsidRPr="009E5439">
          <w:rPr>
            <w:rStyle w:val="Hyperlink"/>
          </w:rPr>
          <w:t>9.</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CA 232 – Pagination MP</w:t>
        </w:r>
        <w:r w:rsidR="001C0DE2">
          <w:rPr>
            <w:webHidden/>
          </w:rPr>
          <w:tab/>
        </w:r>
        <w:r>
          <w:rPr>
            <w:webHidden/>
          </w:rPr>
          <w:fldChar w:fldCharType="begin"/>
        </w:r>
        <w:r w:rsidR="001C0DE2">
          <w:rPr>
            <w:webHidden/>
          </w:rPr>
          <w:instrText xml:space="preserve"> PAGEREF _Toc330222662 \h </w:instrText>
        </w:r>
        <w:r>
          <w:rPr>
            <w:webHidden/>
          </w:rPr>
        </w:r>
        <w:r>
          <w:rPr>
            <w:webHidden/>
          </w:rPr>
          <w:fldChar w:fldCharType="separate"/>
        </w:r>
        <w:r w:rsidR="001C0DE2">
          <w:rPr>
            <w:webHidden/>
          </w:rPr>
          <w:t>6</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63" w:history="1">
        <w:r w:rsidR="001C0DE2" w:rsidRPr="009E5439">
          <w:rPr>
            <w:rStyle w:val="Hyperlink"/>
          </w:rPr>
          <w:t>10.</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CA 234 –Unknown Proceeds (PRUN) and Option Applicability (CAOS)</w:t>
        </w:r>
        <w:r w:rsidR="001C0DE2">
          <w:rPr>
            <w:webHidden/>
          </w:rPr>
          <w:tab/>
        </w:r>
        <w:r>
          <w:rPr>
            <w:webHidden/>
          </w:rPr>
          <w:fldChar w:fldCharType="begin"/>
        </w:r>
        <w:r w:rsidR="001C0DE2">
          <w:rPr>
            <w:webHidden/>
          </w:rPr>
          <w:instrText xml:space="preserve"> PAGEREF _Toc330222663 \h </w:instrText>
        </w:r>
        <w:r>
          <w:rPr>
            <w:webHidden/>
          </w:rPr>
        </w:r>
        <w:r>
          <w:rPr>
            <w:webHidden/>
          </w:rPr>
          <w:fldChar w:fldCharType="separate"/>
        </w:r>
        <w:r w:rsidR="001C0DE2">
          <w:rPr>
            <w:webHidden/>
          </w:rPr>
          <w:t>6</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64" w:history="1">
        <w:r w:rsidR="001C0DE2" w:rsidRPr="009E5439">
          <w:rPr>
            <w:rStyle w:val="Hyperlink"/>
          </w:rPr>
          <w:t>11.</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CA 235 – Third Party Offer (“Junk offers”) vs. a Regular Tender Offer</w:t>
        </w:r>
        <w:r w:rsidR="001C0DE2">
          <w:rPr>
            <w:webHidden/>
          </w:rPr>
          <w:tab/>
        </w:r>
        <w:r>
          <w:rPr>
            <w:webHidden/>
          </w:rPr>
          <w:fldChar w:fldCharType="begin"/>
        </w:r>
        <w:r w:rsidR="001C0DE2">
          <w:rPr>
            <w:webHidden/>
          </w:rPr>
          <w:instrText xml:space="preserve"> PAGEREF _Toc330222664 \h </w:instrText>
        </w:r>
        <w:r>
          <w:rPr>
            <w:webHidden/>
          </w:rPr>
        </w:r>
        <w:r>
          <w:rPr>
            <w:webHidden/>
          </w:rPr>
          <w:fldChar w:fldCharType="separate"/>
        </w:r>
        <w:r w:rsidR="001C0DE2">
          <w:rPr>
            <w:webHidden/>
          </w:rPr>
          <w:t>6</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65" w:history="1">
        <w:r w:rsidR="001C0DE2" w:rsidRPr="009E5439">
          <w:rPr>
            <w:rStyle w:val="Hyperlink"/>
          </w:rPr>
          <w:t>12.</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CA 238 – Reporting of Bond Holder Meeting in ISO 15022/20022</w:t>
        </w:r>
        <w:r w:rsidR="001C0DE2">
          <w:rPr>
            <w:webHidden/>
          </w:rPr>
          <w:tab/>
        </w:r>
        <w:r>
          <w:rPr>
            <w:webHidden/>
          </w:rPr>
          <w:fldChar w:fldCharType="begin"/>
        </w:r>
        <w:r w:rsidR="001C0DE2">
          <w:rPr>
            <w:webHidden/>
          </w:rPr>
          <w:instrText xml:space="preserve"> PAGEREF _Toc330222665 \h </w:instrText>
        </w:r>
        <w:r>
          <w:rPr>
            <w:webHidden/>
          </w:rPr>
        </w:r>
        <w:r>
          <w:rPr>
            <w:webHidden/>
          </w:rPr>
          <w:fldChar w:fldCharType="separate"/>
        </w:r>
        <w:r w:rsidR="001C0DE2">
          <w:rPr>
            <w:webHidden/>
          </w:rPr>
          <w:t>7</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66" w:history="1">
        <w:r w:rsidR="001C0DE2" w:rsidRPr="009E5439">
          <w:rPr>
            <w:rStyle w:val="Hyperlink"/>
          </w:rPr>
          <w:t>13.</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Tax subgroup update</w:t>
        </w:r>
        <w:r w:rsidR="001C0DE2">
          <w:rPr>
            <w:webHidden/>
          </w:rPr>
          <w:tab/>
        </w:r>
        <w:r>
          <w:rPr>
            <w:webHidden/>
          </w:rPr>
          <w:fldChar w:fldCharType="begin"/>
        </w:r>
        <w:r w:rsidR="001C0DE2">
          <w:rPr>
            <w:webHidden/>
          </w:rPr>
          <w:instrText xml:space="preserve"> PAGEREF _Toc330222666 \h </w:instrText>
        </w:r>
        <w:r>
          <w:rPr>
            <w:webHidden/>
          </w:rPr>
        </w:r>
        <w:r>
          <w:rPr>
            <w:webHidden/>
          </w:rPr>
          <w:fldChar w:fldCharType="separate"/>
        </w:r>
        <w:r w:rsidR="001C0DE2">
          <w:rPr>
            <w:webHidden/>
          </w:rPr>
          <w:t>7</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67" w:history="1">
        <w:r w:rsidR="001C0DE2" w:rsidRPr="009E5439">
          <w:rPr>
            <w:rStyle w:val="Hyperlink"/>
          </w:rPr>
          <w:t>14.</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PV subgroup update</w:t>
        </w:r>
        <w:r w:rsidR="001C0DE2">
          <w:rPr>
            <w:webHidden/>
          </w:rPr>
          <w:tab/>
        </w:r>
        <w:r>
          <w:rPr>
            <w:webHidden/>
          </w:rPr>
          <w:fldChar w:fldCharType="begin"/>
        </w:r>
        <w:r w:rsidR="001C0DE2">
          <w:rPr>
            <w:webHidden/>
          </w:rPr>
          <w:instrText xml:space="preserve"> PAGEREF _Toc330222667 \h </w:instrText>
        </w:r>
        <w:r>
          <w:rPr>
            <w:webHidden/>
          </w:rPr>
        </w:r>
        <w:r>
          <w:rPr>
            <w:webHidden/>
          </w:rPr>
          <w:fldChar w:fldCharType="separate"/>
        </w:r>
        <w:r w:rsidR="001C0DE2">
          <w:rPr>
            <w:webHidden/>
          </w:rPr>
          <w:t>7</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68" w:history="1">
        <w:r w:rsidR="001C0DE2" w:rsidRPr="009E5439">
          <w:rPr>
            <w:rStyle w:val="Hyperlink"/>
          </w:rPr>
          <w:t>15.</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AOB</w:t>
        </w:r>
        <w:r w:rsidR="001C0DE2">
          <w:rPr>
            <w:webHidden/>
          </w:rPr>
          <w:tab/>
        </w:r>
        <w:r>
          <w:rPr>
            <w:webHidden/>
          </w:rPr>
          <w:fldChar w:fldCharType="begin"/>
        </w:r>
        <w:r w:rsidR="001C0DE2">
          <w:rPr>
            <w:webHidden/>
          </w:rPr>
          <w:instrText xml:space="preserve"> PAGEREF _Toc330222668 \h </w:instrText>
        </w:r>
        <w:r>
          <w:rPr>
            <w:webHidden/>
          </w:rPr>
        </w:r>
        <w:r>
          <w:rPr>
            <w:webHidden/>
          </w:rPr>
          <w:fldChar w:fldCharType="separate"/>
        </w:r>
        <w:r w:rsidR="001C0DE2">
          <w:rPr>
            <w:webHidden/>
          </w:rPr>
          <w:t>7</w:t>
        </w:r>
        <w:r>
          <w:rPr>
            <w:webHidden/>
          </w:rPr>
          <w:fldChar w:fldCharType="end"/>
        </w:r>
      </w:hyperlink>
    </w:p>
    <w:p w:rsidR="001C0DE2" w:rsidRDefault="00916F59">
      <w:pPr>
        <w:pStyle w:val="TOC1"/>
        <w:rPr>
          <w:rFonts w:asciiTheme="minorHAnsi" w:eastAsiaTheme="minorEastAsia" w:hAnsiTheme="minorHAnsi" w:cstheme="minorBidi"/>
          <w:b w:val="0"/>
          <w:bCs w:val="0"/>
          <w:sz w:val="22"/>
          <w:szCs w:val="22"/>
          <w:lang w:val="en-GB" w:eastAsia="en-GB"/>
        </w:rPr>
      </w:pPr>
      <w:hyperlink w:anchor="_Toc330222669" w:history="1">
        <w:r w:rsidR="001C0DE2" w:rsidRPr="009E5439">
          <w:rPr>
            <w:rStyle w:val="Hyperlink"/>
          </w:rPr>
          <w:t>16.</w:t>
        </w:r>
        <w:r w:rsidR="001C0DE2">
          <w:rPr>
            <w:rFonts w:asciiTheme="minorHAnsi" w:eastAsiaTheme="minorEastAsia" w:hAnsiTheme="minorHAnsi" w:cstheme="minorBidi"/>
            <w:b w:val="0"/>
            <w:bCs w:val="0"/>
            <w:sz w:val="22"/>
            <w:szCs w:val="22"/>
            <w:lang w:val="en-GB" w:eastAsia="en-GB"/>
          </w:rPr>
          <w:tab/>
        </w:r>
        <w:r w:rsidR="001C0DE2" w:rsidRPr="009E5439">
          <w:rPr>
            <w:rStyle w:val="Hyperlink"/>
          </w:rPr>
          <w:t>Next Conference Call</w:t>
        </w:r>
        <w:r w:rsidR="001C0DE2">
          <w:rPr>
            <w:webHidden/>
          </w:rPr>
          <w:tab/>
        </w:r>
        <w:r>
          <w:rPr>
            <w:webHidden/>
          </w:rPr>
          <w:fldChar w:fldCharType="begin"/>
        </w:r>
        <w:r w:rsidR="001C0DE2">
          <w:rPr>
            <w:webHidden/>
          </w:rPr>
          <w:instrText xml:space="preserve"> PAGEREF _Toc330222669 \h </w:instrText>
        </w:r>
        <w:r>
          <w:rPr>
            <w:webHidden/>
          </w:rPr>
        </w:r>
        <w:r>
          <w:rPr>
            <w:webHidden/>
          </w:rPr>
          <w:fldChar w:fldCharType="separate"/>
        </w:r>
        <w:r w:rsidR="001C0DE2">
          <w:rPr>
            <w:webHidden/>
          </w:rPr>
          <w:t>7</w:t>
        </w:r>
        <w:r>
          <w:rPr>
            <w:webHidden/>
          </w:rPr>
          <w:fldChar w:fldCharType="end"/>
        </w:r>
      </w:hyperlink>
    </w:p>
    <w:p w:rsidR="00AB6103" w:rsidRDefault="00916F59" w:rsidP="00D343DB">
      <w:pPr>
        <w:pStyle w:val="Title1"/>
        <w:tabs>
          <w:tab w:val="left" w:pos="450"/>
        </w:tabs>
      </w:pPr>
      <w:r>
        <w:fldChar w:fldCharType="end"/>
      </w:r>
      <w:r w:rsidR="00AB6103" w:rsidRPr="007A69C8">
        <w:br w:type="page"/>
      </w:r>
      <w:bookmarkStart w:id="1" w:name="OLE_LINK1"/>
      <w:bookmarkStart w:id="2" w:name="OLE_LINK2"/>
      <w:r w:rsidR="00AB6103" w:rsidRPr="00C11FA9">
        <w:lastRenderedPageBreak/>
        <w:t>Attendees</w:t>
      </w:r>
      <w:bookmarkEnd w:id="0"/>
    </w:p>
    <w:p w:rsidR="0057492E" w:rsidRDefault="0057492E" w:rsidP="00C26716">
      <w:pPr>
        <w:pStyle w:val="Title1"/>
      </w:pP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766510" w:rsidRPr="007A69C8" w:rsidTr="00107248">
        <w:tc>
          <w:tcPr>
            <w:tcW w:w="622" w:type="pct"/>
            <w:tcBorders>
              <w:top w:val="nil"/>
              <w:left w:val="nil"/>
              <w:bottom w:val="nil"/>
              <w:right w:val="single" w:sz="4" w:space="0" w:color="auto"/>
            </w:tcBorders>
            <w:shd w:val="clear" w:color="auto" w:fill="FFFFFF"/>
          </w:tcPr>
          <w:p w:rsidR="00766510" w:rsidRPr="007A69C8" w:rsidRDefault="00766510" w:rsidP="008C2942">
            <w:pPr>
              <w:spacing w:before="40" w:after="40"/>
              <w:rPr>
                <w:b/>
                <w:sz w:val="22"/>
                <w:lang w:val="en-GB"/>
              </w:rPr>
            </w:pPr>
          </w:p>
        </w:tc>
        <w:tc>
          <w:tcPr>
            <w:tcW w:w="731" w:type="pct"/>
            <w:tcBorders>
              <w:left w:val="single" w:sz="4" w:space="0" w:color="auto"/>
            </w:tcBorders>
            <w:shd w:val="clear" w:color="auto" w:fill="CCCCCC"/>
          </w:tcPr>
          <w:p w:rsidR="00766510" w:rsidRPr="007A69C8" w:rsidRDefault="00766510" w:rsidP="008C2942">
            <w:pPr>
              <w:spacing w:before="40" w:after="40"/>
              <w:rPr>
                <w:b/>
                <w:sz w:val="22"/>
                <w:lang w:val="en-GB"/>
              </w:rPr>
            </w:pPr>
            <w:r w:rsidRPr="007A69C8">
              <w:rPr>
                <w:b/>
                <w:sz w:val="22"/>
                <w:lang w:val="en-GB"/>
              </w:rPr>
              <w:t>Country</w:t>
            </w:r>
          </w:p>
        </w:tc>
        <w:tc>
          <w:tcPr>
            <w:tcW w:w="1088" w:type="pct"/>
            <w:shd w:val="clear" w:color="auto" w:fill="CCCCCC"/>
          </w:tcPr>
          <w:p w:rsidR="00766510" w:rsidRPr="007A69C8" w:rsidRDefault="00766510" w:rsidP="008C2942">
            <w:pPr>
              <w:spacing w:before="40" w:after="40"/>
              <w:rPr>
                <w:b/>
                <w:sz w:val="22"/>
                <w:lang w:val="en-GB"/>
              </w:rPr>
            </w:pPr>
            <w:r>
              <w:rPr>
                <w:b/>
                <w:sz w:val="22"/>
                <w:lang w:val="en-GB"/>
              </w:rPr>
              <w:t>First Name</w:t>
            </w:r>
          </w:p>
        </w:tc>
        <w:tc>
          <w:tcPr>
            <w:tcW w:w="915" w:type="pct"/>
            <w:shd w:val="clear" w:color="auto" w:fill="CCCCCC"/>
          </w:tcPr>
          <w:p w:rsidR="00766510" w:rsidRPr="007A69C8" w:rsidRDefault="00766510" w:rsidP="008C2942">
            <w:pPr>
              <w:spacing w:before="40" w:after="40"/>
              <w:rPr>
                <w:b/>
                <w:sz w:val="22"/>
                <w:lang w:val="en-GB"/>
              </w:rPr>
            </w:pPr>
            <w:r>
              <w:rPr>
                <w:b/>
                <w:sz w:val="22"/>
                <w:lang w:val="en-GB"/>
              </w:rPr>
              <w:t>Last Name</w:t>
            </w:r>
          </w:p>
        </w:tc>
        <w:tc>
          <w:tcPr>
            <w:tcW w:w="1644" w:type="pct"/>
            <w:shd w:val="clear" w:color="auto" w:fill="CCCCCC"/>
          </w:tcPr>
          <w:p w:rsidR="00766510" w:rsidRPr="007A69C8" w:rsidRDefault="00766510" w:rsidP="008C2942">
            <w:pPr>
              <w:spacing w:before="40" w:after="40"/>
              <w:rPr>
                <w:b/>
                <w:sz w:val="22"/>
                <w:lang w:val="en-GB"/>
              </w:rPr>
            </w:pPr>
            <w:r w:rsidRPr="007A69C8">
              <w:rPr>
                <w:b/>
                <w:sz w:val="22"/>
                <w:lang w:val="en-GB"/>
              </w:rPr>
              <w:t>Institution</w:t>
            </w:r>
          </w:p>
        </w:tc>
      </w:tr>
      <w:tr w:rsidR="00173FAC"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173FAC" w:rsidRPr="006B00F0" w:rsidRDefault="00173FAC" w:rsidP="008C2942">
            <w:pPr>
              <w:spacing w:before="40" w:after="40"/>
              <w:jc w:val="right"/>
              <w:rPr>
                <w:sz w:val="22"/>
                <w:highlight w:val="yellow"/>
                <w:lang w:val="en-GB"/>
              </w:rPr>
            </w:pPr>
          </w:p>
        </w:tc>
        <w:tc>
          <w:tcPr>
            <w:tcW w:w="731" w:type="pct"/>
            <w:tcBorders>
              <w:left w:val="single" w:sz="4" w:space="0" w:color="auto"/>
            </w:tcBorders>
            <w:shd w:val="clear" w:color="auto" w:fill="FFFFFF" w:themeFill="background1"/>
          </w:tcPr>
          <w:p w:rsidR="00173FAC" w:rsidRPr="006B00F0" w:rsidRDefault="008A574C" w:rsidP="008C2942">
            <w:pPr>
              <w:spacing w:before="40" w:after="40"/>
              <w:rPr>
                <w:sz w:val="22"/>
                <w:lang w:val="en-GB"/>
              </w:rPr>
            </w:pPr>
            <w:r w:rsidRPr="006B00F0">
              <w:rPr>
                <w:sz w:val="22"/>
                <w:lang w:val="en-GB"/>
              </w:rPr>
              <w:t>CH</w:t>
            </w:r>
          </w:p>
        </w:tc>
        <w:tc>
          <w:tcPr>
            <w:tcW w:w="1088" w:type="pct"/>
            <w:shd w:val="clear" w:color="auto" w:fill="FFFFFF" w:themeFill="background1"/>
          </w:tcPr>
          <w:p w:rsidR="00173FAC" w:rsidRPr="006B00F0" w:rsidRDefault="008A574C" w:rsidP="008C2942">
            <w:pPr>
              <w:spacing w:before="40" w:after="40"/>
              <w:rPr>
                <w:sz w:val="22"/>
                <w:lang w:val="en-GB"/>
              </w:rPr>
            </w:pPr>
            <w:r w:rsidRPr="006B00F0">
              <w:rPr>
                <w:sz w:val="22"/>
                <w:lang w:val="en-GB"/>
              </w:rPr>
              <w:t>Michael</w:t>
            </w:r>
          </w:p>
        </w:tc>
        <w:tc>
          <w:tcPr>
            <w:tcW w:w="915" w:type="pct"/>
            <w:shd w:val="clear" w:color="auto" w:fill="FFFFFF" w:themeFill="background1"/>
          </w:tcPr>
          <w:p w:rsidR="00173FAC" w:rsidRPr="006B00F0" w:rsidRDefault="008A574C" w:rsidP="008C2942">
            <w:pPr>
              <w:spacing w:before="40" w:after="40"/>
              <w:rPr>
                <w:sz w:val="22"/>
                <w:lang w:val="en-GB"/>
              </w:rPr>
            </w:pPr>
            <w:r w:rsidRPr="006B00F0">
              <w:rPr>
                <w:sz w:val="22"/>
                <w:lang w:val="en-GB"/>
              </w:rPr>
              <w:t>Blumer</w:t>
            </w:r>
          </w:p>
        </w:tc>
        <w:tc>
          <w:tcPr>
            <w:tcW w:w="1644" w:type="pct"/>
            <w:shd w:val="clear" w:color="auto" w:fill="FFFFFF" w:themeFill="background1"/>
          </w:tcPr>
          <w:p w:rsidR="00173FAC" w:rsidRPr="006B00F0" w:rsidRDefault="008A574C" w:rsidP="008C2942">
            <w:pPr>
              <w:spacing w:before="40" w:after="40"/>
              <w:rPr>
                <w:sz w:val="22"/>
                <w:lang w:val="en-GB"/>
              </w:rPr>
            </w:pPr>
            <w:r w:rsidRPr="006B00F0">
              <w:rPr>
                <w:sz w:val="22"/>
                <w:lang w:val="en-GB"/>
              </w:rPr>
              <w:t>Credit Suisse</w:t>
            </w:r>
          </w:p>
        </w:tc>
      </w:tr>
      <w:tr w:rsidR="009D3548"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9D3548" w:rsidRPr="006B00F0" w:rsidRDefault="009D3548" w:rsidP="008C2942">
            <w:pPr>
              <w:spacing w:before="40" w:after="40"/>
              <w:jc w:val="right"/>
              <w:rPr>
                <w:sz w:val="22"/>
                <w:highlight w:val="yellow"/>
                <w:lang w:val="en-GB"/>
              </w:rPr>
            </w:pPr>
          </w:p>
        </w:tc>
        <w:tc>
          <w:tcPr>
            <w:tcW w:w="731" w:type="pct"/>
            <w:tcBorders>
              <w:left w:val="single" w:sz="4" w:space="0" w:color="auto"/>
            </w:tcBorders>
            <w:shd w:val="clear" w:color="auto" w:fill="FFFFFF" w:themeFill="background1"/>
          </w:tcPr>
          <w:p w:rsidR="009D3548" w:rsidRPr="006B00F0" w:rsidRDefault="009D3548" w:rsidP="00E370F1">
            <w:pPr>
              <w:spacing w:before="40" w:after="40"/>
              <w:rPr>
                <w:sz w:val="22"/>
                <w:lang w:val="en-GB"/>
              </w:rPr>
            </w:pPr>
            <w:r w:rsidRPr="006B00F0">
              <w:rPr>
                <w:sz w:val="22"/>
                <w:lang w:val="en-GB"/>
              </w:rPr>
              <w:t>DE</w:t>
            </w:r>
          </w:p>
        </w:tc>
        <w:tc>
          <w:tcPr>
            <w:tcW w:w="1088" w:type="pct"/>
            <w:shd w:val="clear" w:color="auto" w:fill="FFFFFF" w:themeFill="background1"/>
          </w:tcPr>
          <w:p w:rsidR="009D3548" w:rsidRPr="006B00F0" w:rsidRDefault="009D3548" w:rsidP="00E370F1">
            <w:pPr>
              <w:spacing w:before="40" w:after="40"/>
              <w:rPr>
                <w:sz w:val="22"/>
                <w:lang w:val="en-GB"/>
              </w:rPr>
            </w:pPr>
            <w:r w:rsidRPr="006B00F0">
              <w:rPr>
                <w:sz w:val="22"/>
                <w:lang w:val="en-GB"/>
              </w:rPr>
              <w:t>Daniel</w:t>
            </w:r>
          </w:p>
        </w:tc>
        <w:tc>
          <w:tcPr>
            <w:tcW w:w="915" w:type="pct"/>
            <w:shd w:val="clear" w:color="auto" w:fill="FFFFFF" w:themeFill="background1"/>
          </w:tcPr>
          <w:p w:rsidR="009D3548" w:rsidRPr="006B00F0" w:rsidRDefault="009D3548" w:rsidP="00E370F1">
            <w:pPr>
              <w:spacing w:before="40" w:after="40"/>
              <w:rPr>
                <w:sz w:val="22"/>
                <w:lang w:val="en-GB"/>
              </w:rPr>
            </w:pPr>
            <w:r w:rsidRPr="006B00F0">
              <w:rPr>
                <w:sz w:val="22"/>
                <w:lang w:val="en-GB"/>
              </w:rPr>
              <w:t>Scha</w:t>
            </w:r>
            <w:r w:rsidR="00844D08">
              <w:rPr>
                <w:sz w:val="22"/>
                <w:lang w:val="en-GB"/>
              </w:rPr>
              <w:t>e</w:t>
            </w:r>
            <w:r w:rsidRPr="006B00F0">
              <w:rPr>
                <w:sz w:val="22"/>
                <w:lang w:val="en-GB"/>
              </w:rPr>
              <w:t>fer</w:t>
            </w:r>
          </w:p>
        </w:tc>
        <w:tc>
          <w:tcPr>
            <w:tcW w:w="1644" w:type="pct"/>
            <w:shd w:val="clear" w:color="auto" w:fill="FFFFFF" w:themeFill="background1"/>
          </w:tcPr>
          <w:p w:rsidR="009D3548" w:rsidRPr="006B00F0" w:rsidRDefault="00844D08" w:rsidP="00E370F1">
            <w:pPr>
              <w:spacing w:before="40" w:after="40"/>
              <w:rPr>
                <w:sz w:val="22"/>
                <w:lang w:val="en-GB"/>
              </w:rPr>
            </w:pPr>
            <w:r>
              <w:rPr>
                <w:sz w:val="22"/>
                <w:lang w:val="en-GB"/>
              </w:rPr>
              <w:t>HSBC</w:t>
            </w:r>
          </w:p>
        </w:tc>
      </w:tr>
      <w:tr w:rsidR="009D3548"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9D3548" w:rsidRPr="006B00F0" w:rsidRDefault="009D3548" w:rsidP="008C2942">
            <w:pPr>
              <w:spacing w:before="40" w:after="40"/>
              <w:jc w:val="right"/>
              <w:rPr>
                <w:sz w:val="22"/>
                <w:highlight w:val="yellow"/>
                <w:lang w:val="en-GB"/>
              </w:rPr>
            </w:pPr>
          </w:p>
        </w:tc>
        <w:tc>
          <w:tcPr>
            <w:tcW w:w="731" w:type="pct"/>
            <w:tcBorders>
              <w:left w:val="single" w:sz="4" w:space="0" w:color="auto"/>
            </w:tcBorders>
            <w:shd w:val="clear" w:color="auto" w:fill="FFFFFF" w:themeFill="background1"/>
          </w:tcPr>
          <w:p w:rsidR="009D3548" w:rsidRPr="006B00F0" w:rsidRDefault="009D3548" w:rsidP="008C2942">
            <w:pPr>
              <w:spacing w:before="40" w:after="40"/>
              <w:rPr>
                <w:sz w:val="22"/>
                <w:lang w:val="en-GB"/>
              </w:rPr>
            </w:pPr>
            <w:r w:rsidRPr="006B00F0">
              <w:rPr>
                <w:sz w:val="22"/>
                <w:lang w:val="en-GB"/>
              </w:rPr>
              <w:t>IT</w:t>
            </w:r>
          </w:p>
        </w:tc>
        <w:tc>
          <w:tcPr>
            <w:tcW w:w="1088" w:type="pct"/>
            <w:shd w:val="clear" w:color="auto" w:fill="FFFFFF" w:themeFill="background1"/>
          </w:tcPr>
          <w:p w:rsidR="009D3548" w:rsidRPr="006B00F0" w:rsidRDefault="009D3548" w:rsidP="008C2942">
            <w:pPr>
              <w:spacing w:before="40" w:after="40"/>
              <w:rPr>
                <w:sz w:val="22"/>
                <w:lang w:val="en-GB"/>
              </w:rPr>
            </w:pPr>
            <w:r w:rsidRPr="006B00F0">
              <w:rPr>
                <w:sz w:val="22"/>
                <w:lang w:val="en-GB"/>
              </w:rPr>
              <w:t>Paola</w:t>
            </w:r>
          </w:p>
        </w:tc>
        <w:tc>
          <w:tcPr>
            <w:tcW w:w="915" w:type="pct"/>
            <w:shd w:val="clear" w:color="auto" w:fill="FFFFFF" w:themeFill="background1"/>
          </w:tcPr>
          <w:p w:rsidR="009D3548" w:rsidRPr="006B00F0" w:rsidRDefault="009D3548" w:rsidP="008C2942">
            <w:pPr>
              <w:spacing w:before="40" w:after="40"/>
              <w:rPr>
                <w:sz w:val="22"/>
                <w:lang w:val="en-GB"/>
              </w:rPr>
            </w:pPr>
            <w:r w:rsidRPr="006B00F0">
              <w:rPr>
                <w:sz w:val="22"/>
                <w:lang w:val="en-GB"/>
              </w:rPr>
              <w:t>De Antoni</w:t>
            </w:r>
          </w:p>
        </w:tc>
        <w:tc>
          <w:tcPr>
            <w:tcW w:w="1644" w:type="pct"/>
            <w:shd w:val="clear" w:color="auto" w:fill="FFFFFF" w:themeFill="background1"/>
          </w:tcPr>
          <w:p w:rsidR="009D3548" w:rsidRPr="006B00F0" w:rsidRDefault="00844D08" w:rsidP="008C2942">
            <w:pPr>
              <w:spacing w:before="40" w:after="40"/>
              <w:rPr>
                <w:sz w:val="22"/>
                <w:lang w:val="en-GB"/>
              </w:rPr>
            </w:pPr>
            <w:r>
              <w:rPr>
                <w:sz w:val="22"/>
                <w:lang w:val="en-GB"/>
              </w:rPr>
              <w:t>Societe Generale</w:t>
            </w:r>
          </w:p>
        </w:tc>
      </w:tr>
      <w:tr w:rsidR="00E370F1"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6B00F0" w:rsidRDefault="00E370F1" w:rsidP="008C2942">
            <w:pPr>
              <w:spacing w:before="40" w:after="40"/>
              <w:jc w:val="right"/>
              <w:rPr>
                <w:sz w:val="22"/>
                <w:highlight w:val="yellow"/>
                <w:lang w:val="en-GB"/>
              </w:rPr>
            </w:pPr>
          </w:p>
        </w:tc>
        <w:tc>
          <w:tcPr>
            <w:tcW w:w="731" w:type="pct"/>
            <w:tcBorders>
              <w:left w:val="single" w:sz="4" w:space="0" w:color="auto"/>
            </w:tcBorders>
            <w:shd w:val="clear" w:color="auto" w:fill="FFFFFF" w:themeFill="background1"/>
          </w:tcPr>
          <w:p w:rsidR="00E370F1" w:rsidRPr="006B00F0" w:rsidRDefault="00E370F1" w:rsidP="008C2942">
            <w:pPr>
              <w:spacing w:before="40" w:after="40"/>
              <w:rPr>
                <w:sz w:val="22"/>
                <w:lang w:val="en-GB"/>
              </w:rPr>
            </w:pPr>
            <w:r w:rsidRPr="006B00F0">
              <w:rPr>
                <w:sz w:val="22"/>
                <w:lang w:val="en-GB"/>
              </w:rPr>
              <w:t>JP</w:t>
            </w:r>
          </w:p>
        </w:tc>
        <w:tc>
          <w:tcPr>
            <w:tcW w:w="1088" w:type="pct"/>
            <w:shd w:val="clear" w:color="auto" w:fill="FFFFFF" w:themeFill="background1"/>
          </w:tcPr>
          <w:p w:rsidR="00E370F1" w:rsidRPr="006B00F0" w:rsidRDefault="00E370F1" w:rsidP="008C2942">
            <w:pPr>
              <w:spacing w:before="40" w:after="40"/>
              <w:rPr>
                <w:sz w:val="22"/>
                <w:lang w:val="en-GB"/>
              </w:rPr>
            </w:pPr>
            <w:r w:rsidRPr="006B00F0">
              <w:rPr>
                <w:sz w:val="22"/>
                <w:lang w:val="en-GB"/>
              </w:rPr>
              <w:t>Ichiro</w:t>
            </w:r>
          </w:p>
        </w:tc>
        <w:tc>
          <w:tcPr>
            <w:tcW w:w="915" w:type="pct"/>
            <w:shd w:val="clear" w:color="auto" w:fill="FFFFFF" w:themeFill="background1"/>
          </w:tcPr>
          <w:p w:rsidR="00E370F1" w:rsidRPr="006B00F0" w:rsidRDefault="00E370F1" w:rsidP="008C2942">
            <w:pPr>
              <w:spacing w:before="40" w:after="40"/>
              <w:rPr>
                <w:sz w:val="22"/>
                <w:lang w:val="en-GB"/>
              </w:rPr>
            </w:pPr>
            <w:r w:rsidRPr="006B00F0">
              <w:rPr>
                <w:sz w:val="22"/>
                <w:lang w:val="en-GB"/>
              </w:rPr>
              <w:t>Yamamoto</w:t>
            </w:r>
          </w:p>
        </w:tc>
        <w:tc>
          <w:tcPr>
            <w:tcW w:w="1644" w:type="pct"/>
            <w:shd w:val="clear" w:color="auto" w:fill="FFFFFF" w:themeFill="background1"/>
          </w:tcPr>
          <w:p w:rsidR="00E370F1" w:rsidRPr="006B00F0" w:rsidRDefault="00E370F1" w:rsidP="008C2942">
            <w:pPr>
              <w:spacing w:before="40" w:after="40"/>
              <w:rPr>
                <w:sz w:val="22"/>
                <w:lang w:val="en-GB"/>
              </w:rPr>
            </w:pPr>
            <w:r w:rsidRPr="006B00F0">
              <w:rPr>
                <w:sz w:val="22"/>
                <w:lang w:val="en-GB"/>
              </w:rPr>
              <w:t>Mizuho</w:t>
            </w:r>
          </w:p>
        </w:tc>
      </w:tr>
      <w:tr w:rsidR="00E370F1" w:rsidRPr="006B00F0" w:rsidTr="00425220">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6B00F0" w:rsidRDefault="00E370F1" w:rsidP="008C2942">
            <w:pPr>
              <w:spacing w:before="40" w:after="40"/>
              <w:jc w:val="right"/>
              <w:rPr>
                <w:sz w:val="22"/>
                <w:highlight w:val="yellow"/>
                <w:lang w:val="en-GB"/>
              </w:rPr>
            </w:pPr>
          </w:p>
        </w:tc>
        <w:tc>
          <w:tcPr>
            <w:tcW w:w="731" w:type="pct"/>
            <w:tcBorders>
              <w:left w:val="single" w:sz="4" w:space="0" w:color="auto"/>
            </w:tcBorders>
            <w:shd w:val="clear" w:color="auto" w:fill="FFFFFF" w:themeFill="background1"/>
          </w:tcPr>
          <w:p w:rsidR="00E370F1" w:rsidRPr="006B00F0" w:rsidRDefault="00E370F1" w:rsidP="008C2942">
            <w:pPr>
              <w:spacing w:before="40" w:after="40"/>
              <w:rPr>
                <w:snapToGrid w:val="0"/>
                <w:color w:val="000000"/>
                <w:sz w:val="22"/>
                <w:lang w:val="en-GB"/>
              </w:rPr>
            </w:pPr>
            <w:r w:rsidRPr="006B00F0">
              <w:rPr>
                <w:snapToGrid w:val="0"/>
                <w:color w:val="000000"/>
                <w:sz w:val="22"/>
                <w:lang w:val="en-GB"/>
              </w:rPr>
              <w:t>MDPUG</w:t>
            </w:r>
          </w:p>
        </w:tc>
        <w:tc>
          <w:tcPr>
            <w:tcW w:w="1088" w:type="pct"/>
            <w:shd w:val="clear" w:color="auto" w:fill="FFFFFF" w:themeFill="background1"/>
          </w:tcPr>
          <w:p w:rsidR="00E370F1" w:rsidRPr="006B00F0" w:rsidRDefault="00E370F1" w:rsidP="008C2942">
            <w:pPr>
              <w:spacing w:before="40" w:after="40"/>
              <w:rPr>
                <w:snapToGrid w:val="0"/>
                <w:sz w:val="22"/>
                <w:lang w:val="en-GB"/>
              </w:rPr>
            </w:pPr>
            <w:r w:rsidRPr="006B00F0">
              <w:rPr>
                <w:snapToGrid w:val="0"/>
                <w:sz w:val="22"/>
                <w:lang w:val="en-GB"/>
              </w:rPr>
              <w:t>Laura</w:t>
            </w:r>
          </w:p>
        </w:tc>
        <w:tc>
          <w:tcPr>
            <w:tcW w:w="915" w:type="pct"/>
            <w:shd w:val="clear" w:color="auto" w:fill="FFFFFF" w:themeFill="background1"/>
          </w:tcPr>
          <w:p w:rsidR="00E370F1" w:rsidRPr="006B00F0" w:rsidRDefault="00E370F1" w:rsidP="008C2942">
            <w:pPr>
              <w:spacing w:before="40" w:after="40"/>
              <w:rPr>
                <w:snapToGrid w:val="0"/>
                <w:sz w:val="22"/>
                <w:lang w:val="en-GB"/>
              </w:rPr>
            </w:pPr>
            <w:r w:rsidRPr="006B00F0">
              <w:rPr>
                <w:snapToGrid w:val="0"/>
                <w:sz w:val="22"/>
                <w:lang w:val="en-GB"/>
              </w:rPr>
              <w:t>Fuller</w:t>
            </w:r>
          </w:p>
        </w:tc>
        <w:tc>
          <w:tcPr>
            <w:tcW w:w="1644" w:type="pct"/>
            <w:shd w:val="clear" w:color="auto" w:fill="FFFFFF" w:themeFill="background1"/>
          </w:tcPr>
          <w:p w:rsidR="00E370F1" w:rsidRPr="006B00F0" w:rsidRDefault="00E370F1" w:rsidP="008C2942">
            <w:pPr>
              <w:spacing w:before="40" w:after="40"/>
              <w:rPr>
                <w:snapToGrid w:val="0"/>
                <w:color w:val="000000"/>
                <w:sz w:val="22"/>
                <w:lang w:val="en-GB"/>
              </w:rPr>
            </w:pPr>
            <w:r w:rsidRPr="006B00F0">
              <w:rPr>
                <w:snapToGrid w:val="0"/>
                <w:color w:val="000000"/>
                <w:sz w:val="22"/>
                <w:lang w:val="en-GB"/>
              </w:rPr>
              <w:t>Telekurs</w:t>
            </w:r>
          </w:p>
        </w:tc>
      </w:tr>
      <w:tr w:rsidR="00E370F1"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6B00F0" w:rsidRDefault="00E370F1" w:rsidP="008C2942">
            <w:pPr>
              <w:spacing w:before="40" w:after="40"/>
              <w:jc w:val="right"/>
              <w:rPr>
                <w:sz w:val="22"/>
                <w:highlight w:val="yellow"/>
                <w:lang w:val="en-GB"/>
              </w:rPr>
            </w:pPr>
          </w:p>
        </w:tc>
        <w:tc>
          <w:tcPr>
            <w:tcW w:w="731" w:type="pct"/>
            <w:tcBorders>
              <w:left w:val="single" w:sz="4" w:space="0" w:color="auto"/>
            </w:tcBorders>
            <w:shd w:val="clear" w:color="auto" w:fill="FFFFFF" w:themeFill="background1"/>
          </w:tcPr>
          <w:p w:rsidR="00E370F1" w:rsidRPr="006B00F0" w:rsidRDefault="00E370F1" w:rsidP="008C2942">
            <w:pPr>
              <w:spacing w:before="40" w:after="40"/>
              <w:rPr>
                <w:snapToGrid w:val="0"/>
                <w:color w:val="000000"/>
                <w:sz w:val="22"/>
                <w:lang w:val="en-GB"/>
              </w:rPr>
            </w:pPr>
            <w:r w:rsidRPr="006B00F0">
              <w:rPr>
                <w:snapToGrid w:val="0"/>
                <w:color w:val="000000"/>
                <w:sz w:val="22"/>
                <w:lang w:val="en-GB"/>
              </w:rPr>
              <w:t>MDPUG</w:t>
            </w:r>
          </w:p>
        </w:tc>
        <w:tc>
          <w:tcPr>
            <w:tcW w:w="1088" w:type="pct"/>
            <w:shd w:val="clear" w:color="auto" w:fill="FFFFFF" w:themeFill="background1"/>
          </w:tcPr>
          <w:p w:rsidR="00E370F1" w:rsidRPr="006B00F0" w:rsidRDefault="00E370F1" w:rsidP="008C2942">
            <w:pPr>
              <w:spacing w:before="40" w:after="40"/>
              <w:rPr>
                <w:snapToGrid w:val="0"/>
                <w:sz w:val="22"/>
                <w:lang w:val="en-GB"/>
              </w:rPr>
            </w:pPr>
            <w:r w:rsidRPr="006B00F0">
              <w:rPr>
                <w:snapToGrid w:val="0"/>
                <w:sz w:val="22"/>
                <w:lang w:val="en-GB"/>
              </w:rPr>
              <w:t>Peter</w:t>
            </w:r>
          </w:p>
        </w:tc>
        <w:tc>
          <w:tcPr>
            <w:tcW w:w="915" w:type="pct"/>
            <w:shd w:val="clear" w:color="auto" w:fill="FFFFFF" w:themeFill="background1"/>
          </w:tcPr>
          <w:p w:rsidR="00E370F1" w:rsidRPr="006B00F0" w:rsidRDefault="00E370F1" w:rsidP="008C2942">
            <w:pPr>
              <w:spacing w:before="40" w:after="40"/>
              <w:rPr>
                <w:snapToGrid w:val="0"/>
                <w:sz w:val="22"/>
                <w:lang w:val="en-GB"/>
              </w:rPr>
            </w:pPr>
            <w:r w:rsidRPr="006B00F0">
              <w:rPr>
                <w:snapToGrid w:val="0"/>
                <w:sz w:val="22"/>
                <w:lang w:val="en-GB"/>
              </w:rPr>
              <w:t>Hinds</w:t>
            </w:r>
          </w:p>
        </w:tc>
        <w:tc>
          <w:tcPr>
            <w:tcW w:w="1644" w:type="pct"/>
            <w:shd w:val="clear" w:color="auto" w:fill="FFFFFF" w:themeFill="background1"/>
          </w:tcPr>
          <w:p w:rsidR="00E370F1" w:rsidRPr="006B00F0" w:rsidRDefault="00E370F1" w:rsidP="008C2942">
            <w:pPr>
              <w:spacing w:before="40" w:after="40"/>
              <w:rPr>
                <w:snapToGrid w:val="0"/>
                <w:color w:val="000000"/>
                <w:sz w:val="22"/>
                <w:lang w:val="en-GB"/>
              </w:rPr>
            </w:pPr>
            <w:r w:rsidRPr="006B00F0">
              <w:rPr>
                <w:snapToGrid w:val="0"/>
                <w:color w:val="000000"/>
                <w:sz w:val="22"/>
                <w:lang w:val="en-GB"/>
              </w:rPr>
              <w:t>Interactive Data</w:t>
            </w:r>
          </w:p>
        </w:tc>
      </w:tr>
      <w:tr w:rsidR="009D3548"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9D3548" w:rsidRPr="006B00F0" w:rsidRDefault="009D3548" w:rsidP="008C2942">
            <w:pPr>
              <w:spacing w:before="40" w:after="40"/>
              <w:jc w:val="right"/>
              <w:rPr>
                <w:sz w:val="22"/>
                <w:highlight w:val="yellow"/>
                <w:lang w:val="en-GB"/>
              </w:rPr>
            </w:pPr>
          </w:p>
        </w:tc>
        <w:tc>
          <w:tcPr>
            <w:tcW w:w="731" w:type="pct"/>
            <w:tcBorders>
              <w:left w:val="single" w:sz="4" w:space="0" w:color="auto"/>
            </w:tcBorders>
            <w:shd w:val="clear" w:color="auto" w:fill="FFFFFF" w:themeFill="background1"/>
          </w:tcPr>
          <w:p w:rsidR="009D3548" w:rsidRPr="006B00F0" w:rsidRDefault="009D3548" w:rsidP="008C2942">
            <w:pPr>
              <w:spacing w:before="40" w:after="40"/>
              <w:rPr>
                <w:sz w:val="22"/>
                <w:lang w:val="en-GB"/>
              </w:rPr>
            </w:pPr>
            <w:r w:rsidRPr="006B00F0">
              <w:rPr>
                <w:sz w:val="22"/>
                <w:lang w:val="en-GB"/>
              </w:rPr>
              <w:t>RU</w:t>
            </w:r>
          </w:p>
        </w:tc>
        <w:tc>
          <w:tcPr>
            <w:tcW w:w="1088" w:type="pct"/>
            <w:shd w:val="clear" w:color="auto" w:fill="FFFFFF" w:themeFill="background1"/>
          </w:tcPr>
          <w:p w:rsidR="009D3548" w:rsidRPr="006B00F0" w:rsidRDefault="009D3548" w:rsidP="008C2942">
            <w:pPr>
              <w:spacing w:before="40" w:after="40"/>
              <w:rPr>
                <w:snapToGrid w:val="0"/>
                <w:sz w:val="22"/>
                <w:lang w:val="en-GB"/>
              </w:rPr>
            </w:pPr>
            <w:r w:rsidRPr="006B00F0">
              <w:rPr>
                <w:snapToGrid w:val="0"/>
                <w:sz w:val="22"/>
                <w:lang w:val="en-GB"/>
              </w:rPr>
              <w:t>Elena</w:t>
            </w:r>
          </w:p>
        </w:tc>
        <w:tc>
          <w:tcPr>
            <w:tcW w:w="915" w:type="pct"/>
            <w:shd w:val="clear" w:color="auto" w:fill="FFFFFF" w:themeFill="background1"/>
          </w:tcPr>
          <w:p w:rsidR="009D3548" w:rsidRPr="006B00F0" w:rsidRDefault="009D3548" w:rsidP="008C2942">
            <w:pPr>
              <w:pStyle w:val="CommentText"/>
              <w:spacing w:before="40" w:after="40"/>
              <w:rPr>
                <w:snapToGrid w:val="0"/>
                <w:sz w:val="22"/>
                <w:lang w:val="en-GB"/>
              </w:rPr>
            </w:pPr>
            <w:r w:rsidRPr="006B00F0">
              <w:rPr>
                <w:snapToGrid w:val="0"/>
                <w:sz w:val="22"/>
                <w:lang w:val="en-GB"/>
              </w:rPr>
              <w:t>Solovyeva</w:t>
            </w:r>
          </w:p>
        </w:tc>
        <w:tc>
          <w:tcPr>
            <w:tcW w:w="1644" w:type="pct"/>
            <w:shd w:val="clear" w:color="auto" w:fill="FFFFFF" w:themeFill="background1"/>
          </w:tcPr>
          <w:p w:rsidR="009D3548" w:rsidRPr="006B00F0" w:rsidRDefault="00844D08" w:rsidP="008C2942">
            <w:pPr>
              <w:pStyle w:val="CommentText"/>
              <w:spacing w:before="40" w:after="40"/>
              <w:rPr>
                <w:sz w:val="22"/>
                <w:lang w:val="en-GB"/>
              </w:rPr>
            </w:pPr>
            <w:r w:rsidRPr="00DD20C5">
              <w:rPr>
                <w:sz w:val="22"/>
                <w:lang w:val="en-GB"/>
              </w:rPr>
              <w:t>NSD (</w:t>
            </w:r>
            <w:r w:rsidRPr="00DD20C5">
              <w:t>National Settlement Depository)</w:t>
            </w:r>
          </w:p>
        </w:tc>
      </w:tr>
      <w:tr w:rsidR="00E370F1"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6B00F0" w:rsidRDefault="00E370F1" w:rsidP="008C2942">
            <w:pPr>
              <w:spacing w:before="40" w:after="40"/>
              <w:jc w:val="right"/>
              <w:rPr>
                <w:sz w:val="22"/>
                <w:lang w:val="en-GB"/>
              </w:rPr>
            </w:pPr>
            <w:r w:rsidRPr="006B00F0">
              <w:rPr>
                <w:sz w:val="22"/>
                <w:lang w:val="en-GB"/>
              </w:rPr>
              <w:t>Co-chair</w:t>
            </w:r>
          </w:p>
        </w:tc>
        <w:tc>
          <w:tcPr>
            <w:tcW w:w="731" w:type="pct"/>
            <w:tcBorders>
              <w:left w:val="single" w:sz="4" w:space="0" w:color="auto"/>
            </w:tcBorders>
            <w:shd w:val="clear" w:color="auto" w:fill="FFFFFF" w:themeFill="background1"/>
          </w:tcPr>
          <w:p w:rsidR="00E370F1" w:rsidRPr="006B00F0" w:rsidRDefault="00E370F1" w:rsidP="008C2942">
            <w:pPr>
              <w:spacing w:before="40" w:after="40"/>
              <w:rPr>
                <w:sz w:val="22"/>
                <w:lang w:val="en-GB"/>
              </w:rPr>
            </w:pPr>
            <w:r w:rsidRPr="006B00F0">
              <w:rPr>
                <w:sz w:val="22"/>
                <w:lang w:val="en-GB"/>
              </w:rPr>
              <w:t>SE</w:t>
            </w:r>
          </w:p>
        </w:tc>
        <w:tc>
          <w:tcPr>
            <w:tcW w:w="1088" w:type="pct"/>
            <w:shd w:val="clear" w:color="auto" w:fill="FFFFFF" w:themeFill="background1"/>
          </w:tcPr>
          <w:p w:rsidR="00E370F1" w:rsidRPr="006B00F0" w:rsidRDefault="00E370F1" w:rsidP="008C2942">
            <w:pPr>
              <w:spacing w:before="40" w:after="40"/>
              <w:rPr>
                <w:sz w:val="22"/>
                <w:lang w:val="en-GB"/>
              </w:rPr>
            </w:pPr>
            <w:r w:rsidRPr="006B00F0">
              <w:rPr>
                <w:snapToGrid w:val="0"/>
                <w:sz w:val="22"/>
                <w:lang w:val="en-GB"/>
              </w:rPr>
              <w:t xml:space="preserve">Christine </w:t>
            </w:r>
          </w:p>
        </w:tc>
        <w:tc>
          <w:tcPr>
            <w:tcW w:w="915" w:type="pct"/>
            <w:shd w:val="clear" w:color="auto" w:fill="FFFFFF" w:themeFill="background1"/>
          </w:tcPr>
          <w:p w:rsidR="00E370F1" w:rsidRPr="006B00F0" w:rsidRDefault="00E370F1" w:rsidP="008C2942">
            <w:pPr>
              <w:pStyle w:val="CommentText"/>
              <w:spacing w:before="40" w:after="40"/>
              <w:rPr>
                <w:sz w:val="22"/>
                <w:lang w:val="en-GB"/>
              </w:rPr>
            </w:pPr>
            <w:r w:rsidRPr="006B00F0">
              <w:rPr>
                <w:snapToGrid w:val="0"/>
                <w:sz w:val="22"/>
                <w:lang w:val="en-GB"/>
              </w:rPr>
              <w:t>Strandberg</w:t>
            </w:r>
          </w:p>
        </w:tc>
        <w:tc>
          <w:tcPr>
            <w:tcW w:w="1644" w:type="pct"/>
            <w:shd w:val="clear" w:color="auto" w:fill="FFFFFF" w:themeFill="background1"/>
          </w:tcPr>
          <w:p w:rsidR="00E370F1" w:rsidRPr="006B00F0" w:rsidRDefault="00E370F1" w:rsidP="008C2942">
            <w:pPr>
              <w:pStyle w:val="CommentText"/>
              <w:spacing w:before="40" w:after="40"/>
              <w:rPr>
                <w:sz w:val="22"/>
                <w:lang w:val="en-GB"/>
              </w:rPr>
            </w:pPr>
            <w:smartTag w:uri="urn:schemas-microsoft-com:office:smarttags" w:element="stockticker">
              <w:r w:rsidRPr="006B00F0">
                <w:rPr>
                  <w:sz w:val="22"/>
                  <w:lang w:val="en-GB"/>
                </w:rPr>
                <w:t>SEB</w:t>
              </w:r>
            </w:smartTag>
          </w:p>
        </w:tc>
      </w:tr>
      <w:tr w:rsidR="00E370F1"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6B00F0" w:rsidRDefault="00E370F1" w:rsidP="008C2942">
            <w:pPr>
              <w:pStyle w:val="CommentText"/>
              <w:spacing w:before="40" w:after="40"/>
              <w:rPr>
                <w:sz w:val="22"/>
                <w:lang w:val="en-GB"/>
              </w:rPr>
            </w:pPr>
          </w:p>
        </w:tc>
        <w:tc>
          <w:tcPr>
            <w:tcW w:w="731" w:type="pct"/>
            <w:tcBorders>
              <w:left w:val="single" w:sz="4" w:space="0" w:color="auto"/>
            </w:tcBorders>
            <w:shd w:val="clear" w:color="auto" w:fill="FFFFFF" w:themeFill="background1"/>
          </w:tcPr>
          <w:p w:rsidR="00E370F1" w:rsidRPr="006B00F0" w:rsidRDefault="00E370F1" w:rsidP="008C2942">
            <w:pPr>
              <w:spacing w:before="40" w:after="40"/>
              <w:rPr>
                <w:sz w:val="22"/>
                <w:lang w:val="en-GB"/>
              </w:rPr>
            </w:pPr>
            <w:r w:rsidRPr="006B00F0">
              <w:rPr>
                <w:sz w:val="22"/>
                <w:lang w:val="en-GB"/>
              </w:rPr>
              <w:t>UK &amp; IE</w:t>
            </w:r>
          </w:p>
        </w:tc>
        <w:tc>
          <w:tcPr>
            <w:tcW w:w="1088" w:type="pct"/>
            <w:shd w:val="clear" w:color="auto" w:fill="FFFFFF" w:themeFill="background1"/>
          </w:tcPr>
          <w:p w:rsidR="00E370F1" w:rsidRPr="006B00F0" w:rsidRDefault="00E370F1" w:rsidP="008C2942">
            <w:pPr>
              <w:spacing w:before="40" w:after="40"/>
              <w:rPr>
                <w:snapToGrid w:val="0"/>
                <w:sz w:val="22"/>
                <w:lang w:val="en-GB"/>
              </w:rPr>
            </w:pPr>
            <w:r w:rsidRPr="006B00F0">
              <w:rPr>
                <w:snapToGrid w:val="0"/>
                <w:sz w:val="22"/>
                <w:lang w:val="en-GB"/>
              </w:rPr>
              <w:t>Mariangela</w:t>
            </w:r>
          </w:p>
        </w:tc>
        <w:tc>
          <w:tcPr>
            <w:tcW w:w="915" w:type="pct"/>
            <w:shd w:val="clear" w:color="auto" w:fill="FFFFFF" w:themeFill="background1"/>
          </w:tcPr>
          <w:p w:rsidR="00E370F1" w:rsidRPr="006B00F0" w:rsidRDefault="00E370F1" w:rsidP="008C2942">
            <w:pPr>
              <w:pStyle w:val="CommentText"/>
              <w:spacing w:before="40" w:after="40"/>
              <w:rPr>
                <w:snapToGrid w:val="0"/>
                <w:sz w:val="22"/>
                <w:lang w:val="en-GB"/>
              </w:rPr>
            </w:pPr>
            <w:r w:rsidRPr="006B00F0">
              <w:rPr>
                <w:snapToGrid w:val="0"/>
                <w:sz w:val="22"/>
                <w:lang w:val="en-GB"/>
              </w:rPr>
              <w:t>Fumagalli</w:t>
            </w:r>
          </w:p>
        </w:tc>
        <w:tc>
          <w:tcPr>
            <w:tcW w:w="1644" w:type="pct"/>
            <w:shd w:val="clear" w:color="auto" w:fill="FFFFFF" w:themeFill="background1"/>
          </w:tcPr>
          <w:p w:rsidR="00E370F1" w:rsidRPr="006B00F0" w:rsidRDefault="00E370F1" w:rsidP="008C2942">
            <w:pPr>
              <w:pStyle w:val="CommentText"/>
              <w:spacing w:before="40" w:after="40"/>
              <w:rPr>
                <w:sz w:val="22"/>
                <w:lang w:val="en-GB"/>
              </w:rPr>
            </w:pPr>
            <w:r w:rsidRPr="006B00F0">
              <w:rPr>
                <w:sz w:val="22"/>
                <w:lang w:val="en-GB"/>
              </w:rPr>
              <w:t>BNP Paribas</w:t>
            </w:r>
          </w:p>
        </w:tc>
      </w:tr>
      <w:tr w:rsidR="00445272" w:rsidRPr="006B00F0" w:rsidTr="00445272">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45272" w:rsidRPr="006B00F0" w:rsidRDefault="00445272" w:rsidP="00445272">
            <w:pPr>
              <w:spacing w:before="40" w:after="40"/>
              <w:jc w:val="right"/>
              <w:rPr>
                <w:sz w:val="22"/>
                <w:lang w:val="en-GB"/>
              </w:rPr>
            </w:pPr>
          </w:p>
        </w:tc>
        <w:tc>
          <w:tcPr>
            <w:tcW w:w="731" w:type="pct"/>
            <w:tcBorders>
              <w:left w:val="single" w:sz="4" w:space="0" w:color="auto"/>
            </w:tcBorders>
            <w:shd w:val="clear" w:color="auto" w:fill="FFFFFF" w:themeFill="background1"/>
          </w:tcPr>
          <w:p w:rsidR="00445272" w:rsidRPr="006B00F0" w:rsidRDefault="00445272" w:rsidP="00445272">
            <w:pPr>
              <w:spacing w:before="40" w:after="40"/>
              <w:rPr>
                <w:sz w:val="22"/>
                <w:lang w:val="en-GB"/>
              </w:rPr>
            </w:pPr>
            <w:r w:rsidRPr="006B00F0">
              <w:rPr>
                <w:sz w:val="22"/>
                <w:lang w:val="en-GB"/>
              </w:rPr>
              <w:t>US</w:t>
            </w:r>
          </w:p>
        </w:tc>
        <w:tc>
          <w:tcPr>
            <w:tcW w:w="1088" w:type="pct"/>
            <w:shd w:val="clear" w:color="auto" w:fill="FFFFFF" w:themeFill="background1"/>
          </w:tcPr>
          <w:p w:rsidR="00445272" w:rsidRPr="006B00F0" w:rsidRDefault="00445272" w:rsidP="00445272">
            <w:pPr>
              <w:pStyle w:val="CommentText"/>
              <w:spacing w:before="40" w:after="40"/>
              <w:rPr>
                <w:sz w:val="22"/>
                <w:lang w:val="en-GB"/>
              </w:rPr>
            </w:pPr>
            <w:r w:rsidRPr="006B00F0">
              <w:rPr>
                <w:sz w:val="22"/>
                <w:lang w:val="en-GB"/>
              </w:rPr>
              <w:t>Sonda</w:t>
            </w:r>
          </w:p>
        </w:tc>
        <w:tc>
          <w:tcPr>
            <w:tcW w:w="915" w:type="pct"/>
            <w:shd w:val="clear" w:color="auto" w:fill="FFFFFF" w:themeFill="background1"/>
          </w:tcPr>
          <w:p w:rsidR="00445272" w:rsidRPr="006B00F0" w:rsidRDefault="00445272" w:rsidP="00445272">
            <w:pPr>
              <w:spacing w:before="40" w:after="40"/>
              <w:rPr>
                <w:sz w:val="22"/>
                <w:lang w:val="en-GB"/>
              </w:rPr>
            </w:pPr>
            <w:r w:rsidRPr="006B00F0">
              <w:rPr>
                <w:sz w:val="22"/>
                <w:lang w:val="en-GB"/>
              </w:rPr>
              <w:t>Pimental</w:t>
            </w:r>
          </w:p>
        </w:tc>
        <w:tc>
          <w:tcPr>
            <w:tcW w:w="1644" w:type="pct"/>
            <w:shd w:val="clear" w:color="auto" w:fill="FFFFFF" w:themeFill="background1"/>
          </w:tcPr>
          <w:p w:rsidR="00445272" w:rsidRPr="006B00F0" w:rsidRDefault="00445272" w:rsidP="00445272">
            <w:pPr>
              <w:spacing w:before="40" w:after="40"/>
              <w:rPr>
                <w:sz w:val="22"/>
                <w:lang w:val="en-GB"/>
              </w:rPr>
            </w:pPr>
            <w:r w:rsidRPr="006B00F0">
              <w:rPr>
                <w:sz w:val="22"/>
                <w:lang w:val="en-GB"/>
              </w:rPr>
              <w:t>BBH</w:t>
            </w:r>
          </w:p>
        </w:tc>
      </w:tr>
      <w:tr w:rsidR="00E370F1" w:rsidRPr="006B00F0" w:rsidTr="00B0133D">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E370F1" w:rsidRPr="006B00F0" w:rsidRDefault="00E370F1" w:rsidP="008C2942">
            <w:pPr>
              <w:spacing w:before="40" w:after="40"/>
              <w:jc w:val="right"/>
              <w:rPr>
                <w:sz w:val="22"/>
                <w:lang w:val="en-GB"/>
              </w:rPr>
            </w:pPr>
          </w:p>
        </w:tc>
        <w:tc>
          <w:tcPr>
            <w:tcW w:w="731" w:type="pct"/>
            <w:tcBorders>
              <w:left w:val="single" w:sz="4" w:space="0" w:color="auto"/>
            </w:tcBorders>
            <w:shd w:val="clear" w:color="auto" w:fill="FFFFFF" w:themeFill="background1"/>
          </w:tcPr>
          <w:p w:rsidR="00E370F1" w:rsidRPr="006B00F0" w:rsidRDefault="00445272" w:rsidP="008C2942">
            <w:pPr>
              <w:spacing w:before="40" w:after="40"/>
              <w:rPr>
                <w:sz w:val="22"/>
                <w:lang w:val="en-GB"/>
              </w:rPr>
            </w:pPr>
            <w:r w:rsidRPr="006B00F0">
              <w:rPr>
                <w:sz w:val="22"/>
                <w:lang w:val="en-GB"/>
              </w:rPr>
              <w:t>ZA</w:t>
            </w:r>
          </w:p>
        </w:tc>
        <w:tc>
          <w:tcPr>
            <w:tcW w:w="1088" w:type="pct"/>
            <w:shd w:val="clear" w:color="auto" w:fill="FFFFFF" w:themeFill="background1"/>
          </w:tcPr>
          <w:p w:rsidR="00E370F1" w:rsidRPr="006B00F0" w:rsidRDefault="00445272" w:rsidP="008C2942">
            <w:pPr>
              <w:pStyle w:val="CommentText"/>
              <w:spacing w:before="40" w:after="40"/>
              <w:rPr>
                <w:sz w:val="22"/>
                <w:lang w:val="en-GB"/>
              </w:rPr>
            </w:pPr>
            <w:r w:rsidRPr="006B00F0">
              <w:rPr>
                <w:sz w:val="22"/>
                <w:lang w:val="en-GB"/>
              </w:rPr>
              <w:t>Sanjeev</w:t>
            </w:r>
          </w:p>
        </w:tc>
        <w:tc>
          <w:tcPr>
            <w:tcW w:w="915" w:type="pct"/>
            <w:shd w:val="clear" w:color="auto" w:fill="FFFFFF" w:themeFill="background1"/>
          </w:tcPr>
          <w:p w:rsidR="00E370F1" w:rsidRPr="006B00F0" w:rsidRDefault="00445272" w:rsidP="008C2942">
            <w:pPr>
              <w:spacing w:before="40" w:after="40"/>
              <w:rPr>
                <w:sz w:val="22"/>
                <w:lang w:val="en-GB"/>
              </w:rPr>
            </w:pPr>
            <w:r w:rsidRPr="006B00F0">
              <w:rPr>
                <w:sz w:val="22"/>
                <w:lang w:val="en-GB"/>
              </w:rPr>
              <w:t>Jayram</w:t>
            </w:r>
          </w:p>
        </w:tc>
        <w:tc>
          <w:tcPr>
            <w:tcW w:w="1644" w:type="pct"/>
            <w:shd w:val="clear" w:color="auto" w:fill="FFFFFF" w:themeFill="background1"/>
          </w:tcPr>
          <w:p w:rsidR="00E370F1" w:rsidRPr="006B00F0" w:rsidRDefault="00445272" w:rsidP="008C2942">
            <w:pPr>
              <w:spacing w:before="40" w:after="40"/>
              <w:rPr>
                <w:sz w:val="22"/>
                <w:lang w:val="en-GB"/>
              </w:rPr>
            </w:pPr>
            <w:r w:rsidRPr="006B00F0">
              <w:rPr>
                <w:sz w:val="22"/>
                <w:lang w:val="en-GB"/>
              </w:rPr>
              <w:t>First National Bank</w:t>
            </w:r>
          </w:p>
        </w:tc>
      </w:tr>
      <w:bookmarkEnd w:id="1"/>
      <w:bookmarkEnd w:id="2"/>
      <w:tr w:rsidR="00411926" w:rsidRPr="00DD20C5" w:rsidTr="00411926">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11926" w:rsidRPr="006B00F0" w:rsidRDefault="00411926" w:rsidP="005B70A3">
            <w:pPr>
              <w:spacing w:before="40" w:after="40"/>
              <w:jc w:val="right"/>
              <w:rPr>
                <w:sz w:val="22"/>
                <w:lang w:val="en-GB"/>
              </w:rPr>
            </w:pPr>
            <w:r w:rsidRPr="006B00F0">
              <w:rPr>
                <w:sz w:val="22"/>
                <w:lang w:val="en-GB"/>
              </w:rPr>
              <w:t>Facilitator</w:t>
            </w: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6B00F0" w:rsidRDefault="00411926" w:rsidP="005B70A3">
            <w:pPr>
              <w:spacing w:before="40" w:after="40"/>
              <w:rPr>
                <w:sz w:val="22"/>
                <w:lang w:val="en-GB"/>
              </w:rPr>
            </w:pP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6B00F0" w:rsidRDefault="00411926" w:rsidP="005B70A3">
            <w:pPr>
              <w:pStyle w:val="CommentText"/>
              <w:spacing w:before="40" w:after="40"/>
              <w:rPr>
                <w:sz w:val="22"/>
                <w:lang w:val="en-GB"/>
              </w:rPr>
            </w:pPr>
            <w:r w:rsidRPr="006B00F0">
              <w:rPr>
                <w:sz w:val="22"/>
                <w:lang w:val="en-GB"/>
              </w:rPr>
              <w:t>Jacques</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6B00F0" w:rsidRDefault="00411926" w:rsidP="005B70A3">
            <w:pPr>
              <w:spacing w:before="40" w:after="40"/>
              <w:rPr>
                <w:sz w:val="22"/>
                <w:lang w:val="en-GB"/>
              </w:rPr>
            </w:pPr>
            <w:r w:rsidRPr="006B00F0">
              <w:rPr>
                <w:sz w:val="22"/>
                <w:lang w:val="en-GB"/>
              </w:rPr>
              <w:t>Littré</w:t>
            </w:r>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6B00F0" w:rsidRDefault="00411926" w:rsidP="005B70A3">
            <w:pPr>
              <w:spacing w:before="40" w:after="40"/>
              <w:rPr>
                <w:sz w:val="22"/>
                <w:lang w:val="en-GB"/>
              </w:rPr>
            </w:pPr>
            <w:r w:rsidRPr="006B00F0">
              <w:rPr>
                <w:sz w:val="22"/>
                <w:lang w:val="en-GB"/>
              </w:rPr>
              <w:t>SWIFT</w:t>
            </w:r>
          </w:p>
        </w:tc>
      </w:tr>
    </w:tbl>
    <w:p w:rsidR="00652BA8" w:rsidRPr="00BA2B97" w:rsidRDefault="00652BA8" w:rsidP="00652BA8">
      <w:pPr>
        <w:pStyle w:val="Title1"/>
      </w:pPr>
      <w:r w:rsidRPr="00BA2B97">
        <w:t>Apologies</w:t>
      </w:r>
    </w:p>
    <w:tbl>
      <w:tblPr>
        <w:tblW w:w="5349"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258"/>
        <w:gridCol w:w="1478"/>
        <w:gridCol w:w="2200"/>
        <w:gridCol w:w="1850"/>
        <w:gridCol w:w="3324"/>
      </w:tblGrid>
      <w:tr w:rsidR="00432190" w:rsidRPr="00BA2B97" w:rsidTr="00432190">
        <w:tc>
          <w:tcPr>
            <w:tcW w:w="622" w:type="pct"/>
            <w:tcBorders>
              <w:top w:val="nil"/>
              <w:left w:val="nil"/>
              <w:bottom w:val="nil"/>
              <w:right w:val="single" w:sz="4" w:space="0" w:color="auto"/>
            </w:tcBorders>
            <w:shd w:val="clear" w:color="auto" w:fill="FFFFFF"/>
          </w:tcPr>
          <w:p w:rsidR="00432190" w:rsidRPr="00BA2B97" w:rsidRDefault="00432190" w:rsidP="00432190">
            <w:pPr>
              <w:rPr>
                <w:b/>
                <w:sz w:val="22"/>
                <w:lang w:val="en-GB"/>
              </w:rPr>
            </w:pPr>
          </w:p>
        </w:tc>
        <w:tc>
          <w:tcPr>
            <w:tcW w:w="731" w:type="pct"/>
            <w:tcBorders>
              <w:left w:val="single" w:sz="4" w:space="0" w:color="auto"/>
            </w:tcBorders>
            <w:shd w:val="clear" w:color="auto" w:fill="CCCCCC"/>
          </w:tcPr>
          <w:p w:rsidR="00432190" w:rsidRPr="00BA2B97" w:rsidRDefault="00432190" w:rsidP="00432190">
            <w:pPr>
              <w:rPr>
                <w:b/>
                <w:sz w:val="22"/>
                <w:lang w:val="en-GB"/>
              </w:rPr>
            </w:pPr>
            <w:r w:rsidRPr="00BA2B97">
              <w:rPr>
                <w:b/>
                <w:sz w:val="22"/>
                <w:lang w:val="en-GB"/>
              </w:rPr>
              <w:t>Country</w:t>
            </w:r>
          </w:p>
        </w:tc>
        <w:tc>
          <w:tcPr>
            <w:tcW w:w="1088" w:type="pct"/>
            <w:shd w:val="clear" w:color="auto" w:fill="CCCCCC"/>
          </w:tcPr>
          <w:p w:rsidR="00432190" w:rsidRPr="00BA2B97" w:rsidRDefault="00432190" w:rsidP="00432190">
            <w:pPr>
              <w:rPr>
                <w:b/>
                <w:sz w:val="22"/>
                <w:lang w:val="en-GB"/>
              </w:rPr>
            </w:pPr>
            <w:r w:rsidRPr="00BA2B97">
              <w:rPr>
                <w:b/>
                <w:sz w:val="22"/>
                <w:lang w:val="en-GB"/>
              </w:rPr>
              <w:t>First Name</w:t>
            </w:r>
          </w:p>
        </w:tc>
        <w:tc>
          <w:tcPr>
            <w:tcW w:w="915" w:type="pct"/>
            <w:shd w:val="clear" w:color="auto" w:fill="CCCCCC"/>
          </w:tcPr>
          <w:p w:rsidR="00432190" w:rsidRPr="00BA2B97" w:rsidRDefault="00432190" w:rsidP="00432190">
            <w:pPr>
              <w:rPr>
                <w:b/>
                <w:sz w:val="22"/>
                <w:lang w:val="en-GB"/>
              </w:rPr>
            </w:pPr>
            <w:r w:rsidRPr="00BA2B97">
              <w:rPr>
                <w:b/>
                <w:sz w:val="22"/>
                <w:lang w:val="en-GB"/>
              </w:rPr>
              <w:t>Last Name</w:t>
            </w:r>
          </w:p>
        </w:tc>
        <w:tc>
          <w:tcPr>
            <w:tcW w:w="1644" w:type="pct"/>
            <w:shd w:val="clear" w:color="auto" w:fill="CCCCCC"/>
          </w:tcPr>
          <w:p w:rsidR="00432190" w:rsidRPr="00BA2B97" w:rsidRDefault="00432190" w:rsidP="00432190">
            <w:pPr>
              <w:rPr>
                <w:b/>
                <w:sz w:val="22"/>
                <w:lang w:val="en-GB"/>
              </w:rPr>
            </w:pPr>
            <w:r w:rsidRPr="00BA2B97">
              <w:rPr>
                <w:b/>
                <w:sz w:val="22"/>
                <w:lang w:val="en-GB"/>
              </w:rPr>
              <w:t>Institution</w:t>
            </w:r>
          </w:p>
        </w:tc>
      </w:tr>
      <w:tr w:rsidR="00411926" w:rsidRPr="00DD20C5" w:rsidTr="00411926">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11926" w:rsidRPr="00445272" w:rsidRDefault="00411926" w:rsidP="005B70A3">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5B70A3">
            <w:pPr>
              <w:spacing w:before="40" w:after="40"/>
              <w:rPr>
                <w:sz w:val="22"/>
                <w:lang w:val="en-GB"/>
              </w:rPr>
            </w:pPr>
            <w:r w:rsidRPr="00445272">
              <w:rPr>
                <w:sz w:val="22"/>
                <w:lang w:val="en-GB"/>
              </w:rPr>
              <w:t>FI</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411926">
            <w:pPr>
              <w:pStyle w:val="CommentText"/>
              <w:rPr>
                <w:sz w:val="22"/>
                <w:lang w:val="en-GB"/>
              </w:rPr>
            </w:pPr>
            <w:r w:rsidRPr="00445272">
              <w:rPr>
                <w:sz w:val="22"/>
                <w:lang w:val="en-GB"/>
              </w:rPr>
              <w:t>Sari</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5B70A3">
            <w:pPr>
              <w:spacing w:before="40" w:after="40"/>
              <w:rPr>
                <w:sz w:val="22"/>
                <w:lang w:val="en-GB"/>
              </w:rPr>
            </w:pPr>
            <w:r w:rsidRPr="00445272">
              <w:rPr>
                <w:sz w:val="22"/>
                <w:lang w:val="en-GB"/>
              </w:rPr>
              <w:t>Rask</w:t>
            </w:r>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5B70A3">
            <w:pPr>
              <w:spacing w:before="40" w:after="40"/>
              <w:rPr>
                <w:sz w:val="22"/>
                <w:lang w:val="en-GB"/>
              </w:rPr>
            </w:pPr>
            <w:r w:rsidRPr="00445272">
              <w:rPr>
                <w:sz w:val="22"/>
                <w:lang w:val="en-GB"/>
              </w:rPr>
              <w:t>Nordea</w:t>
            </w:r>
          </w:p>
        </w:tc>
      </w:tr>
      <w:tr w:rsidR="00411926" w:rsidRPr="00DD20C5" w:rsidTr="00411926">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11926" w:rsidRPr="00445272" w:rsidRDefault="00411926" w:rsidP="005B70A3">
            <w:pPr>
              <w:spacing w:before="40" w:after="40"/>
              <w:jc w:val="right"/>
              <w:rPr>
                <w:sz w:val="22"/>
                <w:lang w:val="en-GB"/>
              </w:rPr>
            </w:pPr>
            <w:r w:rsidRPr="00445272">
              <w:rPr>
                <w:sz w:val="22"/>
                <w:lang w:val="en-GB"/>
              </w:rPr>
              <w:t>Co-chair</w:t>
            </w: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5B70A3">
            <w:pPr>
              <w:spacing w:before="40" w:after="40"/>
              <w:rPr>
                <w:sz w:val="22"/>
                <w:lang w:val="en-GB"/>
              </w:rPr>
            </w:pPr>
            <w:r w:rsidRPr="00445272">
              <w:rPr>
                <w:sz w:val="22"/>
                <w:lang w:val="en-GB"/>
              </w:rPr>
              <w:t>LU</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411926">
            <w:pPr>
              <w:pStyle w:val="CommentText"/>
              <w:rPr>
                <w:sz w:val="22"/>
                <w:lang w:val="en-GB"/>
              </w:rPr>
            </w:pPr>
            <w:r w:rsidRPr="00445272">
              <w:rPr>
                <w:sz w:val="22"/>
                <w:lang w:val="en-GB"/>
              </w:rPr>
              <w:t xml:space="preserve">Bernard </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5B70A3">
            <w:pPr>
              <w:spacing w:before="40" w:after="40"/>
              <w:rPr>
                <w:sz w:val="22"/>
                <w:lang w:val="en-GB"/>
              </w:rPr>
            </w:pPr>
            <w:r w:rsidRPr="00445272">
              <w:rPr>
                <w:sz w:val="22"/>
                <w:lang w:val="en-GB"/>
              </w:rPr>
              <w:t>Lenelle</w:t>
            </w:r>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5B70A3">
            <w:pPr>
              <w:spacing w:before="40" w:after="40"/>
              <w:rPr>
                <w:sz w:val="22"/>
                <w:lang w:val="en-GB"/>
              </w:rPr>
            </w:pPr>
            <w:r w:rsidRPr="00445272">
              <w:rPr>
                <w:sz w:val="22"/>
                <w:lang w:val="en-GB"/>
              </w:rPr>
              <w:t>Clearstream Banking</w:t>
            </w:r>
          </w:p>
        </w:tc>
      </w:tr>
      <w:tr w:rsidR="00411926" w:rsidRPr="00DD20C5" w:rsidTr="00411926">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11926" w:rsidRPr="00445272" w:rsidRDefault="00411926" w:rsidP="005B70A3">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5B70A3">
            <w:pPr>
              <w:spacing w:before="40" w:after="40"/>
              <w:rPr>
                <w:sz w:val="22"/>
                <w:lang w:val="en-GB"/>
              </w:rPr>
            </w:pPr>
            <w:r>
              <w:rPr>
                <w:sz w:val="22"/>
                <w:lang w:val="en-GB"/>
              </w:rPr>
              <w:t>NO</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411926">
            <w:pPr>
              <w:pStyle w:val="CommentText"/>
              <w:rPr>
                <w:sz w:val="22"/>
                <w:lang w:val="en-GB"/>
              </w:rPr>
            </w:pPr>
            <w:r>
              <w:rPr>
                <w:sz w:val="22"/>
                <w:lang w:val="en-GB"/>
              </w:rPr>
              <w:t xml:space="preserve">Grethe </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5B70A3">
            <w:pPr>
              <w:spacing w:before="40" w:after="40"/>
              <w:rPr>
                <w:sz w:val="22"/>
                <w:lang w:val="en-GB"/>
              </w:rPr>
            </w:pPr>
            <w:r>
              <w:rPr>
                <w:sz w:val="22"/>
                <w:lang w:val="en-GB"/>
              </w:rPr>
              <w:t>Pedersen</w:t>
            </w:r>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5B70A3">
            <w:pPr>
              <w:spacing w:before="40" w:after="40"/>
              <w:rPr>
                <w:sz w:val="22"/>
                <w:lang w:val="en-GB"/>
              </w:rPr>
            </w:pPr>
            <w:r>
              <w:rPr>
                <w:sz w:val="22"/>
                <w:lang w:val="en-GB"/>
              </w:rPr>
              <w:t>DnB NOR Bank</w:t>
            </w:r>
          </w:p>
        </w:tc>
      </w:tr>
      <w:tr w:rsidR="00411926" w:rsidRPr="00DD20C5" w:rsidTr="00411926">
        <w:tblPrEx>
          <w:tblCellMar>
            <w:left w:w="108" w:type="dxa"/>
            <w:right w:w="108" w:type="dxa"/>
          </w:tblCellMar>
        </w:tblPrEx>
        <w:tc>
          <w:tcPr>
            <w:tcW w:w="622" w:type="pct"/>
            <w:tcBorders>
              <w:top w:val="nil"/>
              <w:left w:val="nil"/>
              <w:bottom w:val="nil"/>
              <w:right w:val="single" w:sz="4" w:space="0" w:color="auto"/>
            </w:tcBorders>
            <w:shd w:val="clear" w:color="auto" w:fill="FFFFFF" w:themeFill="background1"/>
          </w:tcPr>
          <w:p w:rsidR="00411926" w:rsidRPr="00445272" w:rsidRDefault="00411926" w:rsidP="005B70A3">
            <w:pPr>
              <w:spacing w:before="40" w:after="40"/>
              <w:jc w:val="right"/>
              <w:rPr>
                <w:sz w:val="22"/>
                <w:lang w:val="en-GB"/>
              </w:rPr>
            </w:pPr>
          </w:p>
        </w:tc>
        <w:tc>
          <w:tcPr>
            <w:tcW w:w="731"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5B70A3">
            <w:pPr>
              <w:spacing w:before="40" w:after="40"/>
              <w:rPr>
                <w:sz w:val="22"/>
                <w:lang w:val="en-GB"/>
              </w:rPr>
            </w:pPr>
            <w:r>
              <w:rPr>
                <w:sz w:val="22"/>
                <w:lang w:val="en-GB"/>
              </w:rPr>
              <w:t>DE</w:t>
            </w:r>
          </w:p>
        </w:tc>
        <w:tc>
          <w:tcPr>
            <w:tcW w:w="1088"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411926">
            <w:pPr>
              <w:pStyle w:val="CommentText"/>
              <w:rPr>
                <w:sz w:val="22"/>
                <w:lang w:val="en-GB"/>
              </w:rPr>
            </w:pPr>
            <w:r>
              <w:rPr>
                <w:sz w:val="22"/>
                <w:lang w:val="en-GB"/>
              </w:rPr>
              <w:t>Andreana</w:t>
            </w:r>
          </w:p>
        </w:tc>
        <w:tc>
          <w:tcPr>
            <w:tcW w:w="915"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5B70A3">
            <w:pPr>
              <w:spacing w:before="40" w:after="40"/>
              <w:rPr>
                <w:sz w:val="22"/>
                <w:lang w:val="en-GB"/>
              </w:rPr>
            </w:pPr>
            <w:r>
              <w:rPr>
                <w:sz w:val="22"/>
                <w:lang w:val="en-GB"/>
              </w:rPr>
              <w:t>Pileri</w:t>
            </w:r>
          </w:p>
        </w:tc>
        <w:tc>
          <w:tcPr>
            <w:tcW w:w="1644" w:type="pct"/>
            <w:tcBorders>
              <w:top w:val="single" w:sz="4" w:space="0" w:color="auto"/>
              <w:left w:val="single" w:sz="4" w:space="0" w:color="auto"/>
              <w:bottom w:val="single" w:sz="4" w:space="0" w:color="auto"/>
              <w:right w:val="single" w:sz="4" w:space="0" w:color="auto"/>
            </w:tcBorders>
            <w:shd w:val="clear" w:color="auto" w:fill="FFFFFF" w:themeFill="background1"/>
          </w:tcPr>
          <w:p w:rsidR="00411926" w:rsidRPr="00445272" w:rsidRDefault="00411926" w:rsidP="005B70A3">
            <w:pPr>
              <w:spacing w:before="40" w:after="40"/>
              <w:rPr>
                <w:sz w:val="22"/>
                <w:lang w:val="en-GB"/>
              </w:rPr>
            </w:pPr>
            <w:r>
              <w:rPr>
                <w:sz w:val="22"/>
                <w:lang w:val="en-GB"/>
              </w:rPr>
              <w:t>Commerzbank</w:t>
            </w:r>
          </w:p>
        </w:tc>
      </w:tr>
    </w:tbl>
    <w:p w:rsidR="00404D4D" w:rsidRDefault="00F23DA7" w:rsidP="003E5EFD">
      <w:pPr>
        <w:pStyle w:val="Title1"/>
      </w:pPr>
      <w:r>
        <w:br w:type="page"/>
      </w:r>
      <w:r w:rsidR="003E5EFD" w:rsidRPr="00E07780">
        <w:lastRenderedPageBreak/>
        <w:t>Meeting Agenda</w:t>
      </w:r>
    </w:p>
    <w:p w:rsidR="00844D08" w:rsidRDefault="00844D08" w:rsidP="00844D08">
      <w:pPr>
        <w:spacing w:after="0"/>
      </w:pPr>
      <w:r>
        <w:t>Approval of May 23 conf Call minutes</w:t>
      </w:r>
    </w:p>
    <w:p w:rsidR="00844D08" w:rsidRDefault="00844D08" w:rsidP="00844D08">
      <w:pPr>
        <w:spacing w:after="0"/>
      </w:pPr>
      <w:r>
        <w:t>Conf Call Schedule – Move/cancel November call (because of Osaka)</w:t>
      </w:r>
    </w:p>
    <w:p w:rsidR="00844D08" w:rsidRDefault="00844D08" w:rsidP="00844D08">
      <w:pPr>
        <w:spacing w:after="0"/>
      </w:pPr>
      <w:r>
        <w:t xml:space="preserve">CA 203             Yearly GMP /EIG+ / Template Updates </w:t>
      </w:r>
    </w:p>
    <w:p w:rsidR="00844D08" w:rsidRDefault="00844D08" w:rsidP="00844D08">
      <w:pPr>
        <w:spacing w:after="0"/>
      </w:pPr>
      <w:r>
        <w:t xml:space="preserve">CA167              Consent Events /+ Schemes - </w:t>
      </w:r>
      <w:r w:rsidR="001C0DE2">
        <w:t>Clarify</w:t>
      </w:r>
      <w:r>
        <w:t xml:space="preserve"> business flows.</w:t>
      </w:r>
    </w:p>
    <w:p w:rsidR="00844D08" w:rsidRDefault="00844D08" w:rsidP="00844D08">
      <w:pPr>
        <w:spacing w:after="0"/>
      </w:pPr>
      <w:r>
        <w:t>CA 202             Funds related Issue</w:t>
      </w:r>
    </w:p>
    <w:p w:rsidR="00844D08" w:rsidRDefault="00844D08" w:rsidP="00844D08">
      <w:pPr>
        <w:spacing w:after="0"/>
      </w:pPr>
      <w:r>
        <w:t xml:space="preserve">CA 224             MT 56X - New Event Type  INFO &amp; </w:t>
      </w:r>
      <w:r w:rsidR="00EA6E61">
        <w:t>PROC//</w:t>
      </w:r>
      <w:r>
        <w:t>INFO Indicator</w:t>
      </w:r>
    </w:p>
    <w:p w:rsidR="00844D08" w:rsidRDefault="00844D08" w:rsidP="00844D08">
      <w:pPr>
        <w:spacing w:after="0"/>
      </w:pPr>
      <w:r>
        <w:t>CA 225             MT 565 - Add Option Features, Rates and Narrative &amp; Remove OFFR</w:t>
      </w:r>
    </w:p>
    <w:p w:rsidR="00844D08" w:rsidRDefault="00844D08" w:rsidP="00844D08">
      <w:pPr>
        <w:spacing w:after="0"/>
      </w:pPr>
      <w:r>
        <w:t xml:space="preserve">CA 226             Disclosure (DSCL) event - Clarify usage / market practice </w:t>
      </w:r>
    </w:p>
    <w:p w:rsidR="00844D08" w:rsidRDefault="00844D08" w:rsidP="00844D08">
      <w:pPr>
        <w:spacing w:after="0"/>
      </w:pPr>
      <w:r>
        <w:t>CA 232             Pagination MP</w:t>
      </w:r>
    </w:p>
    <w:p w:rsidR="00844D08" w:rsidRDefault="00844D08" w:rsidP="00844D08">
      <w:pPr>
        <w:spacing w:after="0"/>
      </w:pPr>
      <w:r>
        <w:t>CA 234             Unknown Proceeds (PRUN) and Option Applicability (CAOS)</w:t>
      </w:r>
    </w:p>
    <w:p w:rsidR="00844D08" w:rsidRDefault="00844D08" w:rsidP="00844D08">
      <w:pPr>
        <w:spacing w:after="0"/>
      </w:pPr>
      <w:r>
        <w:t>CA 235             Third Party Offer (“Junk offers”) vs. a Regular Tender Offer</w:t>
      </w:r>
    </w:p>
    <w:p w:rsidR="00844D08" w:rsidRDefault="00844D08" w:rsidP="00844D08">
      <w:pPr>
        <w:spacing w:after="0"/>
      </w:pPr>
      <w:r>
        <w:t>CA 238             Reporting of Bond Holder Meeting in ISO 15022/20022</w:t>
      </w:r>
    </w:p>
    <w:p w:rsidR="00844D08" w:rsidRDefault="00844D08" w:rsidP="00844D08">
      <w:pPr>
        <w:spacing w:after="0"/>
      </w:pPr>
      <w:r>
        <w:t>Tax Subgroup update</w:t>
      </w:r>
    </w:p>
    <w:p w:rsidR="00844D08" w:rsidRDefault="00844D08" w:rsidP="00844D08">
      <w:pPr>
        <w:spacing w:after="0"/>
      </w:pPr>
      <w:r>
        <w:t>PV Subgroup update</w:t>
      </w:r>
    </w:p>
    <w:p w:rsidR="00861F48" w:rsidRDefault="006E598E" w:rsidP="00445272">
      <w:pPr>
        <w:pStyle w:val="Heading1"/>
      </w:pPr>
      <w:bookmarkStart w:id="3" w:name="_Toc330222654"/>
      <w:r>
        <w:t>Approval of May 23 Conf Call</w:t>
      </w:r>
      <w:bookmarkEnd w:id="3"/>
    </w:p>
    <w:p w:rsidR="006E598E" w:rsidRDefault="006E598E" w:rsidP="006E598E">
      <w:r>
        <w:t xml:space="preserve">The minutes are approved without comments. </w:t>
      </w:r>
    </w:p>
    <w:p w:rsidR="006E598E" w:rsidRDefault="006E598E" w:rsidP="006E598E">
      <w:pPr>
        <w:pStyle w:val="Heading1"/>
      </w:pPr>
      <w:bookmarkStart w:id="4" w:name="_Toc330222655"/>
      <w:r>
        <w:t>Conf Call schedule</w:t>
      </w:r>
      <w:bookmarkEnd w:id="4"/>
    </w:p>
    <w:p w:rsidR="006E598E" w:rsidRPr="00771494" w:rsidRDefault="006E598E" w:rsidP="006E598E">
      <w:r w:rsidRPr="00771494">
        <w:t xml:space="preserve">The November call was cancelled due to conflict with the </w:t>
      </w:r>
      <w:smartTag w:uri="urn:schemas-microsoft-com:office:smarttags" w:element="place">
        <w:smartTag w:uri="urn:schemas-microsoft-com:office:smarttags" w:element="City">
          <w:r w:rsidRPr="00771494">
            <w:t>Osaka</w:t>
          </w:r>
        </w:smartTag>
      </w:smartTag>
      <w:r w:rsidRPr="00771494">
        <w:t xml:space="preserve"> meeting.</w:t>
      </w:r>
      <w:r>
        <w:t xml:space="preserve"> </w:t>
      </w:r>
      <w:r w:rsidRPr="00771494">
        <w:t xml:space="preserve">A conf call to discuss the SR2013 </w:t>
      </w:r>
      <w:r>
        <w:t>CRs was added on July 26, 2-4 PM CET.</w:t>
      </w:r>
    </w:p>
    <w:p w:rsidR="00445272" w:rsidRDefault="00445272" w:rsidP="00445272">
      <w:pPr>
        <w:pStyle w:val="Heading1"/>
      </w:pPr>
      <w:bookmarkStart w:id="5" w:name="_Toc330222656"/>
      <w:r w:rsidRPr="00417FE8">
        <w:t>CA 203 –</w:t>
      </w:r>
      <w:r w:rsidR="0008018E">
        <w:t xml:space="preserve"> EIG+ &amp;</w:t>
      </w:r>
      <w:r w:rsidR="006E598E">
        <w:t xml:space="preserve"> Template Updates </w:t>
      </w:r>
      <w:r w:rsidRPr="00417FE8">
        <w:t xml:space="preserve">(review </w:t>
      </w:r>
      <w:r w:rsidR="004A1BFB">
        <w:t>&amp;</w:t>
      </w:r>
      <w:r w:rsidRPr="00417FE8">
        <w:t xml:space="preserve"> follow up NMPG </w:t>
      </w:r>
      <w:r w:rsidR="004A1BFB">
        <w:t>inputs)</w:t>
      </w:r>
      <w:bookmarkEnd w:id="5"/>
      <w:r w:rsidR="004A1BFB">
        <w:t xml:space="preserve"> </w:t>
      </w:r>
    </w:p>
    <w:p w:rsidR="0008018E" w:rsidRPr="0008018E" w:rsidRDefault="0008018E" w:rsidP="0008018E">
      <w:r>
        <w:t>Review remaining action items from the Athens meeting (see Athens meeting minutes):</w:t>
      </w:r>
    </w:p>
    <w:p w:rsidR="00007DDF" w:rsidRDefault="0008018E" w:rsidP="0008018E">
      <w:r>
        <w:t xml:space="preserve">1. </w:t>
      </w:r>
      <w:r w:rsidR="00862913" w:rsidRPr="00771494">
        <w:t>CLSA VOLU: REVO period included in template but n</w:t>
      </w:r>
      <w:r w:rsidR="00007DDF">
        <w:t>ot in GG. Do we add in GG ?</w:t>
      </w:r>
    </w:p>
    <w:p w:rsidR="00862913" w:rsidRDefault="00007DDF" w:rsidP="00007DDF">
      <w:pPr>
        <w:ind w:firstLine="720"/>
        <w:rPr>
          <w:color w:val="FF0000"/>
        </w:rPr>
      </w:pPr>
      <w:r w:rsidRPr="00007DDF">
        <w:rPr>
          <w:color w:val="FF0000"/>
        </w:rPr>
        <w:t xml:space="preserve">-&gt; </w:t>
      </w:r>
      <w:r w:rsidR="009C6EA2" w:rsidRPr="009C6EA2">
        <w:rPr>
          <w:color w:val="FF0000"/>
          <w:u w:val="single"/>
        </w:rPr>
        <w:t>Jacques</w:t>
      </w:r>
      <w:r w:rsidR="009C6EA2">
        <w:rPr>
          <w:color w:val="FF0000"/>
        </w:rPr>
        <w:t xml:space="preserve"> to </w:t>
      </w:r>
      <w:r w:rsidR="00862913" w:rsidRPr="00007DDF">
        <w:rPr>
          <w:color w:val="FF0000"/>
        </w:rPr>
        <w:t>remove REVO from the template</w:t>
      </w:r>
    </w:p>
    <w:p w:rsidR="009C6EA2" w:rsidRPr="00007DDF" w:rsidRDefault="009C6EA2" w:rsidP="009C6EA2">
      <w:pPr>
        <w:ind w:left="720"/>
        <w:rPr>
          <w:color w:val="FF0000"/>
        </w:rPr>
      </w:pPr>
      <w:r w:rsidRPr="00385F09">
        <w:rPr>
          <w:b/>
          <w:color w:val="FF0000"/>
        </w:rPr>
        <w:t xml:space="preserve">-&gt; </w:t>
      </w:r>
      <w:r w:rsidRPr="00385F09">
        <w:rPr>
          <w:b/>
          <w:color w:val="FF0000"/>
          <w:u w:val="single"/>
        </w:rPr>
        <w:t>Sonda</w:t>
      </w:r>
      <w:r w:rsidRPr="00385F09">
        <w:rPr>
          <w:b/>
          <w:color w:val="FF0000"/>
        </w:rPr>
        <w:t xml:space="preserve"> to provide PWAL value for the CLSA template as well as the “terms” paragraph for the event</w:t>
      </w:r>
      <w:r>
        <w:rPr>
          <w:color w:val="FF0000"/>
        </w:rPr>
        <w:t>.</w:t>
      </w:r>
    </w:p>
    <w:p w:rsidR="00862913" w:rsidRPr="00771494" w:rsidRDefault="00007DDF" w:rsidP="0008018E">
      <w:r>
        <w:t xml:space="preserve">2. </w:t>
      </w:r>
      <w:r w:rsidR="00862913" w:rsidRPr="00771494">
        <w:t xml:space="preserve">DETI MAND: </w:t>
      </w:r>
      <w:r w:rsidR="009C6EA2">
        <w:t xml:space="preserve">Check if :92a::RATE is needed ? </w:t>
      </w:r>
      <w:r w:rsidR="009C6EA2" w:rsidRPr="009C6EA2">
        <w:rPr>
          <w:color w:val="FF0000"/>
        </w:rPr>
        <w:t xml:space="preserve">-&gt; </w:t>
      </w:r>
      <w:r w:rsidR="00862913" w:rsidRPr="009C6EA2">
        <w:rPr>
          <w:color w:val="FF0000"/>
        </w:rPr>
        <w:t>Rate is not needed</w:t>
      </w:r>
      <w:r w:rsidR="00324C0E">
        <w:rPr>
          <w:color w:val="FF0000"/>
        </w:rPr>
        <w:t>.</w:t>
      </w:r>
    </w:p>
    <w:p w:rsidR="00324C0E" w:rsidRDefault="00324C0E" w:rsidP="0008018E">
      <w:r>
        <w:t xml:space="preserve">3. </w:t>
      </w:r>
      <w:r w:rsidR="00862913" w:rsidRPr="00771494">
        <w:t>DRCA MAND: EFFD</w:t>
      </w:r>
      <w:r>
        <w:t>=Unknown is in template but not in GG. Is it needed ?</w:t>
      </w:r>
      <w:r w:rsidR="00862913" w:rsidRPr="00771494">
        <w:t xml:space="preserve"> </w:t>
      </w:r>
    </w:p>
    <w:p w:rsidR="00862913" w:rsidRPr="00324C0E" w:rsidRDefault="00324C0E" w:rsidP="00324C0E">
      <w:pPr>
        <w:ind w:firstLine="720"/>
        <w:rPr>
          <w:color w:val="FF0000"/>
        </w:rPr>
      </w:pPr>
      <w:r w:rsidRPr="00324C0E">
        <w:rPr>
          <w:color w:val="FF0000"/>
        </w:rPr>
        <w:t xml:space="preserve">-&gt; Jacques to </w:t>
      </w:r>
      <w:r w:rsidR="00862913" w:rsidRPr="00324C0E">
        <w:rPr>
          <w:color w:val="FF0000"/>
        </w:rPr>
        <w:t>remove EFFD from template</w:t>
      </w:r>
    </w:p>
    <w:p w:rsidR="004662B2" w:rsidRDefault="004662B2" w:rsidP="0008018E">
      <w:r>
        <w:t xml:space="preserve">4. </w:t>
      </w:r>
      <w:r w:rsidR="00862913" w:rsidRPr="00771494">
        <w:t>LIQU MAND</w:t>
      </w:r>
      <w:r>
        <w:t xml:space="preserve"> in EIG+ DE column</w:t>
      </w:r>
      <w:r w:rsidR="00862913" w:rsidRPr="00771494">
        <w:t>: XDTE</w:t>
      </w:r>
      <w:r>
        <w:t>[O] missing comments on usage of XDTE.</w:t>
      </w:r>
    </w:p>
    <w:p w:rsidR="00862913" w:rsidRPr="004662B2" w:rsidRDefault="004662B2" w:rsidP="004662B2">
      <w:pPr>
        <w:ind w:firstLine="720"/>
        <w:rPr>
          <w:color w:val="FF0000"/>
        </w:rPr>
      </w:pPr>
      <w:r w:rsidRPr="004662B2">
        <w:rPr>
          <w:color w:val="FF0000"/>
        </w:rPr>
        <w:t xml:space="preserve">-&gt; </w:t>
      </w:r>
      <w:r w:rsidRPr="00385F09">
        <w:rPr>
          <w:b/>
          <w:color w:val="FF0000"/>
          <w:u w:val="single"/>
        </w:rPr>
        <w:t>Daniel/Andreana</w:t>
      </w:r>
      <w:r w:rsidRPr="00385F09">
        <w:rPr>
          <w:b/>
          <w:color w:val="FF0000"/>
        </w:rPr>
        <w:t xml:space="preserve"> to provide comments on XDTE usage.</w:t>
      </w:r>
    </w:p>
    <w:p w:rsidR="004B2A7B" w:rsidRDefault="004B2A7B" w:rsidP="0008018E">
      <w:r>
        <w:t xml:space="preserve">5. </w:t>
      </w:r>
      <w:r w:rsidR="00862913" w:rsidRPr="00771494">
        <w:t xml:space="preserve">CONS VOLU: INCE rate is M in GG, but not included in template. </w:t>
      </w:r>
    </w:p>
    <w:p w:rsidR="00862913" w:rsidRPr="004B2A7B" w:rsidRDefault="004B2A7B" w:rsidP="004B2A7B">
      <w:pPr>
        <w:ind w:firstLine="720"/>
        <w:rPr>
          <w:color w:val="FF0000"/>
        </w:rPr>
      </w:pPr>
      <w:r w:rsidRPr="004B2A7B">
        <w:rPr>
          <w:color w:val="FF0000"/>
        </w:rPr>
        <w:t xml:space="preserve">-&gt; </w:t>
      </w:r>
      <w:r w:rsidR="00862913" w:rsidRPr="004B2A7B">
        <w:rPr>
          <w:color w:val="FF0000"/>
        </w:rPr>
        <w:t>Change INCE to O in GG. Jacques to email the template to Christine, who will insert INCE.</w:t>
      </w:r>
    </w:p>
    <w:p w:rsidR="00862913" w:rsidRDefault="00385F09" w:rsidP="0008018E">
      <w:r>
        <w:t xml:space="preserve">6. </w:t>
      </w:r>
      <w:r w:rsidR="00862913" w:rsidRPr="00771494">
        <w:t>RDTE tracking tab: Input from Belgium and US missing.</w:t>
      </w:r>
    </w:p>
    <w:p w:rsidR="00D0402E" w:rsidRPr="00D0402E" w:rsidRDefault="00D0402E" w:rsidP="0008018E">
      <w:pPr>
        <w:rPr>
          <w:color w:val="FF0000"/>
        </w:rPr>
      </w:pPr>
      <w:r w:rsidRPr="00D0402E">
        <w:rPr>
          <w:color w:val="FF0000"/>
        </w:rPr>
        <w:tab/>
        <w:t xml:space="preserve">-&gt; </w:t>
      </w:r>
      <w:r w:rsidRPr="009401E9">
        <w:rPr>
          <w:b/>
          <w:color w:val="FF0000"/>
        </w:rPr>
        <w:t>US and BE to provide their input</w:t>
      </w:r>
    </w:p>
    <w:p w:rsidR="00862913" w:rsidRPr="00771494" w:rsidRDefault="00862913" w:rsidP="009401E9">
      <w:pPr>
        <w:pStyle w:val="Heading1"/>
      </w:pPr>
      <w:bookmarkStart w:id="6" w:name="_Toc330222657"/>
      <w:r w:rsidRPr="00771494">
        <w:t>CA</w:t>
      </w:r>
      <w:r w:rsidR="00045384">
        <w:t xml:space="preserve"> </w:t>
      </w:r>
      <w:r w:rsidRPr="00771494">
        <w:t>167 – Consent Events /+ Schemes - Clarify business flows</w:t>
      </w:r>
      <w:bookmarkEnd w:id="6"/>
    </w:p>
    <w:p w:rsidR="00862913" w:rsidRDefault="00862913" w:rsidP="009401E9">
      <w:r w:rsidRPr="00771494">
        <w:t xml:space="preserve">ISITC did not believe there were any other changes to the document, and have adopted it and plan to publish it next week. Bernard has made some changes and will email the updated version to Sonda and </w:t>
      </w:r>
      <w:r>
        <w:t>D</w:t>
      </w:r>
      <w:r w:rsidRPr="00771494">
        <w:t>e</w:t>
      </w:r>
      <w:r>
        <w:t>l</w:t>
      </w:r>
      <w:r w:rsidRPr="00771494">
        <w:t xml:space="preserve">phine by end of this week. </w:t>
      </w:r>
      <w:r w:rsidR="00AC1AF1">
        <w:t xml:space="preserve">-&gt; </w:t>
      </w:r>
      <w:r w:rsidRPr="00771494">
        <w:t>Postponed to next conf call.</w:t>
      </w:r>
    </w:p>
    <w:p w:rsidR="00AC1AF1" w:rsidRDefault="00AC1AF1" w:rsidP="00AC1AF1">
      <w:pPr>
        <w:pStyle w:val="Actions"/>
      </w:pPr>
      <w:r w:rsidRPr="00AC1AF1">
        <w:rPr>
          <w:b/>
          <w:u w:val="single"/>
        </w:rPr>
        <w:lastRenderedPageBreak/>
        <w:t>Action</w:t>
      </w:r>
      <w:r>
        <w:t>: Bernard to send updated document to Sonda and Delphine</w:t>
      </w:r>
    </w:p>
    <w:p w:rsidR="00862913" w:rsidRPr="00771494" w:rsidRDefault="00862913" w:rsidP="00AC1AF1">
      <w:pPr>
        <w:pStyle w:val="Heading1"/>
      </w:pPr>
      <w:bookmarkStart w:id="7" w:name="_Toc330222658"/>
      <w:r w:rsidRPr="00771494">
        <w:t>CA 202 – Funds related Issue</w:t>
      </w:r>
      <w:bookmarkEnd w:id="7"/>
    </w:p>
    <w:p w:rsidR="00862913" w:rsidRPr="00771494" w:rsidRDefault="00862913" w:rsidP="00AC1AF1">
      <w:r w:rsidRPr="00771494">
        <w:t>Mari will create a list. Andreana and Veronique did not attend the call, and have not sent any lists.</w:t>
      </w:r>
    </w:p>
    <w:p w:rsidR="00445272" w:rsidRPr="00221519" w:rsidRDefault="00AC1AF1" w:rsidP="00AC1AF1">
      <w:pPr>
        <w:pStyle w:val="Actions"/>
      </w:pPr>
      <w:r w:rsidRPr="00AC1AF1">
        <w:rPr>
          <w:u w:val="single"/>
        </w:rPr>
        <w:t>Action</w:t>
      </w:r>
      <w:r>
        <w:t xml:space="preserve">: </w:t>
      </w:r>
      <w:r w:rsidRPr="00AC1AF1">
        <w:t>Andreana (covering DE), Mari (covering UK&amp;IE) and Veronique (covering the rest of countries) to create the respective list of pain points</w:t>
      </w:r>
      <w:r>
        <w:t xml:space="preserve"> for investment funds related events i.e. </w:t>
      </w:r>
      <w:r w:rsidRPr="00AC1AF1">
        <w:t>income distributions, capital reorganisations (fund mergers, de-mergers, closures etc.) and shareholder voting, reinvestment of Fund (REIN) Cash Distribution.</w:t>
      </w:r>
    </w:p>
    <w:p w:rsidR="00445272" w:rsidRPr="00EA6E61" w:rsidRDefault="00445272" w:rsidP="00EA6E61">
      <w:pPr>
        <w:pStyle w:val="Heading1"/>
      </w:pPr>
      <w:bookmarkStart w:id="8" w:name="_Toc330222659"/>
      <w:r w:rsidRPr="00EA6E61">
        <w:t xml:space="preserve">CA 224 - MT 56X - New Event Type INFO &amp; </w:t>
      </w:r>
      <w:r w:rsidR="00EA6E61" w:rsidRPr="00EA6E61">
        <w:rPr>
          <w:szCs w:val="22"/>
        </w:rPr>
        <w:t>&amp; PROC//INFO Indicator</w:t>
      </w:r>
      <w:bookmarkEnd w:id="8"/>
    </w:p>
    <w:p w:rsidR="00862913" w:rsidRPr="00771494" w:rsidRDefault="00862913" w:rsidP="00EA6E61">
      <w:r w:rsidRPr="00771494">
        <w:t xml:space="preserve">Feedback </w:t>
      </w:r>
      <w:r w:rsidR="00EA6E61">
        <w:t xml:space="preserve">from NMPG’s </w:t>
      </w:r>
      <w:r w:rsidRPr="00771494">
        <w:t xml:space="preserve">on when </w:t>
      </w:r>
      <w:r w:rsidR="00EA6E61">
        <w:t>:25D:</w:t>
      </w:r>
      <w:r w:rsidRPr="00771494">
        <w:t>PROC//INFO is used and for what purpose</w:t>
      </w:r>
      <w:r w:rsidR="00EA6E61">
        <w:t xml:space="preserve"> ?</w:t>
      </w:r>
    </w:p>
    <w:p w:rsidR="00862913" w:rsidRPr="00771494" w:rsidRDefault="00EA6E61" w:rsidP="00EA6E61">
      <w:r>
        <w:t>SE</w:t>
      </w:r>
      <w:r w:rsidR="00862913">
        <w:t xml:space="preserve">: </w:t>
      </w:r>
      <w:r>
        <w:t>Used (probably) erroneously by one company for Bankruptcy. Otherwise n</w:t>
      </w:r>
      <w:r w:rsidR="00862913" w:rsidRPr="00771494">
        <w:t>ot used</w:t>
      </w:r>
      <w:r w:rsidR="00862913">
        <w:t>.</w:t>
      </w:r>
    </w:p>
    <w:p w:rsidR="00862913" w:rsidRPr="00771494" w:rsidRDefault="00EA6E61" w:rsidP="00EA6E61">
      <w:r>
        <w:t>CH</w:t>
      </w:r>
      <w:r w:rsidR="00862913">
        <w:t xml:space="preserve">: </w:t>
      </w:r>
      <w:r w:rsidR="00862913" w:rsidRPr="00771494">
        <w:t>Not discussed yet; will revert after the next meeting in early July.</w:t>
      </w:r>
    </w:p>
    <w:p w:rsidR="00862913" w:rsidRPr="00771494" w:rsidRDefault="002507E3" w:rsidP="002507E3">
      <w:pPr>
        <w:pStyle w:val="Decisions"/>
      </w:pPr>
      <w:r>
        <w:t xml:space="preserve">-&gt; </w:t>
      </w:r>
      <w:r w:rsidR="00862913" w:rsidRPr="00771494">
        <w:t>Item to be discussed at the September conf call.</w:t>
      </w:r>
    </w:p>
    <w:p w:rsidR="00F51EE4" w:rsidRDefault="00445272" w:rsidP="004A1BFB">
      <w:pPr>
        <w:pStyle w:val="Heading1"/>
      </w:pPr>
      <w:bookmarkStart w:id="9" w:name="_Toc330222660"/>
      <w:r w:rsidRPr="00417FE8">
        <w:t>CA 225 – MT 565 - Add Option Features, Rates and Narrative (NMPG Feedback)</w:t>
      </w:r>
      <w:bookmarkEnd w:id="9"/>
      <w:r w:rsidRPr="00417FE8">
        <w:t xml:space="preserve"> </w:t>
      </w:r>
    </w:p>
    <w:p w:rsidR="00F51EE4" w:rsidRDefault="00C47628" w:rsidP="00F51EE4">
      <w:r>
        <w:t xml:space="preserve">NMPG’s </w:t>
      </w:r>
      <w:r w:rsidR="00F51EE4">
        <w:t>Feedback on the 3 questions asked in Athens</w:t>
      </w:r>
      <w:r>
        <w:t xml:space="preserve"> (Cont’d)</w:t>
      </w:r>
      <w:r w:rsidR="00F51EE4">
        <w:t>:</w:t>
      </w:r>
    </w:p>
    <w:p w:rsidR="00F51EE4" w:rsidRPr="00F51EE4" w:rsidRDefault="00F51EE4" w:rsidP="00F51EE4">
      <w:pPr>
        <w:pStyle w:val="Decisions"/>
        <w:numPr>
          <w:ilvl w:val="0"/>
          <w:numId w:val="31"/>
        </w:numPr>
        <w:rPr>
          <w:color w:val="auto"/>
        </w:rPr>
      </w:pPr>
      <w:r w:rsidRPr="00F51EE4">
        <w:rPr>
          <w:color w:val="auto"/>
        </w:rPr>
        <w:t>Can we create a market practice for validation on other fields/values to find the right option when an instruction does not have a proper CAON ?</w:t>
      </w:r>
    </w:p>
    <w:p w:rsidR="00F51EE4" w:rsidRPr="00F51EE4" w:rsidRDefault="00F51EE4" w:rsidP="00F51EE4">
      <w:pPr>
        <w:pStyle w:val="Decisions"/>
        <w:numPr>
          <w:ilvl w:val="0"/>
          <w:numId w:val="31"/>
        </w:numPr>
        <w:rPr>
          <w:color w:val="auto"/>
        </w:rPr>
      </w:pPr>
      <w:r w:rsidRPr="00F51EE4">
        <w:rPr>
          <w:color w:val="auto"/>
        </w:rPr>
        <w:t>Can we create a market practice for validation on other fields to identify the right event when an instruction does not have a proper CORP ?</w:t>
      </w:r>
    </w:p>
    <w:p w:rsidR="00F51EE4" w:rsidRPr="00F51EE4" w:rsidRDefault="00F51EE4" w:rsidP="00F51EE4">
      <w:pPr>
        <w:pStyle w:val="Decisions"/>
        <w:numPr>
          <w:ilvl w:val="0"/>
          <w:numId w:val="31"/>
        </w:numPr>
        <w:rPr>
          <w:color w:val="auto"/>
        </w:rPr>
      </w:pPr>
      <w:r w:rsidRPr="00F51EE4">
        <w:rPr>
          <w:color w:val="auto"/>
        </w:rPr>
        <w:t>Can we support the (not yet ready) US CR to add more data elements (Sonda’s document) in the MT565 ?</w:t>
      </w:r>
    </w:p>
    <w:p w:rsidR="00862913" w:rsidRPr="00771494" w:rsidRDefault="00EA6E61" w:rsidP="00EA6E61">
      <w:r w:rsidRPr="00EA6E61">
        <w:rPr>
          <w:u w:val="single"/>
        </w:rPr>
        <w:t>JP</w:t>
      </w:r>
      <w:r>
        <w:t xml:space="preserve">: </w:t>
      </w:r>
      <w:r w:rsidR="00862913">
        <w:t xml:space="preserve"> </w:t>
      </w:r>
      <w:r w:rsidR="00862913" w:rsidRPr="00771494">
        <w:t>Quite difficult for JP to accept the US CR.</w:t>
      </w:r>
    </w:p>
    <w:p w:rsidR="00862913" w:rsidRPr="00771494" w:rsidRDefault="00EA6E61" w:rsidP="00EA6E61">
      <w:r w:rsidRPr="00EA6E61">
        <w:rPr>
          <w:u w:val="single"/>
        </w:rPr>
        <w:t>LU</w:t>
      </w:r>
      <w:r>
        <w:t xml:space="preserve">: </w:t>
      </w:r>
      <w:r w:rsidR="00862913">
        <w:t>f</w:t>
      </w:r>
      <w:r w:rsidR="00862913" w:rsidRPr="00771494">
        <w:t xml:space="preserve">eedback via email: Not in </w:t>
      </w:r>
      <w:r w:rsidR="001C0DE2" w:rsidRPr="00771494">
        <w:t>favor</w:t>
      </w:r>
      <w:r w:rsidR="00862913" w:rsidRPr="00771494">
        <w:t xml:space="preserve"> (issue with </w:t>
      </w:r>
      <w:r>
        <w:t xml:space="preserve">implementation </w:t>
      </w:r>
      <w:r w:rsidR="00862913" w:rsidRPr="00771494">
        <w:t>impact and the fact that other issues will still remain: maintain special options and d</w:t>
      </w:r>
      <w:r>
        <w:t>eadlines for each providers</w:t>
      </w:r>
      <w:r w:rsidR="00862913" w:rsidRPr="00771494">
        <w:t>)</w:t>
      </w:r>
      <w:r>
        <w:t>.</w:t>
      </w:r>
    </w:p>
    <w:p w:rsidR="00862913" w:rsidRDefault="00EA6E61" w:rsidP="00EA6E61">
      <w:r w:rsidRPr="00C47628">
        <w:rPr>
          <w:u w:val="single"/>
        </w:rPr>
        <w:t>FI</w:t>
      </w:r>
      <w:r w:rsidR="00C47628">
        <w:rPr>
          <w:u w:val="single"/>
        </w:rPr>
        <w:t>:</w:t>
      </w:r>
      <w:r w:rsidR="00C47628">
        <w:t xml:space="preserve"> feedback via email. Answers to questions:</w:t>
      </w:r>
    </w:p>
    <w:p w:rsidR="00862913" w:rsidRDefault="00862913" w:rsidP="00EA6E61">
      <w:r>
        <w:t>1. No</w:t>
      </w:r>
      <w:r w:rsidR="00EA6E61">
        <w:t xml:space="preserve">  2</w:t>
      </w:r>
      <w:r>
        <w:t>. No</w:t>
      </w:r>
      <w:r w:rsidR="00EA6E61">
        <w:t xml:space="preserve"> </w:t>
      </w:r>
      <w:r>
        <w:t>3. No</w:t>
      </w:r>
      <w:r w:rsidR="00C47628">
        <w:t xml:space="preserve"> </w:t>
      </w:r>
    </w:p>
    <w:p w:rsidR="00862913" w:rsidRPr="0038052B" w:rsidRDefault="00862913" w:rsidP="00EA6E61">
      <w:r>
        <w:t>The Finnish NMPG believes</w:t>
      </w:r>
      <w:r w:rsidRPr="0038052B">
        <w:t xml:space="preserve"> that when COAF will be widely used it </w:t>
      </w:r>
      <w:r>
        <w:t>will</w:t>
      </w:r>
      <w:r w:rsidRPr="0038052B">
        <w:t xml:space="preserve"> solve current problems.</w:t>
      </w:r>
    </w:p>
    <w:p w:rsidR="00862913" w:rsidRPr="00C47628" w:rsidRDefault="00862913" w:rsidP="00EA6E61">
      <w:pPr>
        <w:rPr>
          <w:u w:val="single"/>
        </w:rPr>
      </w:pPr>
      <w:smartTag w:uri="urn:schemas-microsoft-com:office:smarttags" w:element="stockticker">
        <w:r w:rsidRPr="00C47628">
          <w:rPr>
            <w:u w:val="single"/>
          </w:rPr>
          <w:t>UK</w:t>
        </w:r>
        <w:r w:rsidR="00C47628">
          <w:rPr>
            <w:u w:val="single"/>
          </w:rPr>
          <w:t>:</w:t>
        </w:r>
      </w:smartTag>
    </w:p>
    <w:p w:rsidR="00862913" w:rsidRPr="00771494" w:rsidRDefault="00862913" w:rsidP="00EA6E61">
      <w:r w:rsidRPr="00771494">
        <w:t>1. Yes, if it increases STP</w:t>
      </w:r>
    </w:p>
    <w:p w:rsidR="00862913" w:rsidRPr="00771494" w:rsidRDefault="00862913" w:rsidP="00EA6E61">
      <w:r w:rsidRPr="00771494">
        <w:t>2. Accept 565 without correct CORP only if COAF included</w:t>
      </w:r>
    </w:p>
    <w:p w:rsidR="00862913" w:rsidRPr="00771494" w:rsidRDefault="00862913" w:rsidP="00EA6E61">
      <w:r w:rsidRPr="00771494">
        <w:t xml:space="preserve">3. Mari will email the </w:t>
      </w:r>
      <w:smartTag w:uri="urn:schemas-microsoft-com:office:smarttags" w:element="stockticker">
        <w:r w:rsidRPr="00771494">
          <w:t>UK</w:t>
        </w:r>
      </w:smartTag>
      <w:r w:rsidRPr="00771494">
        <w:t xml:space="preserve"> comments; the CR is supported only under certain conditions.</w:t>
      </w:r>
    </w:p>
    <w:p w:rsidR="00862913" w:rsidRPr="00771494" w:rsidRDefault="00862913" w:rsidP="00EA6E61">
      <w:r w:rsidRPr="00C47628">
        <w:rPr>
          <w:u w:val="single"/>
        </w:rPr>
        <w:t>R</w:t>
      </w:r>
      <w:r w:rsidR="00C47628" w:rsidRPr="00C47628">
        <w:rPr>
          <w:u w:val="single"/>
        </w:rPr>
        <w:t>U</w:t>
      </w:r>
      <w:r w:rsidR="00C47628">
        <w:t>:</w:t>
      </w:r>
    </w:p>
    <w:p w:rsidR="00862913" w:rsidRPr="00771494" w:rsidRDefault="00862913" w:rsidP="00EA6E61">
      <w:r w:rsidRPr="00771494">
        <w:t>1. Need correct CAON</w:t>
      </w:r>
    </w:p>
    <w:p w:rsidR="00862913" w:rsidRPr="00771494" w:rsidRDefault="00862913" w:rsidP="00EA6E61">
      <w:r w:rsidRPr="00771494">
        <w:t>2. Need CORP (or COAF when implemented)</w:t>
      </w:r>
    </w:p>
    <w:p w:rsidR="00862913" w:rsidRPr="00771494" w:rsidRDefault="00862913" w:rsidP="00EA6E61">
      <w:r w:rsidRPr="00771494">
        <w:t>3. Neutral</w:t>
      </w:r>
    </w:p>
    <w:p w:rsidR="00862913" w:rsidRPr="00771494" w:rsidRDefault="00C47628" w:rsidP="00EA6E61">
      <w:r w:rsidRPr="00C47628">
        <w:rPr>
          <w:u w:val="single"/>
        </w:rPr>
        <w:t>CH</w:t>
      </w:r>
      <w:r>
        <w:t>:</w:t>
      </w:r>
    </w:p>
    <w:p w:rsidR="00862913" w:rsidRPr="00771494" w:rsidRDefault="00862913" w:rsidP="00EA6E61">
      <w:r w:rsidRPr="00771494">
        <w:t>1 and 2: Reported last conf call</w:t>
      </w:r>
    </w:p>
    <w:p w:rsidR="00862913" w:rsidRPr="00771494" w:rsidRDefault="00862913" w:rsidP="00EA6E61">
      <w:r w:rsidRPr="00771494">
        <w:lastRenderedPageBreak/>
        <w:t xml:space="preserve">3: </w:t>
      </w:r>
      <w:r w:rsidR="00C47628">
        <w:t xml:space="preserve">Implementation </w:t>
      </w:r>
      <w:r w:rsidR="00031149">
        <w:t>i</w:t>
      </w:r>
      <w:r w:rsidRPr="00771494">
        <w:t xml:space="preserve">mpact in </w:t>
      </w:r>
      <w:smartTag w:uri="urn:schemas-microsoft-com:office:smarttags" w:element="stockticker">
        <w:r w:rsidRPr="00771494">
          <w:t>Europe</w:t>
        </w:r>
      </w:smartTag>
      <w:r w:rsidRPr="00771494">
        <w:t xml:space="preserve"> is high rather than medium. </w:t>
      </w:r>
      <w:r w:rsidR="00031149">
        <w:t xml:space="preserve">Do not see the benefits with the </w:t>
      </w:r>
      <w:r w:rsidRPr="00771494">
        <w:t xml:space="preserve">inclusion of dates. </w:t>
      </w:r>
      <w:r w:rsidR="00031149">
        <w:t xml:space="preserve">Addition of </w:t>
      </w:r>
      <w:r w:rsidRPr="00771494">
        <w:t>OFFO was also questioned, since it is narrative.</w:t>
      </w:r>
      <w:r w:rsidR="00031149">
        <w:t xml:space="preserve"> CH is not in favor.</w:t>
      </w:r>
    </w:p>
    <w:p w:rsidR="00862913" w:rsidRPr="00F51EE4" w:rsidRDefault="00031149" w:rsidP="00445272">
      <w:r>
        <w:t>ISITC meeting feedback (</w:t>
      </w:r>
      <w:r w:rsidR="00862913" w:rsidRPr="00771494">
        <w:t>Jacques</w:t>
      </w:r>
      <w:r>
        <w:t>)</w:t>
      </w:r>
      <w:r w:rsidR="00862913">
        <w:t xml:space="preserve">: </w:t>
      </w:r>
      <w:r w:rsidR="00862913" w:rsidRPr="00771494">
        <w:t xml:space="preserve">The large majority of ISITC participants are very strongly in </w:t>
      </w:r>
      <w:r w:rsidR="001C0DE2" w:rsidRPr="00771494">
        <w:t>favor</w:t>
      </w:r>
      <w:r w:rsidR="00862913" w:rsidRPr="00771494">
        <w:t xml:space="preserve"> of the CR, and the IM community will implement support for it directly. In reality, </w:t>
      </w:r>
      <w:r w:rsidR="00862913">
        <w:t>many IMs already use the proposed process with “dummy” numbers in CAON.</w:t>
      </w:r>
    </w:p>
    <w:p w:rsidR="00445272" w:rsidRDefault="00445272" w:rsidP="004A1BFB">
      <w:pPr>
        <w:pStyle w:val="Heading1"/>
      </w:pPr>
      <w:bookmarkStart w:id="10" w:name="_Toc330222661"/>
      <w:r w:rsidRPr="00417FE8">
        <w:t>CA 226 – Disclosure (DSCL) event  </w:t>
      </w:r>
      <w:r w:rsidR="002507E3">
        <w:t>- Clarify Usage / MP</w:t>
      </w:r>
      <w:bookmarkEnd w:id="10"/>
    </w:p>
    <w:p w:rsidR="002507E3" w:rsidRDefault="002507E3" w:rsidP="002507E3">
      <w:r>
        <w:t>May 2012: CR put "on hold" waiting for the feedback on CAMV code.</w:t>
      </w:r>
    </w:p>
    <w:p w:rsidR="002507E3" w:rsidRPr="002507E3" w:rsidRDefault="002507E3" w:rsidP="002507E3">
      <w:pPr>
        <w:rPr>
          <w:u w:val="single"/>
        </w:rPr>
      </w:pPr>
      <w:r w:rsidRPr="002507E3">
        <w:rPr>
          <w:u w:val="single"/>
        </w:rPr>
        <w:t>NMPG’s feedback on usage of DSCL events:</w:t>
      </w:r>
    </w:p>
    <w:p w:rsidR="002507E3" w:rsidRDefault="001C0DE2" w:rsidP="002507E3">
      <w:r>
        <w:t>NO (via emai</w:t>
      </w:r>
      <w:r w:rsidR="002507E3">
        <w:t>l</w:t>
      </w:r>
      <w:r>
        <w:t>)</w:t>
      </w:r>
      <w:r w:rsidR="002507E3">
        <w:t>: Seldom used, then voluntary. No need to have new CAMV code and option codes.</w:t>
      </w:r>
    </w:p>
    <w:p w:rsidR="002507E3" w:rsidRDefault="002507E3" w:rsidP="002507E3">
      <w:r>
        <w:t xml:space="preserve">JP (via email): For Non systematic / Outside event / Not linked to </w:t>
      </w:r>
      <w:r w:rsidR="001C0DE2">
        <w:t>Threshold</w:t>
      </w:r>
      <w:r>
        <w:t xml:space="preserve"> / Nominee Level: This event  happens irregularly. It happens when issuers request for the "General Shareholders Notification".</w:t>
      </w:r>
    </w:p>
    <w:p w:rsidR="00862913" w:rsidRPr="00771494" w:rsidRDefault="00862913" w:rsidP="002507E3">
      <w:r w:rsidRPr="00771494">
        <w:t>UK&amp;IE</w:t>
      </w:r>
      <w:r>
        <w:t xml:space="preserve">: </w:t>
      </w:r>
      <w:r w:rsidRPr="00771494">
        <w:t>Not applicable, therefore no comments</w:t>
      </w:r>
    </w:p>
    <w:p w:rsidR="00862913" w:rsidRPr="00771494" w:rsidRDefault="002507E3" w:rsidP="002507E3">
      <w:r>
        <w:t xml:space="preserve">FI: </w:t>
      </w:r>
      <w:r w:rsidR="00862913" w:rsidRPr="00771494">
        <w:t>Seldom used, and voluntary if used. No need to have new CAMV code and option codes.</w:t>
      </w:r>
    </w:p>
    <w:p w:rsidR="00862913" w:rsidRPr="00771494" w:rsidRDefault="002507E3" w:rsidP="002507E3">
      <w:r>
        <w:t>IT</w:t>
      </w:r>
      <w:r w:rsidR="00862913">
        <w:t xml:space="preserve">: </w:t>
      </w:r>
      <w:r w:rsidR="00862913" w:rsidRPr="00771494">
        <w:t>Not used</w:t>
      </w:r>
    </w:p>
    <w:p w:rsidR="002507E3" w:rsidRPr="00771494" w:rsidRDefault="002507E3" w:rsidP="002507E3">
      <w:r>
        <w:t xml:space="preserve">CH: </w:t>
      </w:r>
      <w:r w:rsidRPr="00771494">
        <w:t>Will report at next call</w:t>
      </w:r>
    </w:p>
    <w:p w:rsidR="00862913" w:rsidRPr="00771494" w:rsidRDefault="00862913" w:rsidP="002507E3">
      <w:r w:rsidRPr="00771494">
        <w:t>US</w:t>
      </w:r>
      <w:r w:rsidR="002507E3">
        <w:t>/ISITC</w:t>
      </w:r>
      <w:r>
        <w:t xml:space="preserve">: </w:t>
      </w:r>
      <w:r w:rsidRPr="00771494">
        <w:t>Have not yet discussed; will report at next call</w:t>
      </w:r>
    </w:p>
    <w:p w:rsidR="00862913" w:rsidRPr="00771494" w:rsidRDefault="002507E3" w:rsidP="002507E3">
      <w:r>
        <w:t>SE</w:t>
      </w:r>
      <w:r w:rsidR="00862913">
        <w:t xml:space="preserve">: </w:t>
      </w:r>
      <w:r w:rsidR="00862913" w:rsidRPr="00771494">
        <w:t>Have not yet discussed; will report at next call</w:t>
      </w:r>
    </w:p>
    <w:p w:rsidR="00862913" w:rsidRPr="00771494" w:rsidRDefault="002507E3" w:rsidP="002507E3">
      <w:pPr>
        <w:pStyle w:val="Decisions"/>
      </w:pPr>
      <w:r>
        <w:t xml:space="preserve">-&gt; </w:t>
      </w:r>
      <w:r w:rsidR="00862913" w:rsidRPr="00771494">
        <w:t>Item to be discussed at the September conf call.</w:t>
      </w:r>
    </w:p>
    <w:p w:rsidR="002507E3" w:rsidRDefault="00862913" w:rsidP="002507E3">
      <w:pPr>
        <w:pStyle w:val="Heading1"/>
      </w:pPr>
      <w:bookmarkStart w:id="11" w:name="_Toc330222662"/>
      <w:r w:rsidRPr="00771494">
        <w:t>CA 232 – Pagination MP</w:t>
      </w:r>
      <w:bookmarkEnd w:id="11"/>
      <w:r w:rsidRPr="00771494">
        <w:t xml:space="preserve"> </w:t>
      </w:r>
    </w:p>
    <w:p w:rsidR="00862913" w:rsidRPr="00B113C5" w:rsidRDefault="00862913" w:rsidP="00B113C5">
      <w:pPr>
        <w:rPr>
          <w:rStyle w:val="messagetypecontextto"/>
        </w:rPr>
      </w:pPr>
      <w:r w:rsidRPr="00B113C5">
        <w:rPr>
          <w:rStyle w:val="messagetypecontextto"/>
          <w:u w:val="single"/>
        </w:rPr>
        <w:t>NMPG feedback on MP</w:t>
      </w:r>
      <w:r w:rsidR="00B113C5">
        <w:rPr>
          <w:rStyle w:val="messagetypecontextto"/>
        </w:rPr>
        <w:t xml:space="preserve">: </w:t>
      </w:r>
    </w:p>
    <w:p w:rsidR="00862913" w:rsidRPr="00B113C5" w:rsidRDefault="00862913" w:rsidP="00B113C5">
      <w:pPr>
        <w:rPr>
          <w:rStyle w:val="messagetypecontextto"/>
        </w:rPr>
      </w:pPr>
      <w:smartTag w:uri="urn:schemas-microsoft-com:office:smarttags" w:element="stockticker">
        <w:r w:rsidRPr="00B113C5">
          <w:rPr>
            <w:rStyle w:val="messagetypecontextto"/>
            <w:u w:val="single"/>
          </w:rPr>
          <w:t>UK</w:t>
        </w:r>
      </w:smartTag>
      <w:r w:rsidRPr="00B113C5">
        <w:rPr>
          <w:rStyle w:val="messagetypecontextto"/>
        </w:rPr>
        <w:t>: Approve</w:t>
      </w:r>
    </w:p>
    <w:p w:rsidR="00862913" w:rsidRPr="00B113C5" w:rsidRDefault="00862913" w:rsidP="00B113C5">
      <w:pPr>
        <w:rPr>
          <w:rStyle w:val="messagetypecontextto"/>
        </w:rPr>
      </w:pPr>
      <w:r w:rsidRPr="00B113C5">
        <w:rPr>
          <w:rStyle w:val="messagetypecontextto"/>
          <w:u w:val="single"/>
        </w:rPr>
        <w:t>S</w:t>
      </w:r>
      <w:r w:rsidR="00B113C5" w:rsidRPr="00B113C5">
        <w:rPr>
          <w:rStyle w:val="messagetypecontextto"/>
          <w:u w:val="single"/>
        </w:rPr>
        <w:t>E</w:t>
      </w:r>
      <w:r w:rsidRPr="00B113C5">
        <w:rPr>
          <w:rStyle w:val="messagetypecontextto"/>
        </w:rPr>
        <w:t>: Do not anticipate usage, but approve the MP</w:t>
      </w:r>
    </w:p>
    <w:p w:rsidR="00862913" w:rsidRPr="00B113C5" w:rsidRDefault="00B113C5" w:rsidP="00B113C5">
      <w:pPr>
        <w:rPr>
          <w:rStyle w:val="messagetypecontextto"/>
        </w:rPr>
      </w:pPr>
      <w:r w:rsidRPr="00B113C5">
        <w:rPr>
          <w:rStyle w:val="messagetypecontextto"/>
          <w:u w:val="single"/>
        </w:rPr>
        <w:t>US/ISITC</w:t>
      </w:r>
      <w:r w:rsidR="00862913" w:rsidRPr="00B113C5">
        <w:rPr>
          <w:rStyle w:val="messagetypecontextto"/>
          <w:u w:val="single"/>
        </w:rPr>
        <w:t>:</w:t>
      </w:r>
      <w:r w:rsidR="00862913" w:rsidRPr="00B113C5">
        <w:rPr>
          <w:rStyle w:val="messagetypecontextto"/>
        </w:rPr>
        <w:t xml:space="preserve"> Question re the last bullet</w:t>
      </w:r>
      <w:r>
        <w:rPr>
          <w:rStyle w:val="messagetypecontextto"/>
        </w:rPr>
        <w:t xml:space="preserve"> (about GENR), </w:t>
      </w:r>
      <w:r w:rsidR="00862913" w:rsidRPr="00B113C5">
        <w:rPr>
          <w:rStyle w:val="messagetypecontextto"/>
        </w:rPr>
        <w:t xml:space="preserve">this was clarified and accepted since </w:t>
      </w:r>
      <w:smartTag w:uri="urn:schemas-microsoft-com:office:smarttags" w:element="stockticker">
        <w:r w:rsidR="00862913" w:rsidRPr="00B113C5">
          <w:rPr>
            <w:rStyle w:val="messagetypecontextto"/>
          </w:rPr>
          <w:t>GENR</w:t>
        </w:r>
      </w:smartTag>
      <w:r w:rsidR="00862913" w:rsidRPr="00B113C5">
        <w:rPr>
          <w:rStyle w:val="messagetypecontextto"/>
        </w:rPr>
        <w:t xml:space="preserve"> </w:t>
      </w:r>
      <w:r>
        <w:rPr>
          <w:rStyle w:val="messagetypecontextto"/>
        </w:rPr>
        <w:t>can also be</w:t>
      </w:r>
      <w:r w:rsidR="00862913" w:rsidRPr="00B113C5">
        <w:rPr>
          <w:rStyle w:val="messagetypecontextto"/>
        </w:rPr>
        <w:t xml:space="preserve"> use</w:t>
      </w:r>
      <w:r>
        <w:rPr>
          <w:rStyle w:val="messagetypecontextto"/>
        </w:rPr>
        <w:t>s</w:t>
      </w:r>
      <w:r w:rsidR="00862913" w:rsidRPr="00B113C5">
        <w:rPr>
          <w:rStyle w:val="messagetypecontextto"/>
        </w:rPr>
        <w:t xml:space="preserve"> in this case instead of sending two or more notifications per individual account.</w:t>
      </w:r>
    </w:p>
    <w:p w:rsidR="00862913" w:rsidRPr="00B113C5" w:rsidRDefault="00B113C5" w:rsidP="00B113C5">
      <w:pPr>
        <w:rPr>
          <w:rStyle w:val="messagetypecontextto"/>
        </w:rPr>
      </w:pPr>
      <w:r w:rsidRPr="00B113C5">
        <w:rPr>
          <w:rStyle w:val="messagetypecontextto"/>
          <w:u w:val="single"/>
        </w:rPr>
        <w:t>FI</w:t>
      </w:r>
      <w:r>
        <w:rPr>
          <w:rStyle w:val="messagetypecontextto"/>
        </w:rPr>
        <w:t xml:space="preserve"> (</w:t>
      </w:r>
      <w:r w:rsidR="00862913" w:rsidRPr="00B113C5">
        <w:rPr>
          <w:rStyle w:val="messagetypecontextto"/>
        </w:rPr>
        <w:t>via email): Approve</w:t>
      </w:r>
    </w:p>
    <w:p w:rsidR="004A1BFB" w:rsidRDefault="00445272" w:rsidP="004A1BFB">
      <w:pPr>
        <w:pStyle w:val="Heading1"/>
      </w:pPr>
      <w:bookmarkStart w:id="12" w:name="_Toc330222663"/>
      <w:r w:rsidRPr="00417FE8">
        <w:t xml:space="preserve">CA 234 –Unknown Proceeds </w:t>
      </w:r>
      <w:r w:rsidR="002507E3">
        <w:t xml:space="preserve">(PRUN) </w:t>
      </w:r>
      <w:r w:rsidRPr="00417FE8">
        <w:t xml:space="preserve">and </w:t>
      </w:r>
      <w:r w:rsidR="002507E3">
        <w:t>Option Applicability (</w:t>
      </w:r>
      <w:r w:rsidRPr="00417FE8">
        <w:t>CAOS</w:t>
      </w:r>
      <w:r w:rsidR="002507E3">
        <w:t>)</w:t>
      </w:r>
      <w:bookmarkEnd w:id="12"/>
    </w:p>
    <w:p w:rsidR="00672E95" w:rsidRDefault="00672E95" w:rsidP="00672E95">
      <w:r>
        <w:t>NMPG feedback on question raised on the MP: Should the following sentence be included in the CAOS MP text ?: "</w:t>
      </w:r>
      <w:r w:rsidRPr="00672E95">
        <w:rPr>
          <w:i/>
        </w:rPr>
        <w:t>This does not include a previous and irrevocable choice by the account owner</w:t>
      </w:r>
      <w:r>
        <w:t xml:space="preserve">". </w:t>
      </w:r>
    </w:p>
    <w:p w:rsidR="00862913" w:rsidRDefault="00862913" w:rsidP="006D2573">
      <w:r>
        <w:t>No feedback receiv</w:t>
      </w:r>
      <w:r w:rsidR="00672E95">
        <w:t>ed from NMPG’s on this.</w:t>
      </w:r>
    </w:p>
    <w:p w:rsidR="00862913" w:rsidRPr="00771494" w:rsidRDefault="00862913" w:rsidP="006D2573">
      <w:r w:rsidRPr="00771494">
        <w:t xml:space="preserve">CAOS MP accepted </w:t>
      </w:r>
      <w:r>
        <w:t xml:space="preserve">in the proposed version for </w:t>
      </w:r>
      <w:smartTag w:uri="urn:schemas-microsoft-com:office:smarttags" w:element="stockticker">
        <w:r>
          <w:t>GMP</w:t>
        </w:r>
      </w:smartTag>
      <w:r>
        <w:t>1, SR2012 v1.1. If needed, text on the additional issue can be added for SR2013 v1.0.</w:t>
      </w:r>
    </w:p>
    <w:p w:rsidR="00862913" w:rsidRPr="00771494" w:rsidRDefault="00862913" w:rsidP="00BA18E7">
      <w:pPr>
        <w:pStyle w:val="Heading1"/>
      </w:pPr>
      <w:bookmarkStart w:id="13" w:name="_Toc330222664"/>
      <w:r w:rsidRPr="00771494">
        <w:t>CA 235 – Third Party Offer (“Junk offers”) vs. a Regular Tender Offer</w:t>
      </w:r>
      <w:bookmarkEnd w:id="13"/>
    </w:p>
    <w:p w:rsidR="00862913" w:rsidRPr="00771494" w:rsidRDefault="00862913" w:rsidP="006D2573">
      <w:r w:rsidRPr="00771494">
        <w:t xml:space="preserve">Two CRs </w:t>
      </w:r>
      <w:r>
        <w:t xml:space="preserve">on this issue </w:t>
      </w:r>
      <w:r w:rsidR="0059229C">
        <w:t xml:space="preserve">– creation of a new event or indicator for Third Party Offer - </w:t>
      </w:r>
      <w:r>
        <w:t xml:space="preserve">have been </w:t>
      </w:r>
      <w:r w:rsidRPr="00771494">
        <w:t xml:space="preserve">received, from </w:t>
      </w:r>
      <w:smartTag w:uri="urn:schemas-microsoft-com:office:smarttags" w:element="place">
        <w:smartTag w:uri="urn:schemas-microsoft-com:office:smarttags" w:element="country-region">
          <w:r>
            <w:t>Luxembourg</w:t>
          </w:r>
        </w:smartTag>
      </w:smartTag>
      <w:r w:rsidRPr="00771494">
        <w:t xml:space="preserve"> and </w:t>
      </w:r>
      <w:r>
        <w:t xml:space="preserve">the </w:t>
      </w:r>
      <w:smartTag w:uri="urn:schemas-microsoft-com:office:smarttags" w:element="place">
        <w:smartTag w:uri="urn:schemas-microsoft-com:office:smarttags" w:element="country-region">
          <w:r w:rsidRPr="00771494">
            <w:t>US</w:t>
          </w:r>
        </w:smartTag>
      </w:smartTag>
      <w:r>
        <w:t>.</w:t>
      </w:r>
    </w:p>
    <w:p w:rsidR="00862913" w:rsidRPr="00771494" w:rsidRDefault="00862913" w:rsidP="006D2573">
      <w:r w:rsidRPr="00527F9B">
        <w:rPr>
          <w:u w:val="single"/>
        </w:rPr>
        <w:t>Feedback from NMPGs</w:t>
      </w:r>
      <w:r w:rsidR="0059229C">
        <w:t>:</w:t>
      </w:r>
    </w:p>
    <w:p w:rsidR="00862913" w:rsidRPr="00771494" w:rsidRDefault="0059229C" w:rsidP="006D2573">
      <w:r>
        <w:t>CH</w:t>
      </w:r>
      <w:r w:rsidR="00862913">
        <w:t xml:space="preserve">: </w:t>
      </w:r>
      <w:r w:rsidR="00862913" w:rsidRPr="00771494">
        <w:t>N/A</w:t>
      </w:r>
    </w:p>
    <w:p w:rsidR="00862913" w:rsidRPr="00771494" w:rsidRDefault="00862913" w:rsidP="006D2573">
      <w:r w:rsidRPr="00771494">
        <w:t>UK</w:t>
      </w:r>
      <w:r>
        <w:t xml:space="preserve">: </w:t>
      </w:r>
      <w:r w:rsidRPr="00771494">
        <w:t>Have them, but not sure how they are processed</w:t>
      </w:r>
      <w:r w:rsidR="0059229C">
        <w:t>. No examples found.</w:t>
      </w:r>
    </w:p>
    <w:p w:rsidR="00862913" w:rsidRPr="00771494" w:rsidRDefault="0059229C" w:rsidP="006D2573">
      <w:r>
        <w:lastRenderedPageBreak/>
        <w:t>SE:</w:t>
      </w:r>
      <w:r w:rsidR="00862913">
        <w:t xml:space="preserve"> </w:t>
      </w:r>
      <w:r w:rsidR="00862913" w:rsidRPr="00771494">
        <w:t>N/A</w:t>
      </w:r>
    </w:p>
    <w:p w:rsidR="00862913" w:rsidRPr="00771494" w:rsidRDefault="0059229C" w:rsidP="006D2573">
      <w:r>
        <w:t>ZA</w:t>
      </w:r>
      <w:r w:rsidR="00862913">
        <w:t xml:space="preserve">: </w:t>
      </w:r>
      <w:r w:rsidR="00862913" w:rsidRPr="00771494">
        <w:t>N/A</w:t>
      </w:r>
    </w:p>
    <w:p w:rsidR="00862913" w:rsidRDefault="0059229C" w:rsidP="006D2573">
      <w:r>
        <w:t xml:space="preserve">FI </w:t>
      </w:r>
      <w:r w:rsidR="00862913">
        <w:t>(via email): N/A</w:t>
      </w:r>
    </w:p>
    <w:p w:rsidR="00862913" w:rsidRPr="00771494" w:rsidRDefault="00527F9B" w:rsidP="00527F9B">
      <w:pPr>
        <w:pStyle w:val="Actions"/>
      </w:pPr>
      <w:r w:rsidRPr="00527F9B">
        <w:rPr>
          <w:u w:val="single"/>
        </w:rPr>
        <w:t>Action</w:t>
      </w:r>
      <w:r>
        <w:t>: Jacques to</w:t>
      </w:r>
      <w:r w:rsidR="00862913" w:rsidRPr="00771494">
        <w:t xml:space="preserve"> close this item </w:t>
      </w:r>
      <w:r>
        <w:t>as the decision is now in the hands of the MWG</w:t>
      </w:r>
      <w:r w:rsidR="00862913" w:rsidRPr="00771494">
        <w:t>.</w:t>
      </w:r>
    </w:p>
    <w:p w:rsidR="00862913" w:rsidRPr="00771494" w:rsidRDefault="00862913" w:rsidP="00527F9B">
      <w:pPr>
        <w:pStyle w:val="Heading1"/>
      </w:pPr>
      <w:bookmarkStart w:id="14" w:name="_Toc330222665"/>
      <w:r w:rsidRPr="00771494">
        <w:t xml:space="preserve">CA 238 – Reporting of Bond Holder Meeting in </w:t>
      </w:r>
      <w:smartTag w:uri="urn:schemas-microsoft-com:office:smarttags" w:element="stockticker">
        <w:r w:rsidRPr="00771494">
          <w:t>ISO</w:t>
        </w:r>
      </w:smartTag>
      <w:r w:rsidRPr="00771494">
        <w:t xml:space="preserve"> 15022/20022</w:t>
      </w:r>
      <w:bookmarkEnd w:id="14"/>
    </w:p>
    <w:p w:rsidR="00862913" w:rsidRPr="00771494" w:rsidRDefault="00862913" w:rsidP="008A6AE8">
      <w:r w:rsidRPr="00771494">
        <w:t xml:space="preserve">Jacques reported on his action: bondholder meetings are not included in the </w:t>
      </w:r>
      <w:smartTag w:uri="urn:schemas-microsoft-com:office:smarttags" w:element="stockticker">
        <w:r w:rsidRPr="00771494">
          <w:t>ISO</w:t>
        </w:r>
      </w:smartTag>
      <w:r w:rsidRPr="00771494">
        <w:t xml:space="preserve"> 20022 PV messages. Thus, MP for bondholder meetings stay with the CA-WG.</w:t>
      </w:r>
    </w:p>
    <w:p w:rsidR="008A6AE8" w:rsidRDefault="00862913" w:rsidP="008A6AE8">
      <w:r w:rsidRPr="00771494">
        <w:t>Proposal to create</w:t>
      </w:r>
      <w:r w:rsidR="008A6AE8">
        <w:t xml:space="preserve"> a</w:t>
      </w:r>
      <w:r w:rsidRPr="00771494">
        <w:t xml:space="preserve"> MP</w:t>
      </w:r>
      <w:r>
        <w:t xml:space="preserve"> to state that</w:t>
      </w:r>
      <w:r w:rsidRPr="00771494">
        <w:t xml:space="preserve"> CAEV code CONS </w:t>
      </w:r>
      <w:r>
        <w:t xml:space="preserve">is to be used </w:t>
      </w:r>
      <w:r w:rsidRPr="00771494">
        <w:t xml:space="preserve">for bondholder meetings. </w:t>
      </w:r>
    </w:p>
    <w:p w:rsidR="00862913" w:rsidRPr="008A6AE8" w:rsidRDefault="00862913" w:rsidP="008A6AE8">
      <w:pPr>
        <w:pStyle w:val="Actions"/>
      </w:pPr>
      <w:r w:rsidRPr="00771494">
        <w:rPr>
          <w:b/>
          <w:bCs/>
        </w:rPr>
        <w:t>Action:</w:t>
      </w:r>
      <w:r w:rsidRPr="00771494">
        <w:t xml:space="preserve"> </w:t>
      </w:r>
      <w:r w:rsidRPr="008A6AE8">
        <w:rPr>
          <w:u w:val="single"/>
        </w:rPr>
        <w:t>NMPGs</w:t>
      </w:r>
      <w:r w:rsidRPr="00771494">
        <w:t xml:space="preserve"> are requested to provide feedback on this proposal.</w:t>
      </w:r>
    </w:p>
    <w:p w:rsidR="00862913" w:rsidRPr="00771494" w:rsidRDefault="00862913" w:rsidP="008A6AE8">
      <w:pPr>
        <w:pStyle w:val="Heading1"/>
      </w:pPr>
      <w:bookmarkStart w:id="15" w:name="_Toc330222666"/>
      <w:r w:rsidRPr="00771494">
        <w:t>Tax subgroup update</w:t>
      </w:r>
      <w:bookmarkEnd w:id="15"/>
    </w:p>
    <w:p w:rsidR="00862913" w:rsidRPr="00771494" w:rsidRDefault="00862913" w:rsidP="008A6AE8">
      <w:r w:rsidRPr="00771494">
        <w:t xml:space="preserve">Since Kim </w:t>
      </w:r>
      <w:r w:rsidR="008A6AE8">
        <w:t xml:space="preserve">or Bernard </w:t>
      </w:r>
      <w:r w:rsidRPr="00771494">
        <w:t>did not attend the call, no report was made.</w:t>
      </w:r>
    </w:p>
    <w:p w:rsidR="00862913" w:rsidRPr="00771494" w:rsidRDefault="00862913" w:rsidP="008A6AE8">
      <w:pPr>
        <w:pStyle w:val="Heading1"/>
      </w:pPr>
      <w:bookmarkStart w:id="16" w:name="_Toc330222667"/>
      <w:r w:rsidRPr="00771494">
        <w:t>PV subgroup update</w:t>
      </w:r>
      <w:bookmarkEnd w:id="16"/>
    </w:p>
    <w:p w:rsidR="00862913" w:rsidRDefault="00862913" w:rsidP="008A6AE8">
      <w:r w:rsidRPr="00771494">
        <w:t xml:space="preserve">Christine briefly mentioned the email sent last week, and requested those NMPG representatives to the subgroup who had not yet reverted on possible dates </w:t>
      </w:r>
      <w:r w:rsidR="008A6AE8">
        <w:t xml:space="preserve">beginning of July </w:t>
      </w:r>
      <w:r w:rsidRPr="00771494">
        <w:t>to do so promptly.</w:t>
      </w:r>
    </w:p>
    <w:p w:rsidR="00862913" w:rsidRPr="0038052B" w:rsidRDefault="00862913" w:rsidP="008A6AE8">
      <w:pPr>
        <w:pStyle w:val="Heading1"/>
      </w:pPr>
      <w:bookmarkStart w:id="17" w:name="_Toc330222668"/>
      <w:r w:rsidRPr="0038052B">
        <w:t>AOB</w:t>
      </w:r>
      <w:bookmarkEnd w:id="17"/>
    </w:p>
    <w:p w:rsidR="008A6AE8" w:rsidRDefault="00862913" w:rsidP="008A6AE8">
      <w:r>
        <w:t>Sonda asked the CA-WG for their opinion on an is</w:t>
      </w:r>
      <w:r w:rsidR="008A6AE8">
        <w:t>sue recently discussed at ISITC about w</w:t>
      </w:r>
      <w:r>
        <w:t xml:space="preserve">hich option code to use when exchanging a bond against another security and the holders will also receive the accrued interest for the bond – SECU or CASE? </w:t>
      </w:r>
    </w:p>
    <w:p w:rsidR="00862913" w:rsidRPr="00771494" w:rsidRDefault="008A6AE8" w:rsidP="008A6AE8">
      <w:pPr>
        <w:pStyle w:val="Decisions"/>
      </w:pPr>
      <w:r w:rsidRPr="008A6AE8">
        <w:rPr>
          <w:u w:val="single"/>
        </w:rPr>
        <w:t>Decision</w:t>
      </w:r>
      <w:r>
        <w:t xml:space="preserve">: </w:t>
      </w:r>
      <w:r w:rsidR="00862913">
        <w:t>The WG briefly discussed and favoured the SECU option.</w:t>
      </w:r>
    </w:p>
    <w:p w:rsidR="001E4357" w:rsidRDefault="001E4357" w:rsidP="006A3C3D">
      <w:pPr>
        <w:pStyle w:val="Heading1"/>
      </w:pPr>
      <w:bookmarkStart w:id="18" w:name="_Toc330222669"/>
      <w:bookmarkStart w:id="19" w:name="OLE_LINK5"/>
      <w:bookmarkStart w:id="20" w:name="OLE_LINK8"/>
      <w:r>
        <w:t xml:space="preserve">Next </w:t>
      </w:r>
      <w:r w:rsidR="006A418A">
        <w:t>Conference Call</w:t>
      </w:r>
      <w:bookmarkEnd w:id="18"/>
    </w:p>
    <w:p w:rsidR="00F80F49" w:rsidRDefault="00F80F49" w:rsidP="009E1B4F">
      <w:r>
        <w:t xml:space="preserve"> </w:t>
      </w:r>
      <w:r w:rsidR="00252A18">
        <w:t>13 September</w:t>
      </w:r>
      <w:r w:rsidR="006A418A">
        <w:t xml:space="preserve">, </w:t>
      </w:r>
      <w:r w:rsidR="00EB4AFC">
        <w:t>2012</w:t>
      </w:r>
      <w:r w:rsidR="00BA1789">
        <w:t xml:space="preserve"> </w:t>
      </w:r>
      <w:r w:rsidR="006A418A">
        <w:t>From 2 to 4 CET.</w:t>
      </w:r>
    </w:p>
    <w:p w:rsidR="00F80F49" w:rsidRDefault="00F80F49" w:rsidP="009E1B4F"/>
    <w:bookmarkEnd w:id="19"/>
    <w:bookmarkEnd w:id="20"/>
    <w:p w:rsidR="006E176D" w:rsidRDefault="003C599B" w:rsidP="0085019F">
      <w:pPr>
        <w:pStyle w:val="BlockText"/>
        <w:rPr>
          <w:b/>
        </w:rPr>
      </w:pPr>
      <w:r>
        <w:rPr>
          <w:b/>
        </w:rPr>
        <w:t xml:space="preserve">------------------------ </w:t>
      </w:r>
      <w:r w:rsidRPr="003C599B">
        <w:rPr>
          <w:b/>
        </w:rPr>
        <w:t xml:space="preserve">End of the </w:t>
      </w:r>
      <w:r w:rsidR="007A08A5">
        <w:rPr>
          <w:b/>
        </w:rPr>
        <w:t>Meeting</w:t>
      </w:r>
      <w:r>
        <w:rPr>
          <w:b/>
        </w:rPr>
        <w:t xml:space="preserve"> </w:t>
      </w:r>
      <w:r w:rsidR="0085019F">
        <w:rPr>
          <w:b/>
        </w:rPr>
        <w:t xml:space="preserve">Minutes </w:t>
      </w:r>
      <w:r>
        <w:rPr>
          <w:b/>
        </w:rPr>
        <w:t>-----------------</w:t>
      </w:r>
    </w:p>
    <w:p w:rsidR="006E176D" w:rsidRPr="0085019F" w:rsidRDefault="006E176D" w:rsidP="0085019F">
      <w:pPr>
        <w:pStyle w:val="BlockText"/>
        <w:rPr>
          <w:b/>
        </w:rPr>
      </w:pPr>
    </w:p>
    <w:sectPr w:rsidR="006E176D" w:rsidRPr="0085019F" w:rsidSect="002322DE">
      <w:headerReference w:type="even" r:id="rId11"/>
      <w:headerReference w:type="default" r:id="rId12"/>
      <w:headerReference w:type="first" r:id="rId13"/>
      <w:pgSz w:w="12240" w:h="15840"/>
      <w:pgMar w:top="1296" w:right="1350"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95" w:rsidRDefault="00672E95" w:rsidP="00592037">
      <w:r>
        <w:separator/>
      </w:r>
    </w:p>
    <w:p w:rsidR="00672E95" w:rsidRDefault="00672E95" w:rsidP="00592037"/>
  </w:endnote>
  <w:endnote w:type="continuationSeparator" w:id="0">
    <w:p w:rsidR="00672E95" w:rsidRDefault="00672E95" w:rsidP="00592037">
      <w:r>
        <w:continuationSeparator/>
      </w:r>
    </w:p>
    <w:p w:rsidR="00672E95" w:rsidRDefault="00672E95" w:rsidP="005920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95" w:rsidRDefault="00916F59" w:rsidP="00592037">
    <w:pPr>
      <w:pStyle w:val="Footer"/>
      <w:rPr>
        <w:rStyle w:val="PageNumber"/>
      </w:rPr>
    </w:pPr>
    <w:r>
      <w:rPr>
        <w:rStyle w:val="PageNumber"/>
      </w:rPr>
      <w:fldChar w:fldCharType="begin"/>
    </w:r>
    <w:r w:rsidR="00672E95">
      <w:rPr>
        <w:rStyle w:val="PageNumber"/>
      </w:rPr>
      <w:instrText xml:space="preserve">PAGE  </w:instrText>
    </w:r>
    <w:r>
      <w:rPr>
        <w:rStyle w:val="PageNumber"/>
      </w:rPr>
      <w:fldChar w:fldCharType="separate"/>
    </w:r>
    <w:r w:rsidR="00672E95">
      <w:rPr>
        <w:rStyle w:val="PageNumber"/>
        <w:noProof/>
      </w:rPr>
      <w:t>1</w:t>
    </w:r>
    <w:r>
      <w:rPr>
        <w:rStyle w:val="PageNumber"/>
      </w:rPr>
      <w:fldChar w:fldCharType="end"/>
    </w:r>
  </w:p>
  <w:p w:rsidR="00672E95" w:rsidRDefault="00672E95" w:rsidP="00592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95" w:rsidRPr="00F23DA7" w:rsidRDefault="00916F59" w:rsidP="00592037">
    <w:pPr>
      <w:pStyle w:val="Footer"/>
      <w:rPr>
        <w:lang w:val="fr-BE"/>
      </w:rPr>
    </w:pPr>
    <w:r w:rsidRPr="008C30B6">
      <w:rPr>
        <w:sz w:val="16"/>
        <w:szCs w:val="16"/>
      </w:rPr>
      <w:fldChar w:fldCharType="begin"/>
    </w:r>
    <w:r w:rsidR="00672E95" w:rsidRPr="008C30B6">
      <w:rPr>
        <w:sz w:val="16"/>
        <w:szCs w:val="16"/>
        <w:lang w:val="sv-SE"/>
      </w:rPr>
      <w:instrText xml:space="preserve"> FILENAME </w:instrText>
    </w:r>
    <w:r w:rsidRPr="008C30B6">
      <w:rPr>
        <w:sz w:val="16"/>
        <w:szCs w:val="16"/>
      </w:rPr>
      <w:fldChar w:fldCharType="separate"/>
    </w:r>
    <w:r w:rsidR="00672E95">
      <w:rPr>
        <w:noProof/>
        <w:sz w:val="16"/>
        <w:szCs w:val="16"/>
        <w:lang w:val="sv-SE"/>
      </w:rPr>
      <w:t>Draft mins SMPG CA telco_20120627_v0_1.docx</w:t>
    </w:r>
    <w:r w:rsidRPr="008C30B6">
      <w:rPr>
        <w:sz w:val="16"/>
        <w:szCs w:val="16"/>
      </w:rPr>
      <w:fldChar w:fldCharType="end"/>
    </w:r>
    <w:r w:rsidR="00672E95" w:rsidRPr="00F23DA7">
      <w:rPr>
        <w:lang w:val="fr-BE"/>
      </w:rPr>
      <w:tab/>
      <w:t xml:space="preserve">Page </w:t>
    </w:r>
    <w:r w:rsidRPr="00D53847">
      <w:rPr>
        <w:lang w:val="fr-BE"/>
      </w:rPr>
      <w:fldChar w:fldCharType="begin"/>
    </w:r>
    <w:r w:rsidR="00672E95" w:rsidRPr="00D53847">
      <w:rPr>
        <w:lang w:val="fr-BE"/>
      </w:rPr>
      <w:instrText xml:space="preserve"> PAGE   \* MERGEFORMAT </w:instrText>
    </w:r>
    <w:r w:rsidRPr="00D53847">
      <w:rPr>
        <w:lang w:val="fr-BE"/>
      </w:rPr>
      <w:fldChar w:fldCharType="separate"/>
    </w:r>
    <w:r w:rsidR="00252A18">
      <w:rPr>
        <w:noProof/>
        <w:lang w:val="fr-BE"/>
      </w:rPr>
      <w:t>7</w:t>
    </w:r>
    <w:r w:rsidRPr="00D53847">
      <w:rPr>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95" w:rsidRDefault="00672E95" w:rsidP="00592037">
      <w:r>
        <w:separator/>
      </w:r>
    </w:p>
    <w:p w:rsidR="00672E95" w:rsidRDefault="00672E95" w:rsidP="00592037"/>
  </w:footnote>
  <w:footnote w:type="continuationSeparator" w:id="0">
    <w:p w:rsidR="00672E95" w:rsidRDefault="00672E95" w:rsidP="00592037">
      <w:r>
        <w:continuationSeparator/>
      </w:r>
    </w:p>
    <w:p w:rsidR="00672E95" w:rsidRDefault="00672E95" w:rsidP="005920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95" w:rsidRDefault="00672E95" w:rsidP="00592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95" w:rsidRPr="00284B42" w:rsidRDefault="00916F59" w:rsidP="00652BA8">
    <w:pPr>
      <w:jc w:val="center"/>
      <w:rPr>
        <w:b/>
      </w:rPr>
    </w:pPr>
    <w:r w:rsidRPr="00916F59">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367.8pt;margin-top:-29.5pt;width:137.65pt;height:93.35pt;z-index:251657728;visibility:visible;mso-wrap-edited:f" o:allowincell="f">
          <v:imagedata r:id="rId1" o:title=""/>
        </v:shape>
        <o:OLEObject Type="Embed" ProgID="Word.Picture.8" ShapeID="_x0000_s2056" DrawAspect="Content" ObjectID="_1409384245" r:id="rId2"/>
      </w:pict>
    </w:r>
    <w:r w:rsidR="00672E95" w:rsidRPr="00284B42">
      <w:rPr>
        <w:b/>
      </w:rPr>
      <w:t xml:space="preserve">CA SMPG </w:t>
    </w:r>
    <w:r w:rsidR="00672E95">
      <w:rPr>
        <w:b/>
      </w:rPr>
      <w:t>– 27 June, 2012 Conference Call Minutes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E95" w:rsidRDefault="00672E95" w:rsidP="00592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47116"/>
    <w:multiLevelType w:val="hybridMultilevel"/>
    <w:tmpl w:val="2CFA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A03B0"/>
    <w:multiLevelType w:val="hybridMultilevel"/>
    <w:tmpl w:val="84288BF6"/>
    <w:lvl w:ilvl="0" w:tplc="624C84B4">
      <w:numFmt w:val="bullet"/>
      <w:lvlText w:val="-"/>
      <w:lvlJc w:val="left"/>
      <w:pPr>
        <w:ind w:left="720" w:hanging="360"/>
      </w:pPr>
      <w:rPr>
        <w:rFonts w:ascii="Calibri" w:eastAsia="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3F3B18"/>
    <w:multiLevelType w:val="hybridMultilevel"/>
    <w:tmpl w:val="253CC17C"/>
    <w:lvl w:ilvl="0" w:tplc="5FE8AD7A">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644211"/>
    <w:multiLevelType w:val="hybridMultilevel"/>
    <w:tmpl w:val="856E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A2484"/>
    <w:multiLevelType w:val="hybridMultilevel"/>
    <w:tmpl w:val="2A9E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27B0DAF"/>
    <w:multiLevelType w:val="hybridMultilevel"/>
    <w:tmpl w:val="4DA0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B6797"/>
    <w:multiLevelType w:val="hybridMultilevel"/>
    <w:tmpl w:val="2E92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1F6F9C"/>
    <w:multiLevelType w:val="hybridMultilevel"/>
    <w:tmpl w:val="647C583A"/>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453CF7"/>
    <w:multiLevelType w:val="hybridMultilevel"/>
    <w:tmpl w:val="4752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2">
    <w:nsid w:val="49EA5A94"/>
    <w:multiLevelType w:val="hybridMultilevel"/>
    <w:tmpl w:val="694A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B932C6"/>
    <w:multiLevelType w:val="hybridMultilevel"/>
    <w:tmpl w:val="4264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5409D8"/>
    <w:multiLevelType w:val="hybridMultilevel"/>
    <w:tmpl w:val="AE4C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7D774F"/>
    <w:multiLevelType w:val="hybridMultilevel"/>
    <w:tmpl w:val="E67A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CE2058"/>
    <w:multiLevelType w:val="hybridMultilevel"/>
    <w:tmpl w:val="A264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FC7BA0"/>
    <w:multiLevelType w:val="hybridMultilevel"/>
    <w:tmpl w:val="1E5C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D20A00"/>
    <w:multiLevelType w:val="hybridMultilevel"/>
    <w:tmpl w:val="9336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5CE57A89"/>
    <w:multiLevelType w:val="hybridMultilevel"/>
    <w:tmpl w:val="3340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6C30BC6"/>
    <w:multiLevelType w:val="hybridMultilevel"/>
    <w:tmpl w:val="63FE65A4"/>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905074"/>
    <w:multiLevelType w:val="hybridMultilevel"/>
    <w:tmpl w:val="F8AEC412"/>
    <w:lvl w:ilvl="0" w:tplc="6F56AB4E">
      <w:start w:val="1"/>
      <w:numFmt w:val="decimal"/>
      <w:lvlText w:val="%1."/>
      <w:lvlJc w:val="left"/>
      <w:pPr>
        <w:ind w:left="9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BC53421"/>
    <w:multiLevelType w:val="hybridMultilevel"/>
    <w:tmpl w:val="20FA9B00"/>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33622E"/>
    <w:multiLevelType w:val="hybridMultilevel"/>
    <w:tmpl w:val="8EFA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1B5B6C"/>
    <w:multiLevelType w:val="hybridMultilevel"/>
    <w:tmpl w:val="0ED2F63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060080"/>
    <w:multiLevelType w:val="hybridMultilevel"/>
    <w:tmpl w:val="B92A22A2"/>
    <w:lvl w:ilvl="0" w:tplc="FF10ACDA">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F54EDD"/>
    <w:multiLevelType w:val="hybridMultilevel"/>
    <w:tmpl w:val="8BD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8E2F33"/>
    <w:multiLevelType w:val="hybridMultilevel"/>
    <w:tmpl w:val="C47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1"/>
  </w:num>
  <w:num w:numId="4">
    <w:abstractNumId w:val="6"/>
  </w:num>
  <w:num w:numId="5">
    <w:abstractNumId w:val="3"/>
  </w:num>
  <w:num w:numId="6">
    <w:abstractNumId w:val="24"/>
  </w:num>
  <w:num w:numId="7">
    <w:abstractNumId w:val="22"/>
  </w:num>
  <w:num w:numId="8">
    <w:abstractNumId w:val="17"/>
  </w:num>
  <w:num w:numId="9">
    <w:abstractNumId w:val="12"/>
  </w:num>
  <w:num w:numId="10">
    <w:abstractNumId w:val="21"/>
  </w:num>
  <w:num w:numId="11">
    <w:abstractNumId w:val="8"/>
  </w:num>
  <w:num w:numId="12">
    <w:abstractNumId w:val="1"/>
  </w:num>
  <w:num w:numId="13">
    <w:abstractNumId w:val="7"/>
  </w:num>
  <w:num w:numId="14">
    <w:abstractNumId w:val="16"/>
  </w:num>
  <w:num w:numId="15">
    <w:abstractNumId w:val="30"/>
  </w:num>
  <w:num w:numId="16">
    <w:abstractNumId w:val="10"/>
  </w:num>
  <w:num w:numId="17">
    <w:abstractNumId w:val="31"/>
  </w:num>
  <w:num w:numId="18">
    <w:abstractNumId w:val="14"/>
  </w:num>
  <w:num w:numId="19">
    <w:abstractNumId w:val="27"/>
  </w:num>
  <w:num w:numId="20">
    <w:abstractNumId w:val="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19"/>
  </w:num>
  <w:num w:numId="25">
    <w:abstractNumId w:val="15"/>
  </w:num>
  <w:num w:numId="26">
    <w:abstractNumId w:val="4"/>
  </w:num>
  <w:num w:numId="27">
    <w:abstractNumId w:val="23"/>
  </w:num>
  <w:num w:numId="28">
    <w:abstractNumId w:val="26"/>
  </w:num>
  <w:num w:numId="29">
    <w:abstractNumId w:val="29"/>
  </w:num>
  <w:num w:numId="30">
    <w:abstractNumId w:val="18"/>
  </w:num>
  <w:num w:numId="31">
    <w:abstractNumId w:val="28"/>
  </w:num>
  <w:num w:numId="32">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2057">
      <o:colormenu v:ext="edit" fillcolor="none" strokecolor="#33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9B4"/>
    <w:rsid w:val="0000073F"/>
    <w:rsid w:val="0000241A"/>
    <w:rsid w:val="00002D65"/>
    <w:rsid w:val="000051B3"/>
    <w:rsid w:val="00005A1F"/>
    <w:rsid w:val="00005B96"/>
    <w:rsid w:val="00006049"/>
    <w:rsid w:val="00007DDF"/>
    <w:rsid w:val="0001004E"/>
    <w:rsid w:val="00010813"/>
    <w:rsid w:val="00012B6C"/>
    <w:rsid w:val="000152DC"/>
    <w:rsid w:val="000157C2"/>
    <w:rsid w:val="00015AA5"/>
    <w:rsid w:val="00015FFC"/>
    <w:rsid w:val="00016247"/>
    <w:rsid w:val="000238B1"/>
    <w:rsid w:val="00023C98"/>
    <w:rsid w:val="000250CC"/>
    <w:rsid w:val="000265A9"/>
    <w:rsid w:val="00026FE7"/>
    <w:rsid w:val="00027143"/>
    <w:rsid w:val="00027503"/>
    <w:rsid w:val="00030760"/>
    <w:rsid w:val="00030CC6"/>
    <w:rsid w:val="00031149"/>
    <w:rsid w:val="000357FF"/>
    <w:rsid w:val="0003700F"/>
    <w:rsid w:val="00037351"/>
    <w:rsid w:val="0004321D"/>
    <w:rsid w:val="00043978"/>
    <w:rsid w:val="00043D75"/>
    <w:rsid w:val="00044AD0"/>
    <w:rsid w:val="00044BC1"/>
    <w:rsid w:val="00045384"/>
    <w:rsid w:val="00045E01"/>
    <w:rsid w:val="00046B58"/>
    <w:rsid w:val="00046E03"/>
    <w:rsid w:val="00047EB2"/>
    <w:rsid w:val="0005309A"/>
    <w:rsid w:val="00057AD3"/>
    <w:rsid w:val="00057B4E"/>
    <w:rsid w:val="00063494"/>
    <w:rsid w:val="00063E96"/>
    <w:rsid w:val="00064ABF"/>
    <w:rsid w:val="00066415"/>
    <w:rsid w:val="0006676A"/>
    <w:rsid w:val="000669C7"/>
    <w:rsid w:val="000676D0"/>
    <w:rsid w:val="00067901"/>
    <w:rsid w:val="00067C23"/>
    <w:rsid w:val="00071361"/>
    <w:rsid w:val="00071DDE"/>
    <w:rsid w:val="00071ED9"/>
    <w:rsid w:val="00072DAB"/>
    <w:rsid w:val="00073090"/>
    <w:rsid w:val="000739DF"/>
    <w:rsid w:val="000745EC"/>
    <w:rsid w:val="00075D3E"/>
    <w:rsid w:val="000768FB"/>
    <w:rsid w:val="0008018E"/>
    <w:rsid w:val="00081263"/>
    <w:rsid w:val="00081B28"/>
    <w:rsid w:val="00083D8B"/>
    <w:rsid w:val="0009050D"/>
    <w:rsid w:val="0009483B"/>
    <w:rsid w:val="00095B6F"/>
    <w:rsid w:val="00095F57"/>
    <w:rsid w:val="00096171"/>
    <w:rsid w:val="00096CBE"/>
    <w:rsid w:val="000971AD"/>
    <w:rsid w:val="0009749E"/>
    <w:rsid w:val="000A020C"/>
    <w:rsid w:val="000A0465"/>
    <w:rsid w:val="000A07A2"/>
    <w:rsid w:val="000A0FAC"/>
    <w:rsid w:val="000A0FFC"/>
    <w:rsid w:val="000A198A"/>
    <w:rsid w:val="000A2DA8"/>
    <w:rsid w:val="000A4E72"/>
    <w:rsid w:val="000A641E"/>
    <w:rsid w:val="000A6633"/>
    <w:rsid w:val="000A785A"/>
    <w:rsid w:val="000B0127"/>
    <w:rsid w:val="000B1811"/>
    <w:rsid w:val="000B1929"/>
    <w:rsid w:val="000B4025"/>
    <w:rsid w:val="000B557A"/>
    <w:rsid w:val="000B5831"/>
    <w:rsid w:val="000B5DFD"/>
    <w:rsid w:val="000B7094"/>
    <w:rsid w:val="000B70C1"/>
    <w:rsid w:val="000B7388"/>
    <w:rsid w:val="000C021B"/>
    <w:rsid w:val="000C0868"/>
    <w:rsid w:val="000C103C"/>
    <w:rsid w:val="000C29FB"/>
    <w:rsid w:val="000C5A2C"/>
    <w:rsid w:val="000D04FB"/>
    <w:rsid w:val="000D1EB3"/>
    <w:rsid w:val="000D3879"/>
    <w:rsid w:val="000D3E94"/>
    <w:rsid w:val="000D46A6"/>
    <w:rsid w:val="000D493E"/>
    <w:rsid w:val="000D4C85"/>
    <w:rsid w:val="000D4E57"/>
    <w:rsid w:val="000D5B98"/>
    <w:rsid w:val="000D7A8E"/>
    <w:rsid w:val="000D7B6D"/>
    <w:rsid w:val="000E0ADE"/>
    <w:rsid w:val="000E20CE"/>
    <w:rsid w:val="000E2A55"/>
    <w:rsid w:val="000E2F7A"/>
    <w:rsid w:val="000E38B8"/>
    <w:rsid w:val="000E4C23"/>
    <w:rsid w:val="000E5ACC"/>
    <w:rsid w:val="000E6378"/>
    <w:rsid w:val="000E6687"/>
    <w:rsid w:val="000E7A30"/>
    <w:rsid w:val="000F07A5"/>
    <w:rsid w:val="000F360E"/>
    <w:rsid w:val="000F39A6"/>
    <w:rsid w:val="000F4705"/>
    <w:rsid w:val="001006E9"/>
    <w:rsid w:val="001010D0"/>
    <w:rsid w:val="0010148B"/>
    <w:rsid w:val="00104342"/>
    <w:rsid w:val="00104475"/>
    <w:rsid w:val="00104E0B"/>
    <w:rsid w:val="00106021"/>
    <w:rsid w:val="001066E7"/>
    <w:rsid w:val="00107248"/>
    <w:rsid w:val="00111B6A"/>
    <w:rsid w:val="00112883"/>
    <w:rsid w:val="00114286"/>
    <w:rsid w:val="001146D2"/>
    <w:rsid w:val="001147AD"/>
    <w:rsid w:val="00115141"/>
    <w:rsid w:val="00116E13"/>
    <w:rsid w:val="001170FE"/>
    <w:rsid w:val="00120940"/>
    <w:rsid w:val="00120B68"/>
    <w:rsid w:val="001210F0"/>
    <w:rsid w:val="0012291D"/>
    <w:rsid w:val="00123412"/>
    <w:rsid w:val="001249FA"/>
    <w:rsid w:val="001252D0"/>
    <w:rsid w:val="00125819"/>
    <w:rsid w:val="00125C14"/>
    <w:rsid w:val="0013330E"/>
    <w:rsid w:val="00133F85"/>
    <w:rsid w:val="0013486A"/>
    <w:rsid w:val="0013566B"/>
    <w:rsid w:val="001358D5"/>
    <w:rsid w:val="00136796"/>
    <w:rsid w:val="001368E8"/>
    <w:rsid w:val="001379EC"/>
    <w:rsid w:val="00137E29"/>
    <w:rsid w:val="00140D10"/>
    <w:rsid w:val="00141100"/>
    <w:rsid w:val="0014123C"/>
    <w:rsid w:val="001418F7"/>
    <w:rsid w:val="00143146"/>
    <w:rsid w:val="001438E0"/>
    <w:rsid w:val="00143CD5"/>
    <w:rsid w:val="0014506F"/>
    <w:rsid w:val="00147115"/>
    <w:rsid w:val="00147C1D"/>
    <w:rsid w:val="00152168"/>
    <w:rsid w:val="00152AFF"/>
    <w:rsid w:val="00155B4B"/>
    <w:rsid w:val="00156EF0"/>
    <w:rsid w:val="0015716F"/>
    <w:rsid w:val="00157457"/>
    <w:rsid w:val="001577B5"/>
    <w:rsid w:val="001661A6"/>
    <w:rsid w:val="001676C8"/>
    <w:rsid w:val="001724A7"/>
    <w:rsid w:val="0017306F"/>
    <w:rsid w:val="00173FAC"/>
    <w:rsid w:val="001753F9"/>
    <w:rsid w:val="00177C7D"/>
    <w:rsid w:val="001803DE"/>
    <w:rsid w:val="0018271E"/>
    <w:rsid w:val="0018324D"/>
    <w:rsid w:val="001865D5"/>
    <w:rsid w:val="001868D6"/>
    <w:rsid w:val="001869F3"/>
    <w:rsid w:val="00187EB0"/>
    <w:rsid w:val="00190D5F"/>
    <w:rsid w:val="00191E31"/>
    <w:rsid w:val="00193B1C"/>
    <w:rsid w:val="00193C6C"/>
    <w:rsid w:val="00196DC2"/>
    <w:rsid w:val="001A07E2"/>
    <w:rsid w:val="001A0FFD"/>
    <w:rsid w:val="001A13AA"/>
    <w:rsid w:val="001A2F9A"/>
    <w:rsid w:val="001A5A33"/>
    <w:rsid w:val="001B0406"/>
    <w:rsid w:val="001B1DAD"/>
    <w:rsid w:val="001B1E86"/>
    <w:rsid w:val="001B2789"/>
    <w:rsid w:val="001B3103"/>
    <w:rsid w:val="001B5E2D"/>
    <w:rsid w:val="001B65D2"/>
    <w:rsid w:val="001B7D5A"/>
    <w:rsid w:val="001C0DE2"/>
    <w:rsid w:val="001C1436"/>
    <w:rsid w:val="001C16D3"/>
    <w:rsid w:val="001C2AB4"/>
    <w:rsid w:val="001C2F37"/>
    <w:rsid w:val="001C391C"/>
    <w:rsid w:val="001C3DAA"/>
    <w:rsid w:val="001C50FA"/>
    <w:rsid w:val="001C5442"/>
    <w:rsid w:val="001C5824"/>
    <w:rsid w:val="001C6483"/>
    <w:rsid w:val="001C7F55"/>
    <w:rsid w:val="001D0007"/>
    <w:rsid w:val="001D0D2F"/>
    <w:rsid w:val="001D0D7A"/>
    <w:rsid w:val="001D0FDF"/>
    <w:rsid w:val="001D1050"/>
    <w:rsid w:val="001D1633"/>
    <w:rsid w:val="001D1FD6"/>
    <w:rsid w:val="001D2505"/>
    <w:rsid w:val="001D2EE1"/>
    <w:rsid w:val="001D7F34"/>
    <w:rsid w:val="001E3E8E"/>
    <w:rsid w:val="001E4357"/>
    <w:rsid w:val="001E4780"/>
    <w:rsid w:val="001E5AAA"/>
    <w:rsid w:val="001E774B"/>
    <w:rsid w:val="001E78CC"/>
    <w:rsid w:val="001F2C65"/>
    <w:rsid w:val="001F3F45"/>
    <w:rsid w:val="001F70B4"/>
    <w:rsid w:val="001F7791"/>
    <w:rsid w:val="0020115E"/>
    <w:rsid w:val="00201BDB"/>
    <w:rsid w:val="00202058"/>
    <w:rsid w:val="0020323F"/>
    <w:rsid w:val="0020391C"/>
    <w:rsid w:val="002055C7"/>
    <w:rsid w:val="00206DF5"/>
    <w:rsid w:val="00211C67"/>
    <w:rsid w:val="00212BFF"/>
    <w:rsid w:val="002131AF"/>
    <w:rsid w:val="00214D22"/>
    <w:rsid w:val="00215780"/>
    <w:rsid w:val="00215A86"/>
    <w:rsid w:val="00216A0C"/>
    <w:rsid w:val="00217002"/>
    <w:rsid w:val="002178B6"/>
    <w:rsid w:val="002200F0"/>
    <w:rsid w:val="00220185"/>
    <w:rsid w:val="00220F3C"/>
    <w:rsid w:val="00221837"/>
    <w:rsid w:val="00222412"/>
    <w:rsid w:val="002251B0"/>
    <w:rsid w:val="00225FFD"/>
    <w:rsid w:val="0022784C"/>
    <w:rsid w:val="00230996"/>
    <w:rsid w:val="00231917"/>
    <w:rsid w:val="002321F8"/>
    <w:rsid w:val="002322DE"/>
    <w:rsid w:val="00236BA7"/>
    <w:rsid w:val="00236F14"/>
    <w:rsid w:val="0023774C"/>
    <w:rsid w:val="00240BD1"/>
    <w:rsid w:val="00240FD7"/>
    <w:rsid w:val="002423C3"/>
    <w:rsid w:val="002454FF"/>
    <w:rsid w:val="002456C7"/>
    <w:rsid w:val="00245BAF"/>
    <w:rsid w:val="00246A6A"/>
    <w:rsid w:val="00246C2F"/>
    <w:rsid w:val="002507E3"/>
    <w:rsid w:val="002508BC"/>
    <w:rsid w:val="00251E0B"/>
    <w:rsid w:val="0025223A"/>
    <w:rsid w:val="00252A18"/>
    <w:rsid w:val="00254E98"/>
    <w:rsid w:val="00257190"/>
    <w:rsid w:val="00257502"/>
    <w:rsid w:val="0025798E"/>
    <w:rsid w:val="00260B07"/>
    <w:rsid w:val="00262529"/>
    <w:rsid w:val="00262E44"/>
    <w:rsid w:val="00262F75"/>
    <w:rsid w:val="00265B60"/>
    <w:rsid w:val="00266341"/>
    <w:rsid w:val="00266950"/>
    <w:rsid w:val="00266BEE"/>
    <w:rsid w:val="00270080"/>
    <w:rsid w:val="00270330"/>
    <w:rsid w:val="00272B37"/>
    <w:rsid w:val="00275165"/>
    <w:rsid w:val="00275317"/>
    <w:rsid w:val="002762B1"/>
    <w:rsid w:val="00276C1F"/>
    <w:rsid w:val="00277BC7"/>
    <w:rsid w:val="00281FE5"/>
    <w:rsid w:val="002825D2"/>
    <w:rsid w:val="00284921"/>
    <w:rsid w:val="00284B42"/>
    <w:rsid w:val="00285001"/>
    <w:rsid w:val="0028574A"/>
    <w:rsid w:val="0028678C"/>
    <w:rsid w:val="0029301A"/>
    <w:rsid w:val="00293BD3"/>
    <w:rsid w:val="00293EC3"/>
    <w:rsid w:val="0029519D"/>
    <w:rsid w:val="00297D5D"/>
    <w:rsid w:val="002A0A67"/>
    <w:rsid w:val="002A1D00"/>
    <w:rsid w:val="002A1D10"/>
    <w:rsid w:val="002A4CC2"/>
    <w:rsid w:val="002A54C7"/>
    <w:rsid w:val="002A63CB"/>
    <w:rsid w:val="002A7995"/>
    <w:rsid w:val="002B0D84"/>
    <w:rsid w:val="002B2602"/>
    <w:rsid w:val="002B289A"/>
    <w:rsid w:val="002B3AA8"/>
    <w:rsid w:val="002B5469"/>
    <w:rsid w:val="002B5AA2"/>
    <w:rsid w:val="002B6054"/>
    <w:rsid w:val="002B659F"/>
    <w:rsid w:val="002B66CE"/>
    <w:rsid w:val="002B6B40"/>
    <w:rsid w:val="002C140D"/>
    <w:rsid w:val="002C4E0C"/>
    <w:rsid w:val="002C56EF"/>
    <w:rsid w:val="002C5EF2"/>
    <w:rsid w:val="002C666D"/>
    <w:rsid w:val="002D13AB"/>
    <w:rsid w:val="002D15BA"/>
    <w:rsid w:val="002D20A6"/>
    <w:rsid w:val="002D26F6"/>
    <w:rsid w:val="002D33B9"/>
    <w:rsid w:val="002D4171"/>
    <w:rsid w:val="002D5A70"/>
    <w:rsid w:val="002E08BB"/>
    <w:rsid w:val="002E4ABE"/>
    <w:rsid w:val="002E55C2"/>
    <w:rsid w:val="002F0EA9"/>
    <w:rsid w:val="002F1879"/>
    <w:rsid w:val="002F18DE"/>
    <w:rsid w:val="002F2938"/>
    <w:rsid w:val="002F3775"/>
    <w:rsid w:val="002F7332"/>
    <w:rsid w:val="002F79AF"/>
    <w:rsid w:val="0030375D"/>
    <w:rsid w:val="00304516"/>
    <w:rsid w:val="00305A21"/>
    <w:rsid w:val="00305B81"/>
    <w:rsid w:val="00305BD1"/>
    <w:rsid w:val="003119EC"/>
    <w:rsid w:val="00312E97"/>
    <w:rsid w:val="00313942"/>
    <w:rsid w:val="00315877"/>
    <w:rsid w:val="003158F8"/>
    <w:rsid w:val="00315F00"/>
    <w:rsid w:val="00316C4E"/>
    <w:rsid w:val="00321229"/>
    <w:rsid w:val="0032197A"/>
    <w:rsid w:val="00321F52"/>
    <w:rsid w:val="00322089"/>
    <w:rsid w:val="00322BE1"/>
    <w:rsid w:val="00324805"/>
    <w:rsid w:val="0032483E"/>
    <w:rsid w:val="003248BE"/>
    <w:rsid w:val="00324C0E"/>
    <w:rsid w:val="00325CC6"/>
    <w:rsid w:val="003261CF"/>
    <w:rsid w:val="00327C15"/>
    <w:rsid w:val="00330C7E"/>
    <w:rsid w:val="00332F91"/>
    <w:rsid w:val="00333A87"/>
    <w:rsid w:val="00337354"/>
    <w:rsid w:val="003405F3"/>
    <w:rsid w:val="003439BE"/>
    <w:rsid w:val="00345C75"/>
    <w:rsid w:val="00346AA9"/>
    <w:rsid w:val="00346BFF"/>
    <w:rsid w:val="00347CFB"/>
    <w:rsid w:val="0035195E"/>
    <w:rsid w:val="003524FD"/>
    <w:rsid w:val="003525AE"/>
    <w:rsid w:val="0035412E"/>
    <w:rsid w:val="003549AC"/>
    <w:rsid w:val="003559F3"/>
    <w:rsid w:val="003569DA"/>
    <w:rsid w:val="003611AC"/>
    <w:rsid w:val="00363C0E"/>
    <w:rsid w:val="003657AB"/>
    <w:rsid w:val="0037101D"/>
    <w:rsid w:val="00371B50"/>
    <w:rsid w:val="00371D8F"/>
    <w:rsid w:val="003750EA"/>
    <w:rsid w:val="00376698"/>
    <w:rsid w:val="0037670C"/>
    <w:rsid w:val="00376A6D"/>
    <w:rsid w:val="00381A23"/>
    <w:rsid w:val="00383BD5"/>
    <w:rsid w:val="00384B04"/>
    <w:rsid w:val="00385E1E"/>
    <w:rsid w:val="00385F09"/>
    <w:rsid w:val="0039065D"/>
    <w:rsid w:val="0039109C"/>
    <w:rsid w:val="00392112"/>
    <w:rsid w:val="00394970"/>
    <w:rsid w:val="0039522C"/>
    <w:rsid w:val="003979EC"/>
    <w:rsid w:val="003A0493"/>
    <w:rsid w:val="003A50DC"/>
    <w:rsid w:val="003A548A"/>
    <w:rsid w:val="003A630B"/>
    <w:rsid w:val="003A66B0"/>
    <w:rsid w:val="003A694B"/>
    <w:rsid w:val="003B0CD2"/>
    <w:rsid w:val="003B0CEF"/>
    <w:rsid w:val="003B1348"/>
    <w:rsid w:val="003B250E"/>
    <w:rsid w:val="003B28EF"/>
    <w:rsid w:val="003B43BF"/>
    <w:rsid w:val="003B46C6"/>
    <w:rsid w:val="003B4992"/>
    <w:rsid w:val="003B54B2"/>
    <w:rsid w:val="003B5D70"/>
    <w:rsid w:val="003B5E48"/>
    <w:rsid w:val="003B7A76"/>
    <w:rsid w:val="003C292A"/>
    <w:rsid w:val="003C3076"/>
    <w:rsid w:val="003C3419"/>
    <w:rsid w:val="003C44DF"/>
    <w:rsid w:val="003C4F1E"/>
    <w:rsid w:val="003C599B"/>
    <w:rsid w:val="003C5B12"/>
    <w:rsid w:val="003C762F"/>
    <w:rsid w:val="003D01B3"/>
    <w:rsid w:val="003D07F5"/>
    <w:rsid w:val="003D0F10"/>
    <w:rsid w:val="003D1B5C"/>
    <w:rsid w:val="003D2B29"/>
    <w:rsid w:val="003D2B4D"/>
    <w:rsid w:val="003D3B56"/>
    <w:rsid w:val="003D4AD4"/>
    <w:rsid w:val="003E05AF"/>
    <w:rsid w:val="003E0A22"/>
    <w:rsid w:val="003E0ABF"/>
    <w:rsid w:val="003E1722"/>
    <w:rsid w:val="003E458D"/>
    <w:rsid w:val="003E58A3"/>
    <w:rsid w:val="003E5EFD"/>
    <w:rsid w:val="003E6B0C"/>
    <w:rsid w:val="003F1217"/>
    <w:rsid w:val="003F1787"/>
    <w:rsid w:val="003F34C2"/>
    <w:rsid w:val="003F5926"/>
    <w:rsid w:val="003F79E6"/>
    <w:rsid w:val="0040048C"/>
    <w:rsid w:val="0040244E"/>
    <w:rsid w:val="00403047"/>
    <w:rsid w:val="00403D4A"/>
    <w:rsid w:val="00404C0C"/>
    <w:rsid w:val="00404D4D"/>
    <w:rsid w:val="00404FF3"/>
    <w:rsid w:val="004059D7"/>
    <w:rsid w:val="0040750A"/>
    <w:rsid w:val="004078BD"/>
    <w:rsid w:val="00410935"/>
    <w:rsid w:val="00410D38"/>
    <w:rsid w:val="00411926"/>
    <w:rsid w:val="00411EF0"/>
    <w:rsid w:val="0041228B"/>
    <w:rsid w:val="0041398D"/>
    <w:rsid w:val="00413A6E"/>
    <w:rsid w:val="00413DCF"/>
    <w:rsid w:val="0041445A"/>
    <w:rsid w:val="0041468C"/>
    <w:rsid w:val="004151F3"/>
    <w:rsid w:val="00415DB0"/>
    <w:rsid w:val="004168D8"/>
    <w:rsid w:val="00420FBB"/>
    <w:rsid w:val="00421049"/>
    <w:rsid w:val="00421714"/>
    <w:rsid w:val="0042300C"/>
    <w:rsid w:val="00425162"/>
    <w:rsid w:val="00425220"/>
    <w:rsid w:val="00425AED"/>
    <w:rsid w:val="00432190"/>
    <w:rsid w:val="0043250A"/>
    <w:rsid w:val="00433699"/>
    <w:rsid w:val="0043409F"/>
    <w:rsid w:val="004343EB"/>
    <w:rsid w:val="00434952"/>
    <w:rsid w:val="004367E8"/>
    <w:rsid w:val="00436BB0"/>
    <w:rsid w:val="00437051"/>
    <w:rsid w:val="004378C7"/>
    <w:rsid w:val="0044105F"/>
    <w:rsid w:val="0044227C"/>
    <w:rsid w:val="00445272"/>
    <w:rsid w:val="0044610D"/>
    <w:rsid w:val="004466C3"/>
    <w:rsid w:val="00450EBE"/>
    <w:rsid w:val="00451AAA"/>
    <w:rsid w:val="00454A63"/>
    <w:rsid w:val="00456E82"/>
    <w:rsid w:val="00457903"/>
    <w:rsid w:val="00457BF4"/>
    <w:rsid w:val="004662B2"/>
    <w:rsid w:val="0046643B"/>
    <w:rsid w:val="0046661C"/>
    <w:rsid w:val="0046758F"/>
    <w:rsid w:val="00467FE4"/>
    <w:rsid w:val="00473488"/>
    <w:rsid w:val="004738C4"/>
    <w:rsid w:val="00475B64"/>
    <w:rsid w:val="0047788F"/>
    <w:rsid w:val="004809B4"/>
    <w:rsid w:val="00480BDE"/>
    <w:rsid w:val="00480DE4"/>
    <w:rsid w:val="00480F54"/>
    <w:rsid w:val="004812E8"/>
    <w:rsid w:val="00481582"/>
    <w:rsid w:val="00482E4C"/>
    <w:rsid w:val="00483126"/>
    <w:rsid w:val="00483131"/>
    <w:rsid w:val="00484F3D"/>
    <w:rsid w:val="00490032"/>
    <w:rsid w:val="00490BD1"/>
    <w:rsid w:val="00490FC6"/>
    <w:rsid w:val="00494C4C"/>
    <w:rsid w:val="004A0858"/>
    <w:rsid w:val="004A0F2B"/>
    <w:rsid w:val="004A17C2"/>
    <w:rsid w:val="004A1BFB"/>
    <w:rsid w:val="004A2770"/>
    <w:rsid w:val="004A27FB"/>
    <w:rsid w:val="004A3256"/>
    <w:rsid w:val="004A355B"/>
    <w:rsid w:val="004A37EF"/>
    <w:rsid w:val="004A3833"/>
    <w:rsid w:val="004A4C34"/>
    <w:rsid w:val="004A56C8"/>
    <w:rsid w:val="004B070C"/>
    <w:rsid w:val="004B12EF"/>
    <w:rsid w:val="004B1735"/>
    <w:rsid w:val="004B1DE9"/>
    <w:rsid w:val="004B2026"/>
    <w:rsid w:val="004B2A7B"/>
    <w:rsid w:val="004B410C"/>
    <w:rsid w:val="004B449F"/>
    <w:rsid w:val="004B4AE0"/>
    <w:rsid w:val="004B589C"/>
    <w:rsid w:val="004B5DE4"/>
    <w:rsid w:val="004B68CC"/>
    <w:rsid w:val="004B745D"/>
    <w:rsid w:val="004B7E5A"/>
    <w:rsid w:val="004C058A"/>
    <w:rsid w:val="004C1D25"/>
    <w:rsid w:val="004C2926"/>
    <w:rsid w:val="004C4A2E"/>
    <w:rsid w:val="004C4CE2"/>
    <w:rsid w:val="004C4DB3"/>
    <w:rsid w:val="004C4DFA"/>
    <w:rsid w:val="004D04FF"/>
    <w:rsid w:val="004D0EDD"/>
    <w:rsid w:val="004D26FC"/>
    <w:rsid w:val="004D2C5C"/>
    <w:rsid w:val="004D2E16"/>
    <w:rsid w:val="004D4937"/>
    <w:rsid w:val="004D6532"/>
    <w:rsid w:val="004D7FD6"/>
    <w:rsid w:val="004E0F76"/>
    <w:rsid w:val="004E210B"/>
    <w:rsid w:val="004E4BA3"/>
    <w:rsid w:val="004E62F4"/>
    <w:rsid w:val="004E7310"/>
    <w:rsid w:val="004F19E7"/>
    <w:rsid w:val="004F1F1E"/>
    <w:rsid w:val="004F4B63"/>
    <w:rsid w:val="004F4DA3"/>
    <w:rsid w:val="004F506B"/>
    <w:rsid w:val="004F6152"/>
    <w:rsid w:val="004F76FA"/>
    <w:rsid w:val="00501B4A"/>
    <w:rsid w:val="005023A2"/>
    <w:rsid w:val="005028FD"/>
    <w:rsid w:val="00506869"/>
    <w:rsid w:val="0050733E"/>
    <w:rsid w:val="00510058"/>
    <w:rsid w:val="00510BCA"/>
    <w:rsid w:val="00511445"/>
    <w:rsid w:val="00513624"/>
    <w:rsid w:val="00514138"/>
    <w:rsid w:val="00514E75"/>
    <w:rsid w:val="00515DFE"/>
    <w:rsid w:val="00515E18"/>
    <w:rsid w:val="00516819"/>
    <w:rsid w:val="00517028"/>
    <w:rsid w:val="00520473"/>
    <w:rsid w:val="0052413A"/>
    <w:rsid w:val="0052689B"/>
    <w:rsid w:val="0052715F"/>
    <w:rsid w:val="00527F9B"/>
    <w:rsid w:val="00534622"/>
    <w:rsid w:val="00534E47"/>
    <w:rsid w:val="00534F9F"/>
    <w:rsid w:val="00536C9B"/>
    <w:rsid w:val="0054022C"/>
    <w:rsid w:val="005405BF"/>
    <w:rsid w:val="0054102E"/>
    <w:rsid w:val="00541706"/>
    <w:rsid w:val="00544027"/>
    <w:rsid w:val="005453F8"/>
    <w:rsid w:val="005467BF"/>
    <w:rsid w:val="0054728E"/>
    <w:rsid w:val="00547E78"/>
    <w:rsid w:val="0055015B"/>
    <w:rsid w:val="005507A9"/>
    <w:rsid w:val="005508A1"/>
    <w:rsid w:val="00550DDB"/>
    <w:rsid w:val="0055138B"/>
    <w:rsid w:val="00551882"/>
    <w:rsid w:val="00551C03"/>
    <w:rsid w:val="00552A54"/>
    <w:rsid w:val="005549B2"/>
    <w:rsid w:val="00555748"/>
    <w:rsid w:val="005558D8"/>
    <w:rsid w:val="00561321"/>
    <w:rsid w:val="00562084"/>
    <w:rsid w:val="00562151"/>
    <w:rsid w:val="0056364D"/>
    <w:rsid w:val="00563E5D"/>
    <w:rsid w:val="005645A7"/>
    <w:rsid w:val="005649EE"/>
    <w:rsid w:val="00565C71"/>
    <w:rsid w:val="005664EC"/>
    <w:rsid w:val="005666C7"/>
    <w:rsid w:val="00566C2D"/>
    <w:rsid w:val="00566EA5"/>
    <w:rsid w:val="00567EB8"/>
    <w:rsid w:val="00567F34"/>
    <w:rsid w:val="00570FF5"/>
    <w:rsid w:val="00571D18"/>
    <w:rsid w:val="005729B0"/>
    <w:rsid w:val="0057492E"/>
    <w:rsid w:val="00574E2C"/>
    <w:rsid w:val="0057519C"/>
    <w:rsid w:val="0057626E"/>
    <w:rsid w:val="005764E6"/>
    <w:rsid w:val="005764ED"/>
    <w:rsid w:val="00577A1B"/>
    <w:rsid w:val="00577DA2"/>
    <w:rsid w:val="00581D77"/>
    <w:rsid w:val="00583B21"/>
    <w:rsid w:val="005850FF"/>
    <w:rsid w:val="00585DE9"/>
    <w:rsid w:val="00590E39"/>
    <w:rsid w:val="00591424"/>
    <w:rsid w:val="00592037"/>
    <w:rsid w:val="0059229C"/>
    <w:rsid w:val="0059253E"/>
    <w:rsid w:val="00592B90"/>
    <w:rsid w:val="00595174"/>
    <w:rsid w:val="00595EA8"/>
    <w:rsid w:val="005973B7"/>
    <w:rsid w:val="00597D5A"/>
    <w:rsid w:val="005A076E"/>
    <w:rsid w:val="005A1A6C"/>
    <w:rsid w:val="005A29B7"/>
    <w:rsid w:val="005A3C11"/>
    <w:rsid w:val="005A4507"/>
    <w:rsid w:val="005A46BD"/>
    <w:rsid w:val="005A4948"/>
    <w:rsid w:val="005A5198"/>
    <w:rsid w:val="005B0264"/>
    <w:rsid w:val="005B70A3"/>
    <w:rsid w:val="005C033A"/>
    <w:rsid w:val="005C066C"/>
    <w:rsid w:val="005C0760"/>
    <w:rsid w:val="005C2A8B"/>
    <w:rsid w:val="005C3E37"/>
    <w:rsid w:val="005C3FCB"/>
    <w:rsid w:val="005C410F"/>
    <w:rsid w:val="005C66BC"/>
    <w:rsid w:val="005C7169"/>
    <w:rsid w:val="005D082A"/>
    <w:rsid w:val="005D1D53"/>
    <w:rsid w:val="005D495D"/>
    <w:rsid w:val="005E0B6F"/>
    <w:rsid w:val="005E2A81"/>
    <w:rsid w:val="005E337F"/>
    <w:rsid w:val="005E4A0B"/>
    <w:rsid w:val="005E64E7"/>
    <w:rsid w:val="005E6846"/>
    <w:rsid w:val="005E6B80"/>
    <w:rsid w:val="005E74B2"/>
    <w:rsid w:val="005E7C94"/>
    <w:rsid w:val="005F4089"/>
    <w:rsid w:val="005F4BB5"/>
    <w:rsid w:val="005F76A1"/>
    <w:rsid w:val="00601B63"/>
    <w:rsid w:val="006047A2"/>
    <w:rsid w:val="00604BBF"/>
    <w:rsid w:val="00604CE5"/>
    <w:rsid w:val="00607F6A"/>
    <w:rsid w:val="006100A7"/>
    <w:rsid w:val="00610609"/>
    <w:rsid w:val="00612A33"/>
    <w:rsid w:val="00612C6C"/>
    <w:rsid w:val="006136A6"/>
    <w:rsid w:val="00613994"/>
    <w:rsid w:val="00613B4F"/>
    <w:rsid w:val="0061750F"/>
    <w:rsid w:val="00622A94"/>
    <w:rsid w:val="00622B75"/>
    <w:rsid w:val="00622C6C"/>
    <w:rsid w:val="00625958"/>
    <w:rsid w:val="00626143"/>
    <w:rsid w:val="00631595"/>
    <w:rsid w:val="00634CFC"/>
    <w:rsid w:val="0063519F"/>
    <w:rsid w:val="00635ECA"/>
    <w:rsid w:val="006366E2"/>
    <w:rsid w:val="00636A0D"/>
    <w:rsid w:val="0064140F"/>
    <w:rsid w:val="00644288"/>
    <w:rsid w:val="00645735"/>
    <w:rsid w:val="006477E1"/>
    <w:rsid w:val="00650969"/>
    <w:rsid w:val="00652BA8"/>
    <w:rsid w:val="00652BDD"/>
    <w:rsid w:val="00653B37"/>
    <w:rsid w:val="006547EA"/>
    <w:rsid w:val="00654BC1"/>
    <w:rsid w:val="006559FF"/>
    <w:rsid w:val="00656EEB"/>
    <w:rsid w:val="0065719E"/>
    <w:rsid w:val="0065757D"/>
    <w:rsid w:val="00657EA2"/>
    <w:rsid w:val="006631D6"/>
    <w:rsid w:val="00663C8B"/>
    <w:rsid w:val="00665A6E"/>
    <w:rsid w:val="00667717"/>
    <w:rsid w:val="0066790E"/>
    <w:rsid w:val="00667989"/>
    <w:rsid w:val="00671693"/>
    <w:rsid w:val="00672E95"/>
    <w:rsid w:val="0067632B"/>
    <w:rsid w:val="00676523"/>
    <w:rsid w:val="00676727"/>
    <w:rsid w:val="00676EF9"/>
    <w:rsid w:val="00677719"/>
    <w:rsid w:val="00681363"/>
    <w:rsid w:val="00681705"/>
    <w:rsid w:val="006830D0"/>
    <w:rsid w:val="0068361F"/>
    <w:rsid w:val="0068464B"/>
    <w:rsid w:val="006846A1"/>
    <w:rsid w:val="006863FE"/>
    <w:rsid w:val="006877D0"/>
    <w:rsid w:val="0069126A"/>
    <w:rsid w:val="0069148C"/>
    <w:rsid w:val="0069319A"/>
    <w:rsid w:val="00693638"/>
    <w:rsid w:val="00693DB0"/>
    <w:rsid w:val="00694DC4"/>
    <w:rsid w:val="0069503C"/>
    <w:rsid w:val="006952D9"/>
    <w:rsid w:val="006953DE"/>
    <w:rsid w:val="006953FC"/>
    <w:rsid w:val="006969B5"/>
    <w:rsid w:val="0069722F"/>
    <w:rsid w:val="006A0B98"/>
    <w:rsid w:val="006A19D2"/>
    <w:rsid w:val="006A1E17"/>
    <w:rsid w:val="006A2185"/>
    <w:rsid w:val="006A3078"/>
    <w:rsid w:val="006A3C3D"/>
    <w:rsid w:val="006A418A"/>
    <w:rsid w:val="006A442B"/>
    <w:rsid w:val="006A4887"/>
    <w:rsid w:val="006A6738"/>
    <w:rsid w:val="006A7C92"/>
    <w:rsid w:val="006B00F0"/>
    <w:rsid w:val="006B13A7"/>
    <w:rsid w:val="006B2D15"/>
    <w:rsid w:val="006B60FA"/>
    <w:rsid w:val="006C0150"/>
    <w:rsid w:val="006C1A33"/>
    <w:rsid w:val="006C216A"/>
    <w:rsid w:val="006C2ADA"/>
    <w:rsid w:val="006C3D94"/>
    <w:rsid w:val="006C4331"/>
    <w:rsid w:val="006C51D9"/>
    <w:rsid w:val="006C5C86"/>
    <w:rsid w:val="006C7749"/>
    <w:rsid w:val="006D1DE0"/>
    <w:rsid w:val="006D2573"/>
    <w:rsid w:val="006D290F"/>
    <w:rsid w:val="006D397E"/>
    <w:rsid w:val="006D3A23"/>
    <w:rsid w:val="006D4E80"/>
    <w:rsid w:val="006E1767"/>
    <w:rsid w:val="006E176D"/>
    <w:rsid w:val="006E1BB8"/>
    <w:rsid w:val="006E598E"/>
    <w:rsid w:val="006E6E56"/>
    <w:rsid w:val="006E6F68"/>
    <w:rsid w:val="006F1F52"/>
    <w:rsid w:val="006F1F8A"/>
    <w:rsid w:val="006F2337"/>
    <w:rsid w:val="006F309F"/>
    <w:rsid w:val="006F57D1"/>
    <w:rsid w:val="006F5EB8"/>
    <w:rsid w:val="006F680E"/>
    <w:rsid w:val="006F7A88"/>
    <w:rsid w:val="006F7AC1"/>
    <w:rsid w:val="006F7DC5"/>
    <w:rsid w:val="00700C78"/>
    <w:rsid w:val="00701ECD"/>
    <w:rsid w:val="00702EE0"/>
    <w:rsid w:val="00704B63"/>
    <w:rsid w:val="00707108"/>
    <w:rsid w:val="0070770C"/>
    <w:rsid w:val="007107F2"/>
    <w:rsid w:val="00715D9E"/>
    <w:rsid w:val="0071665F"/>
    <w:rsid w:val="007166AA"/>
    <w:rsid w:val="00722447"/>
    <w:rsid w:val="00724382"/>
    <w:rsid w:val="00725070"/>
    <w:rsid w:val="00725EDA"/>
    <w:rsid w:val="00726F6D"/>
    <w:rsid w:val="00730782"/>
    <w:rsid w:val="00730F3D"/>
    <w:rsid w:val="00730F5D"/>
    <w:rsid w:val="0073105B"/>
    <w:rsid w:val="007311A0"/>
    <w:rsid w:val="00731E9E"/>
    <w:rsid w:val="0073240B"/>
    <w:rsid w:val="00732F53"/>
    <w:rsid w:val="00733125"/>
    <w:rsid w:val="00734DE6"/>
    <w:rsid w:val="007359F5"/>
    <w:rsid w:val="0073772C"/>
    <w:rsid w:val="00737BF1"/>
    <w:rsid w:val="007416D5"/>
    <w:rsid w:val="0074191F"/>
    <w:rsid w:val="00746488"/>
    <w:rsid w:val="00746C2E"/>
    <w:rsid w:val="00747E32"/>
    <w:rsid w:val="0075032C"/>
    <w:rsid w:val="0075046F"/>
    <w:rsid w:val="00752489"/>
    <w:rsid w:val="007530F5"/>
    <w:rsid w:val="00754448"/>
    <w:rsid w:val="0075504C"/>
    <w:rsid w:val="00756700"/>
    <w:rsid w:val="00756959"/>
    <w:rsid w:val="00757308"/>
    <w:rsid w:val="007647F8"/>
    <w:rsid w:val="00764C15"/>
    <w:rsid w:val="0076568D"/>
    <w:rsid w:val="00766046"/>
    <w:rsid w:val="0076639E"/>
    <w:rsid w:val="00766510"/>
    <w:rsid w:val="0077339B"/>
    <w:rsid w:val="00774BF3"/>
    <w:rsid w:val="00775A74"/>
    <w:rsid w:val="00776E2D"/>
    <w:rsid w:val="0078177E"/>
    <w:rsid w:val="007817DB"/>
    <w:rsid w:val="0078318E"/>
    <w:rsid w:val="007862E3"/>
    <w:rsid w:val="00786EE9"/>
    <w:rsid w:val="00787ECD"/>
    <w:rsid w:val="00791240"/>
    <w:rsid w:val="00791DDD"/>
    <w:rsid w:val="00791DFC"/>
    <w:rsid w:val="00792630"/>
    <w:rsid w:val="00793A2D"/>
    <w:rsid w:val="007943BE"/>
    <w:rsid w:val="00795A51"/>
    <w:rsid w:val="00797286"/>
    <w:rsid w:val="007972D3"/>
    <w:rsid w:val="0079798E"/>
    <w:rsid w:val="00797D9A"/>
    <w:rsid w:val="00797FD5"/>
    <w:rsid w:val="007A08A5"/>
    <w:rsid w:val="007A26AC"/>
    <w:rsid w:val="007A3D8D"/>
    <w:rsid w:val="007A3E2D"/>
    <w:rsid w:val="007A495F"/>
    <w:rsid w:val="007A507A"/>
    <w:rsid w:val="007A509A"/>
    <w:rsid w:val="007A53C5"/>
    <w:rsid w:val="007A558E"/>
    <w:rsid w:val="007A69C8"/>
    <w:rsid w:val="007A7D84"/>
    <w:rsid w:val="007B01F8"/>
    <w:rsid w:val="007B02CB"/>
    <w:rsid w:val="007B090B"/>
    <w:rsid w:val="007B210D"/>
    <w:rsid w:val="007B3BE6"/>
    <w:rsid w:val="007B4569"/>
    <w:rsid w:val="007B5AB3"/>
    <w:rsid w:val="007B6EDE"/>
    <w:rsid w:val="007C0797"/>
    <w:rsid w:val="007C092F"/>
    <w:rsid w:val="007C2D26"/>
    <w:rsid w:val="007C30D3"/>
    <w:rsid w:val="007C4752"/>
    <w:rsid w:val="007C5359"/>
    <w:rsid w:val="007D0957"/>
    <w:rsid w:val="007D1E41"/>
    <w:rsid w:val="007D37F0"/>
    <w:rsid w:val="007D3AE3"/>
    <w:rsid w:val="007D42AD"/>
    <w:rsid w:val="007D4C2F"/>
    <w:rsid w:val="007D629A"/>
    <w:rsid w:val="007D7448"/>
    <w:rsid w:val="007E104F"/>
    <w:rsid w:val="007E15A6"/>
    <w:rsid w:val="007E1EDC"/>
    <w:rsid w:val="007E1FD3"/>
    <w:rsid w:val="007E2082"/>
    <w:rsid w:val="007E2A46"/>
    <w:rsid w:val="007E3DD9"/>
    <w:rsid w:val="007E3F24"/>
    <w:rsid w:val="007E4DA1"/>
    <w:rsid w:val="007F0338"/>
    <w:rsid w:val="007F0AA6"/>
    <w:rsid w:val="007F328A"/>
    <w:rsid w:val="007F73FB"/>
    <w:rsid w:val="007F7D7A"/>
    <w:rsid w:val="007F7E34"/>
    <w:rsid w:val="008000C6"/>
    <w:rsid w:val="00800138"/>
    <w:rsid w:val="0080314A"/>
    <w:rsid w:val="008045BD"/>
    <w:rsid w:val="00805EC4"/>
    <w:rsid w:val="00806EB5"/>
    <w:rsid w:val="008120D1"/>
    <w:rsid w:val="00812EAF"/>
    <w:rsid w:val="0081358D"/>
    <w:rsid w:val="00813DB8"/>
    <w:rsid w:val="0081429D"/>
    <w:rsid w:val="00814542"/>
    <w:rsid w:val="00815369"/>
    <w:rsid w:val="00815724"/>
    <w:rsid w:val="00815A08"/>
    <w:rsid w:val="0081662E"/>
    <w:rsid w:val="0081704F"/>
    <w:rsid w:val="008179FB"/>
    <w:rsid w:val="00822653"/>
    <w:rsid w:val="00825C96"/>
    <w:rsid w:val="0082601B"/>
    <w:rsid w:val="00826A29"/>
    <w:rsid w:val="00827AC4"/>
    <w:rsid w:val="00830077"/>
    <w:rsid w:val="00830D90"/>
    <w:rsid w:val="00831676"/>
    <w:rsid w:val="008330D8"/>
    <w:rsid w:val="00834A4D"/>
    <w:rsid w:val="008354AD"/>
    <w:rsid w:val="008365E2"/>
    <w:rsid w:val="008410A0"/>
    <w:rsid w:val="00842E6E"/>
    <w:rsid w:val="0084372E"/>
    <w:rsid w:val="00844D08"/>
    <w:rsid w:val="008458A6"/>
    <w:rsid w:val="00845AB7"/>
    <w:rsid w:val="0085019F"/>
    <w:rsid w:val="00850250"/>
    <w:rsid w:val="0085065A"/>
    <w:rsid w:val="00851DC6"/>
    <w:rsid w:val="008527D7"/>
    <w:rsid w:val="00853B0A"/>
    <w:rsid w:val="008545D1"/>
    <w:rsid w:val="008553A0"/>
    <w:rsid w:val="0085557C"/>
    <w:rsid w:val="008568A0"/>
    <w:rsid w:val="00857A7F"/>
    <w:rsid w:val="00857B69"/>
    <w:rsid w:val="008604BA"/>
    <w:rsid w:val="00861F48"/>
    <w:rsid w:val="00862913"/>
    <w:rsid w:val="00862CD5"/>
    <w:rsid w:val="0086532D"/>
    <w:rsid w:val="0086577B"/>
    <w:rsid w:val="00866279"/>
    <w:rsid w:val="008676D0"/>
    <w:rsid w:val="008708D6"/>
    <w:rsid w:val="00870ACC"/>
    <w:rsid w:val="00870D88"/>
    <w:rsid w:val="00871A1E"/>
    <w:rsid w:val="00873B07"/>
    <w:rsid w:val="00873E0F"/>
    <w:rsid w:val="00875E99"/>
    <w:rsid w:val="008777D7"/>
    <w:rsid w:val="0088093C"/>
    <w:rsid w:val="00880977"/>
    <w:rsid w:val="00881A1D"/>
    <w:rsid w:val="00881F16"/>
    <w:rsid w:val="00882CA0"/>
    <w:rsid w:val="00882FB3"/>
    <w:rsid w:val="00882FBE"/>
    <w:rsid w:val="00883904"/>
    <w:rsid w:val="0088496F"/>
    <w:rsid w:val="008860F3"/>
    <w:rsid w:val="00886677"/>
    <w:rsid w:val="00890F1B"/>
    <w:rsid w:val="00891F36"/>
    <w:rsid w:val="008932C0"/>
    <w:rsid w:val="00895F7D"/>
    <w:rsid w:val="008A0E84"/>
    <w:rsid w:val="008A2391"/>
    <w:rsid w:val="008A2D39"/>
    <w:rsid w:val="008A52EA"/>
    <w:rsid w:val="008A574C"/>
    <w:rsid w:val="008A6521"/>
    <w:rsid w:val="008A6AE8"/>
    <w:rsid w:val="008B014F"/>
    <w:rsid w:val="008B0FD7"/>
    <w:rsid w:val="008B1ADB"/>
    <w:rsid w:val="008B1C4C"/>
    <w:rsid w:val="008B2018"/>
    <w:rsid w:val="008B2480"/>
    <w:rsid w:val="008B566B"/>
    <w:rsid w:val="008B5B2B"/>
    <w:rsid w:val="008B656D"/>
    <w:rsid w:val="008B681D"/>
    <w:rsid w:val="008B7113"/>
    <w:rsid w:val="008C2942"/>
    <w:rsid w:val="008C30B6"/>
    <w:rsid w:val="008C3632"/>
    <w:rsid w:val="008C5CD0"/>
    <w:rsid w:val="008C69F4"/>
    <w:rsid w:val="008C6AA1"/>
    <w:rsid w:val="008C6AEA"/>
    <w:rsid w:val="008C7D05"/>
    <w:rsid w:val="008D0E2B"/>
    <w:rsid w:val="008D2310"/>
    <w:rsid w:val="008D3D9E"/>
    <w:rsid w:val="008D4920"/>
    <w:rsid w:val="008D53D2"/>
    <w:rsid w:val="008D5D5C"/>
    <w:rsid w:val="008E0464"/>
    <w:rsid w:val="008E1254"/>
    <w:rsid w:val="008E19E4"/>
    <w:rsid w:val="008E28E4"/>
    <w:rsid w:val="008E3463"/>
    <w:rsid w:val="008E4A3D"/>
    <w:rsid w:val="008E56BD"/>
    <w:rsid w:val="008E586A"/>
    <w:rsid w:val="008E75F5"/>
    <w:rsid w:val="008E7B70"/>
    <w:rsid w:val="008F2EED"/>
    <w:rsid w:val="008F36BC"/>
    <w:rsid w:val="008F3C1E"/>
    <w:rsid w:val="008F41D6"/>
    <w:rsid w:val="008F5670"/>
    <w:rsid w:val="008F5AA8"/>
    <w:rsid w:val="008F5ACE"/>
    <w:rsid w:val="008F5B0A"/>
    <w:rsid w:val="008F62CE"/>
    <w:rsid w:val="008F62F4"/>
    <w:rsid w:val="008F6B18"/>
    <w:rsid w:val="008F6EE0"/>
    <w:rsid w:val="00900196"/>
    <w:rsid w:val="0090062B"/>
    <w:rsid w:val="00900D25"/>
    <w:rsid w:val="009041CF"/>
    <w:rsid w:val="009064AF"/>
    <w:rsid w:val="0091181A"/>
    <w:rsid w:val="009122A6"/>
    <w:rsid w:val="009158A8"/>
    <w:rsid w:val="009168ED"/>
    <w:rsid w:val="00916F59"/>
    <w:rsid w:val="0092100D"/>
    <w:rsid w:val="0092242F"/>
    <w:rsid w:val="00922496"/>
    <w:rsid w:val="009226E9"/>
    <w:rsid w:val="00922E14"/>
    <w:rsid w:val="009233A3"/>
    <w:rsid w:val="00923DAB"/>
    <w:rsid w:val="009241B1"/>
    <w:rsid w:val="00924B99"/>
    <w:rsid w:val="009250D6"/>
    <w:rsid w:val="009263F0"/>
    <w:rsid w:val="009276D6"/>
    <w:rsid w:val="00927AB1"/>
    <w:rsid w:val="0093143C"/>
    <w:rsid w:val="00932DA3"/>
    <w:rsid w:val="0093345E"/>
    <w:rsid w:val="009370FE"/>
    <w:rsid w:val="009401E9"/>
    <w:rsid w:val="00941E29"/>
    <w:rsid w:val="009427AE"/>
    <w:rsid w:val="009441F5"/>
    <w:rsid w:val="009459FF"/>
    <w:rsid w:val="00945F80"/>
    <w:rsid w:val="009471C6"/>
    <w:rsid w:val="00951975"/>
    <w:rsid w:val="0095207F"/>
    <w:rsid w:val="0095244B"/>
    <w:rsid w:val="0095397C"/>
    <w:rsid w:val="009552B5"/>
    <w:rsid w:val="00956E2E"/>
    <w:rsid w:val="00956FC1"/>
    <w:rsid w:val="00957449"/>
    <w:rsid w:val="00961CB4"/>
    <w:rsid w:val="0096213C"/>
    <w:rsid w:val="00964834"/>
    <w:rsid w:val="00965602"/>
    <w:rsid w:val="009660AE"/>
    <w:rsid w:val="00966710"/>
    <w:rsid w:val="00970323"/>
    <w:rsid w:val="00973196"/>
    <w:rsid w:val="009756BB"/>
    <w:rsid w:val="00976C40"/>
    <w:rsid w:val="00977073"/>
    <w:rsid w:val="009809A7"/>
    <w:rsid w:val="00980BD1"/>
    <w:rsid w:val="0098101C"/>
    <w:rsid w:val="009820D4"/>
    <w:rsid w:val="009834C7"/>
    <w:rsid w:val="00984A9D"/>
    <w:rsid w:val="00985475"/>
    <w:rsid w:val="009877EF"/>
    <w:rsid w:val="00987877"/>
    <w:rsid w:val="00990EA3"/>
    <w:rsid w:val="009914EF"/>
    <w:rsid w:val="009919CC"/>
    <w:rsid w:val="00991DD7"/>
    <w:rsid w:val="00992532"/>
    <w:rsid w:val="0099255F"/>
    <w:rsid w:val="00993839"/>
    <w:rsid w:val="0099768F"/>
    <w:rsid w:val="009A3539"/>
    <w:rsid w:val="009A4375"/>
    <w:rsid w:val="009A5647"/>
    <w:rsid w:val="009A5877"/>
    <w:rsid w:val="009A667B"/>
    <w:rsid w:val="009B05F4"/>
    <w:rsid w:val="009B34B5"/>
    <w:rsid w:val="009B38E8"/>
    <w:rsid w:val="009B3F32"/>
    <w:rsid w:val="009B54E3"/>
    <w:rsid w:val="009B552C"/>
    <w:rsid w:val="009B75D7"/>
    <w:rsid w:val="009B7AD7"/>
    <w:rsid w:val="009C056F"/>
    <w:rsid w:val="009C08E7"/>
    <w:rsid w:val="009C4DD3"/>
    <w:rsid w:val="009C556B"/>
    <w:rsid w:val="009C61EE"/>
    <w:rsid w:val="009C6EA2"/>
    <w:rsid w:val="009D14D0"/>
    <w:rsid w:val="009D3548"/>
    <w:rsid w:val="009D3AA0"/>
    <w:rsid w:val="009D3B68"/>
    <w:rsid w:val="009D4249"/>
    <w:rsid w:val="009D4BFD"/>
    <w:rsid w:val="009D5345"/>
    <w:rsid w:val="009D55F5"/>
    <w:rsid w:val="009E074F"/>
    <w:rsid w:val="009E154A"/>
    <w:rsid w:val="009E1B4F"/>
    <w:rsid w:val="009E1F2B"/>
    <w:rsid w:val="009E4332"/>
    <w:rsid w:val="009E464C"/>
    <w:rsid w:val="009E475C"/>
    <w:rsid w:val="009E69CA"/>
    <w:rsid w:val="009E7051"/>
    <w:rsid w:val="009E73E7"/>
    <w:rsid w:val="009E76A5"/>
    <w:rsid w:val="009E7703"/>
    <w:rsid w:val="009E786F"/>
    <w:rsid w:val="009E7B6E"/>
    <w:rsid w:val="009F156D"/>
    <w:rsid w:val="009F26B9"/>
    <w:rsid w:val="009F415C"/>
    <w:rsid w:val="009F5040"/>
    <w:rsid w:val="009F533D"/>
    <w:rsid w:val="009F5BF7"/>
    <w:rsid w:val="009F68F2"/>
    <w:rsid w:val="009F6E7E"/>
    <w:rsid w:val="00A02367"/>
    <w:rsid w:val="00A0635A"/>
    <w:rsid w:val="00A06EE5"/>
    <w:rsid w:val="00A11D42"/>
    <w:rsid w:val="00A11F81"/>
    <w:rsid w:val="00A129A4"/>
    <w:rsid w:val="00A13549"/>
    <w:rsid w:val="00A155C1"/>
    <w:rsid w:val="00A1598F"/>
    <w:rsid w:val="00A208AD"/>
    <w:rsid w:val="00A22B3A"/>
    <w:rsid w:val="00A232E0"/>
    <w:rsid w:val="00A25A07"/>
    <w:rsid w:val="00A2628E"/>
    <w:rsid w:val="00A26E9B"/>
    <w:rsid w:val="00A27342"/>
    <w:rsid w:val="00A27D39"/>
    <w:rsid w:val="00A27D75"/>
    <w:rsid w:val="00A27E5E"/>
    <w:rsid w:val="00A31D13"/>
    <w:rsid w:val="00A32526"/>
    <w:rsid w:val="00A332BC"/>
    <w:rsid w:val="00A3342F"/>
    <w:rsid w:val="00A35DE2"/>
    <w:rsid w:val="00A4048E"/>
    <w:rsid w:val="00A40575"/>
    <w:rsid w:val="00A42B8B"/>
    <w:rsid w:val="00A42D4E"/>
    <w:rsid w:val="00A43511"/>
    <w:rsid w:val="00A44B2A"/>
    <w:rsid w:val="00A459B3"/>
    <w:rsid w:val="00A46158"/>
    <w:rsid w:val="00A50D47"/>
    <w:rsid w:val="00A51A7F"/>
    <w:rsid w:val="00A51F5A"/>
    <w:rsid w:val="00A55A24"/>
    <w:rsid w:val="00A57665"/>
    <w:rsid w:val="00A57E5E"/>
    <w:rsid w:val="00A60514"/>
    <w:rsid w:val="00A607E1"/>
    <w:rsid w:val="00A60E7A"/>
    <w:rsid w:val="00A622E9"/>
    <w:rsid w:val="00A62AFB"/>
    <w:rsid w:val="00A646EE"/>
    <w:rsid w:val="00A64D20"/>
    <w:rsid w:val="00A66A0F"/>
    <w:rsid w:val="00A67EDA"/>
    <w:rsid w:val="00A710AA"/>
    <w:rsid w:val="00A71F9F"/>
    <w:rsid w:val="00A726EC"/>
    <w:rsid w:val="00A73296"/>
    <w:rsid w:val="00A73404"/>
    <w:rsid w:val="00A7609A"/>
    <w:rsid w:val="00A76B2B"/>
    <w:rsid w:val="00A810F9"/>
    <w:rsid w:val="00A83FB6"/>
    <w:rsid w:val="00A84A31"/>
    <w:rsid w:val="00A861D2"/>
    <w:rsid w:val="00A874AE"/>
    <w:rsid w:val="00A876AD"/>
    <w:rsid w:val="00A90BE6"/>
    <w:rsid w:val="00A90E85"/>
    <w:rsid w:val="00A91CE4"/>
    <w:rsid w:val="00A96743"/>
    <w:rsid w:val="00AA01E3"/>
    <w:rsid w:val="00AA117C"/>
    <w:rsid w:val="00AA1C41"/>
    <w:rsid w:val="00AA2BF4"/>
    <w:rsid w:val="00AA31D8"/>
    <w:rsid w:val="00AA53B9"/>
    <w:rsid w:val="00AA581D"/>
    <w:rsid w:val="00AA6CFD"/>
    <w:rsid w:val="00AB0264"/>
    <w:rsid w:val="00AB1F6E"/>
    <w:rsid w:val="00AB25AC"/>
    <w:rsid w:val="00AB5229"/>
    <w:rsid w:val="00AB5D12"/>
    <w:rsid w:val="00AB6103"/>
    <w:rsid w:val="00AB6283"/>
    <w:rsid w:val="00AB64A7"/>
    <w:rsid w:val="00AB7794"/>
    <w:rsid w:val="00AC03B4"/>
    <w:rsid w:val="00AC0752"/>
    <w:rsid w:val="00AC1347"/>
    <w:rsid w:val="00AC1AF1"/>
    <w:rsid w:val="00AC1EC3"/>
    <w:rsid w:val="00AC27D4"/>
    <w:rsid w:val="00AC33D2"/>
    <w:rsid w:val="00AC3C92"/>
    <w:rsid w:val="00AC51B8"/>
    <w:rsid w:val="00AC564B"/>
    <w:rsid w:val="00AC639A"/>
    <w:rsid w:val="00AD0A2E"/>
    <w:rsid w:val="00AD1BCA"/>
    <w:rsid w:val="00AD2210"/>
    <w:rsid w:val="00AD28BB"/>
    <w:rsid w:val="00AD6414"/>
    <w:rsid w:val="00AD7FAD"/>
    <w:rsid w:val="00AE045E"/>
    <w:rsid w:val="00AE053C"/>
    <w:rsid w:val="00AE295B"/>
    <w:rsid w:val="00AE5261"/>
    <w:rsid w:val="00AE679C"/>
    <w:rsid w:val="00AF2227"/>
    <w:rsid w:val="00AF4018"/>
    <w:rsid w:val="00AF4BD8"/>
    <w:rsid w:val="00AF4C0B"/>
    <w:rsid w:val="00AF6404"/>
    <w:rsid w:val="00B0133D"/>
    <w:rsid w:val="00B0227F"/>
    <w:rsid w:val="00B02FFF"/>
    <w:rsid w:val="00B03B5C"/>
    <w:rsid w:val="00B04CD7"/>
    <w:rsid w:val="00B0526E"/>
    <w:rsid w:val="00B1091C"/>
    <w:rsid w:val="00B10A9C"/>
    <w:rsid w:val="00B113C5"/>
    <w:rsid w:val="00B11B60"/>
    <w:rsid w:val="00B11EF3"/>
    <w:rsid w:val="00B125DF"/>
    <w:rsid w:val="00B13EA8"/>
    <w:rsid w:val="00B15953"/>
    <w:rsid w:val="00B161D0"/>
    <w:rsid w:val="00B1654C"/>
    <w:rsid w:val="00B16734"/>
    <w:rsid w:val="00B17E30"/>
    <w:rsid w:val="00B20795"/>
    <w:rsid w:val="00B21C7B"/>
    <w:rsid w:val="00B22916"/>
    <w:rsid w:val="00B23997"/>
    <w:rsid w:val="00B24A50"/>
    <w:rsid w:val="00B27043"/>
    <w:rsid w:val="00B2719B"/>
    <w:rsid w:val="00B31430"/>
    <w:rsid w:val="00B322DA"/>
    <w:rsid w:val="00B3301A"/>
    <w:rsid w:val="00B3425D"/>
    <w:rsid w:val="00B3578C"/>
    <w:rsid w:val="00B40C8B"/>
    <w:rsid w:val="00B41238"/>
    <w:rsid w:val="00B416F4"/>
    <w:rsid w:val="00B417B4"/>
    <w:rsid w:val="00B4281A"/>
    <w:rsid w:val="00B443EF"/>
    <w:rsid w:val="00B44667"/>
    <w:rsid w:val="00B4667C"/>
    <w:rsid w:val="00B51AF6"/>
    <w:rsid w:val="00B526D0"/>
    <w:rsid w:val="00B579A1"/>
    <w:rsid w:val="00B61679"/>
    <w:rsid w:val="00B61AA7"/>
    <w:rsid w:val="00B61F76"/>
    <w:rsid w:val="00B629F0"/>
    <w:rsid w:val="00B62B81"/>
    <w:rsid w:val="00B63937"/>
    <w:rsid w:val="00B64004"/>
    <w:rsid w:val="00B64798"/>
    <w:rsid w:val="00B664A4"/>
    <w:rsid w:val="00B67AAF"/>
    <w:rsid w:val="00B7066F"/>
    <w:rsid w:val="00B70C91"/>
    <w:rsid w:val="00B7164C"/>
    <w:rsid w:val="00B72DBD"/>
    <w:rsid w:val="00B72FEB"/>
    <w:rsid w:val="00B73176"/>
    <w:rsid w:val="00B73257"/>
    <w:rsid w:val="00B7493D"/>
    <w:rsid w:val="00B7498F"/>
    <w:rsid w:val="00B74A77"/>
    <w:rsid w:val="00B74BFA"/>
    <w:rsid w:val="00B7717D"/>
    <w:rsid w:val="00B80712"/>
    <w:rsid w:val="00B80D6D"/>
    <w:rsid w:val="00B819D8"/>
    <w:rsid w:val="00B833F1"/>
    <w:rsid w:val="00B83851"/>
    <w:rsid w:val="00B8655C"/>
    <w:rsid w:val="00B9125A"/>
    <w:rsid w:val="00B91AC1"/>
    <w:rsid w:val="00B9308F"/>
    <w:rsid w:val="00B9361F"/>
    <w:rsid w:val="00B93A7E"/>
    <w:rsid w:val="00B95938"/>
    <w:rsid w:val="00BA1789"/>
    <w:rsid w:val="00BA18E7"/>
    <w:rsid w:val="00BA2779"/>
    <w:rsid w:val="00BA2B97"/>
    <w:rsid w:val="00BA4818"/>
    <w:rsid w:val="00BA5E79"/>
    <w:rsid w:val="00BB1E11"/>
    <w:rsid w:val="00BB3601"/>
    <w:rsid w:val="00BB376E"/>
    <w:rsid w:val="00BB3A09"/>
    <w:rsid w:val="00BB4508"/>
    <w:rsid w:val="00BB5EFD"/>
    <w:rsid w:val="00BB6349"/>
    <w:rsid w:val="00BB670F"/>
    <w:rsid w:val="00BB7156"/>
    <w:rsid w:val="00BC1BB6"/>
    <w:rsid w:val="00BC26E2"/>
    <w:rsid w:val="00BC3B99"/>
    <w:rsid w:val="00BC3DC0"/>
    <w:rsid w:val="00BC599F"/>
    <w:rsid w:val="00BC5B0E"/>
    <w:rsid w:val="00BC669F"/>
    <w:rsid w:val="00BC713B"/>
    <w:rsid w:val="00BC7210"/>
    <w:rsid w:val="00BD034B"/>
    <w:rsid w:val="00BD0BFB"/>
    <w:rsid w:val="00BD19FD"/>
    <w:rsid w:val="00BD28DE"/>
    <w:rsid w:val="00BD2DFA"/>
    <w:rsid w:val="00BD32B9"/>
    <w:rsid w:val="00BD3A65"/>
    <w:rsid w:val="00BD51B9"/>
    <w:rsid w:val="00BD7966"/>
    <w:rsid w:val="00BD7A1E"/>
    <w:rsid w:val="00BD7F20"/>
    <w:rsid w:val="00BE0210"/>
    <w:rsid w:val="00BE07EB"/>
    <w:rsid w:val="00BE199C"/>
    <w:rsid w:val="00BE28FF"/>
    <w:rsid w:val="00BE412F"/>
    <w:rsid w:val="00BE4D60"/>
    <w:rsid w:val="00BE7812"/>
    <w:rsid w:val="00BF0809"/>
    <w:rsid w:val="00BF0D72"/>
    <w:rsid w:val="00BF3939"/>
    <w:rsid w:val="00BF6C43"/>
    <w:rsid w:val="00C0057E"/>
    <w:rsid w:val="00C01FCF"/>
    <w:rsid w:val="00C02036"/>
    <w:rsid w:val="00C032FD"/>
    <w:rsid w:val="00C050EC"/>
    <w:rsid w:val="00C06B13"/>
    <w:rsid w:val="00C06EFA"/>
    <w:rsid w:val="00C118AB"/>
    <w:rsid w:val="00C11FA9"/>
    <w:rsid w:val="00C12CB2"/>
    <w:rsid w:val="00C14840"/>
    <w:rsid w:val="00C17ED7"/>
    <w:rsid w:val="00C230F9"/>
    <w:rsid w:val="00C23891"/>
    <w:rsid w:val="00C252BD"/>
    <w:rsid w:val="00C26716"/>
    <w:rsid w:val="00C26857"/>
    <w:rsid w:val="00C26D0D"/>
    <w:rsid w:val="00C3024F"/>
    <w:rsid w:val="00C323B6"/>
    <w:rsid w:val="00C337C5"/>
    <w:rsid w:val="00C34956"/>
    <w:rsid w:val="00C34962"/>
    <w:rsid w:val="00C41889"/>
    <w:rsid w:val="00C43199"/>
    <w:rsid w:val="00C44808"/>
    <w:rsid w:val="00C46006"/>
    <w:rsid w:val="00C47628"/>
    <w:rsid w:val="00C50009"/>
    <w:rsid w:val="00C5015F"/>
    <w:rsid w:val="00C50C30"/>
    <w:rsid w:val="00C524E7"/>
    <w:rsid w:val="00C5298F"/>
    <w:rsid w:val="00C52D77"/>
    <w:rsid w:val="00C53023"/>
    <w:rsid w:val="00C55C9D"/>
    <w:rsid w:val="00C57624"/>
    <w:rsid w:val="00C61167"/>
    <w:rsid w:val="00C615ED"/>
    <w:rsid w:val="00C61E26"/>
    <w:rsid w:val="00C62872"/>
    <w:rsid w:val="00C6697D"/>
    <w:rsid w:val="00C675A5"/>
    <w:rsid w:val="00C67D2C"/>
    <w:rsid w:val="00C70ADD"/>
    <w:rsid w:val="00C70CF3"/>
    <w:rsid w:val="00C72082"/>
    <w:rsid w:val="00C7276D"/>
    <w:rsid w:val="00C72846"/>
    <w:rsid w:val="00C733E2"/>
    <w:rsid w:val="00C73A6C"/>
    <w:rsid w:val="00C74054"/>
    <w:rsid w:val="00C7426A"/>
    <w:rsid w:val="00C75D8D"/>
    <w:rsid w:val="00C7630D"/>
    <w:rsid w:val="00C7660C"/>
    <w:rsid w:val="00C77060"/>
    <w:rsid w:val="00C80CB9"/>
    <w:rsid w:val="00C81103"/>
    <w:rsid w:val="00C825D5"/>
    <w:rsid w:val="00C825FB"/>
    <w:rsid w:val="00C850D2"/>
    <w:rsid w:val="00C8662D"/>
    <w:rsid w:val="00C92B71"/>
    <w:rsid w:val="00C956D5"/>
    <w:rsid w:val="00C96065"/>
    <w:rsid w:val="00CA002C"/>
    <w:rsid w:val="00CA0C4D"/>
    <w:rsid w:val="00CA182B"/>
    <w:rsid w:val="00CA1CF7"/>
    <w:rsid w:val="00CA43E2"/>
    <w:rsid w:val="00CA5189"/>
    <w:rsid w:val="00CA58A2"/>
    <w:rsid w:val="00CA58E8"/>
    <w:rsid w:val="00CA7E4F"/>
    <w:rsid w:val="00CB16B8"/>
    <w:rsid w:val="00CB3613"/>
    <w:rsid w:val="00CB43B0"/>
    <w:rsid w:val="00CC01AE"/>
    <w:rsid w:val="00CC1238"/>
    <w:rsid w:val="00CC18E1"/>
    <w:rsid w:val="00CC231A"/>
    <w:rsid w:val="00CC2989"/>
    <w:rsid w:val="00CC363D"/>
    <w:rsid w:val="00CC59EA"/>
    <w:rsid w:val="00CC60B6"/>
    <w:rsid w:val="00CC6678"/>
    <w:rsid w:val="00CC6ACE"/>
    <w:rsid w:val="00CC6C0F"/>
    <w:rsid w:val="00CC7B13"/>
    <w:rsid w:val="00CC7DDD"/>
    <w:rsid w:val="00CD1B44"/>
    <w:rsid w:val="00CD36A7"/>
    <w:rsid w:val="00CD5021"/>
    <w:rsid w:val="00CE078B"/>
    <w:rsid w:val="00CE2177"/>
    <w:rsid w:val="00CE2B3D"/>
    <w:rsid w:val="00CE3C8B"/>
    <w:rsid w:val="00CE4500"/>
    <w:rsid w:val="00CE7EFD"/>
    <w:rsid w:val="00CF08B4"/>
    <w:rsid w:val="00CF0A4F"/>
    <w:rsid w:val="00CF3D5E"/>
    <w:rsid w:val="00CF5C49"/>
    <w:rsid w:val="00CF6406"/>
    <w:rsid w:val="00D0031E"/>
    <w:rsid w:val="00D0145A"/>
    <w:rsid w:val="00D021DA"/>
    <w:rsid w:val="00D02CE4"/>
    <w:rsid w:val="00D0402E"/>
    <w:rsid w:val="00D051DE"/>
    <w:rsid w:val="00D056D6"/>
    <w:rsid w:val="00D05845"/>
    <w:rsid w:val="00D06B44"/>
    <w:rsid w:val="00D075AB"/>
    <w:rsid w:val="00D07C0F"/>
    <w:rsid w:val="00D10EC8"/>
    <w:rsid w:val="00D130A4"/>
    <w:rsid w:val="00D1455A"/>
    <w:rsid w:val="00D14680"/>
    <w:rsid w:val="00D14AB7"/>
    <w:rsid w:val="00D223C8"/>
    <w:rsid w:val="00D225BD"/>
    <w:rsid w:val="00D225E5"/>
    <w:rsid w:val="00D25E7E"/>
    <w:rsid w:val="00D26FEA"/>
    <w:rsid w:val="00D271A6"/>
    <w:rsid w:val="00D27715"/>
    <w:rsid w:val="00D31BC8"/>
    <w:rsid w:val="00D32277"/>
    <w:rsid w:val="00D32471"/>
    <w:rsid w:val="00D343DB"/>
    <w:rsid w:val="00D34985"/>
    <w:rsid w:val="00D35353"/>
    <w:rsid w:val="00D353CD"/>
    <w:rsid w:val="00D3589C"/>
    <w:rsid w:val="00D35C28"/>
    <w:rsid w:val="00D35E2D"/>
    <w:rsid w:val="00D35FA2"/>
    <w:rsid w:val="00D37F4C"/>
    <w:rsid w:val="00D410EB"/>
    <w:rsid w:val="00D41A77"/>
    <w:rsid w:val="00D42C55"/>
    <w:rsid w:val="00D44D0B"/>
    <w:rsid w:val="00D46E82"/>
    <w:rsid w:val="00D50AA7"/>
    <w:rsid w:val="00D52833"/>
    <w:rsid w:val="00D53847"/>
    <w:rsid w:val="00D5465F"/>
    <w:rsid w:val="00D57315"/>
    <w:rsid w:val="00D57A4C"/>
    <w:rsid w:val="00D6145B"/>
    <w:rsid w:val="00D61B38"/>
    <w:rsid w:val="00D61B83"/>
    <w:rsid w:val="00D6252F"/>
    <w:rsid w:val="00D626D9"/>
    <w:rsid w:val="00D6388E"/>
    <w:rsid w:val="00D63D10"/>
    <w:rsid w:val="00D63EC3"/>
    <w:rsid w:val="00D64624"/>
    <w:rsid w:val="00D64DE9"/>
    <w:rsid w:val="00D65DA3"/>
    <w:rsid w:val="00D662A8"/>
    <w:rsid w:val="00D7076A"/>
    <w:rsid w:val="00D72173"/>
    <w:rsid w:val="00D747F6"/>
    <w:rsid w:val="00D75CB5"/>
    <w:rsid w:val="00D76F5E"/>
    <w:rsid w:val="00D83D31"/>
    <w:rsid w:val="00D86196"/>
    <w:rsid w:val="00D86B65"/>
    <w:rsid w:val="00D87ACF"/>
    <w:rsid w:val="00D87F0D"/>
    <w:rsid w:val="00D91336"/>
    <w:rsid w:val="00D938FC"/>
    <w:rsid w:val="00D940B0"/>
    <w:rsid w:val="00D9422E"/>
    <w:rsid w:val="00D94921"/>
    <w:rsid w:val="00D94B02"/>
    <w:rsid w:val="00D94FAA"/>
    <w:rsid w:val="00DA06B7"/>
    <w:rsid w:val="00DA1312"/>
    <w:rsid w:val="00DA1629"/>
    <w:rsid w:val="00DA206B"/>
    <w:rsid w:val="00DA3F50"/>
    <w:rsid w:val="00DA662E"/>
    <w:rsid w:val="00DA7CED"/>
    <w:rsid w:val="00DB1325"/>
    <w:rsid w:val="00DB1963"/>
    <w:rsid w:val="00DB25AA"/>
    <w:rsid w:val="00DB2F02"/>
    <w:rsid w:val="00DB6416"/>
    <w:rsid w:val="00DB7FAD"/>
    <w:rsid w:val="00DC0806"/>
    <w:rsid w:val="00DC2B7F"/>
    <w:rsid w:val="00DC3831"/>
    <w:rsid w:val="00DC57E4"/>
    <w:rsid w:val="00DC6614"/>
    <w:rsid w:val="00DD0404"/>
    <w:rsid w:val="00DD08AD"/>
    <w:rsid w:val="00DD137B"/>
    <w:rsid w:val="00DD1568"/>
    <w:rsid w:val="00DD15DF"/>
    <w:rsid w:val="00DD20C5"/>
    <w:rsid w:val="00DD36DE"/>
    <w:rsid w:val="00DD3DB9"/>
    <w:rsid w:val="00DD6244"/>
    <w:rsid w:val="00DE36E5"/>
    <w:rsid w:val="00DE631F"/>
    <w:rsid w:val="00DE706A"/>
    <w:rsid w:val="00DF0644"/>
    <w:rsid w:val="00DF3302"/>
    <w:rsid w:val="00DF3878"/>
    <w:rsid w:val="00DF3E97"/>
    <w:rsid w:val="00DF7A95"/>
    <w:rsid w:val="00E00C01"/>
    <w:rsid w:val="00E01386"/>
    <w:rsid w:val="00E01E13"/>
    <w:rsid w:val="00E01F24"/>
    <w:rsid w:val="00E05479"/>
    <w:rsid w:val="00E0556B"/>
    <w:rsid w:val="00E07780"/>
    <w:rsid w:val="00E07A86"/>
    <w:rsid w:val="00E07E9C"/>
    <w:rsid w:val="00E109D2"/>
    <w:rsid w:val="00E12934"/>
    <w:rsid w:val="00E138C1"/>
    <w:rsid w:val="00E13C6D"/>
    <w:rsid w:val="00E14015"/>
    <w:rsid w:val="00E14873"/>
    <w:rsid w:val="00E148D8"/>
    <w:rsid w:val="00E14BD4"/>
    <w:rsid w:val="00E15F9C"/>
    <w:rsid w:val="00E16CB7"/>
    <w:rsid w:val="00E16EA5"/>
    <w:rsid w:val="00E1730E"/>
    <w:rsid w:val="00E200A9"/>
    <w:rsid w:val="00E235E2"/>
    <w:rsid w:val="00E241BE"/>
    <w:rsid w:val="00E2633D"/>
    <w:rsid w:val="00E26694"/>
    <w:rsid w:val="00E26F96"/>
    <w:rsid w:val="00E30F1F"/>
    <w:rsid w:val="00E32023"/>
    <w:rsid w:val="00E33DAB"/>
    <w:rsid w:val="00E342D1"/>
    <w:rsid w:val="00E3672C"/>
    <w:rsid w:val="00E370F1"/>
    <w:rsid w:val="00E4042B"/>
    <w:rsid w:val="00E4046F"/>
    <w:rsid w:val="00E43EE6"/>
    <w:rsid w:val="00E4455A"/>
    <w:rsid w:val="00E45CE2"/>
    <w:rsid w:val="00E45D1D"/>
    <w:rsid w:val="00E472D9"/>
    <w:rsid w:val="00E47BFA"/>
    <w:rsid w:val="00E47EAE"/>
    <w:rsid w:val="00E51CF6"/>
    <w:rsid w:val="00E561B8"/>
    <w:rsid w:val="00E606F9"/>
    <w:rsid w:val="00E63496"/>
    <w:rsid w:val="00E63695"/>
    <w:rsid w:val="00E6740D"/>
    <w:rsid w:val="00E740EE"/>
    <w:rsid w:val="00E80485"/>
    <w:rsid w:val="00E81D81"/>
    <w:rsid w:val="00E82007"/>
    <w:rsid w:val="00E82056"/>
    <w:rsid w:val="00E83286"/>
    <w:rsid w:val="00E843F9"/>
    <w:rsid w:val="00E8461C"/>
    <w:rsid w:val="00E85094"/>
    <w:rsid w:val="00E85593"/>
    <w:rsid w:val="00E86556"/>
    <w:rsid w:val="00E878D9"/>
    <w:rsid w:val="00E901D4"/>
    <w:rsid w:val="00E91225"/>
    <w:rsid w:val="00E9136D"/>
    <w:rsid w:val="00E92AA9"/>
    <w:rsid w:val="00E92F26"/>
    <w:rsid w:val="00E935C4"/>
    <w:rsid w:val="00E93ABC"/>
    <w:rsid w:val="00E9435C"/>
    <w:rsid w:val="00E9790D"/>
    <w:rsid w:val="00E97B0E"/>
    <w:rsid w:val="00EA1A12"/>
    <w:rsid w:val="00EA20CA"/>
    <w:rsid w:val="00EA2AC6"/>
    <w:rsid w:val="00EA399D"/>
    <w:rsid w:val="00EA56D7"/>
    <w:rsid w:val="00EA5AAA"/>
    <w:rsid w:val="00EA6E61"/>
    <w:rsid w:val="00EA7601"/>
    <w:rsid w:val="00EA773B"/>
    <w:rsid w:val="00EA7C39"/>
    <w:rsid w:val="00EA7D8C"/>
    <w:rsid w:val="00EB22BC"/>
    <w:rsid w:val="00EB4378"/>
    <w:rsid w:val="00EB44E7"/>
    <w:rsid w:val="00EB4797"/>
    <w:rsid w:val="00EB4AFC"/>
    <w:rsid w:val="00EC15E6"/>
    <w:rsid w:val="00EC23D0"/>
    <w:rsid w:val="00EC2D10"/>
    <w:rsid w:val="00EC3DAA"/>
    <w:rsid w:val="00EC42A6"/>
    <w:rsid w:val="00EC5E73"/>
    <w:rsid w:val="00EC6C1F"/>
    <w:rsid w:val="00EC7D34"/>
    <w:rsid w:val="00ED3466"/>
    <w:rsid w:val="00ED7C2B"/>
    <w:rsid w:val="00EE005E"/>
    <w:rsid w:val="00EE0F6B"/>
    <w:rsid w:val="00EE16B7"/>
    <w:rsid w:val="00EE1AC0"/>
    <w:rsid w:val="00EE2914"/>
    <w:rsid w:val="00EE3180"/>
    <w:rsid w:val="00EE7143"/>
    <w:rsid w:val="00EE78FB"/>
    <w:rsid w:val="00EE7D21"/>
    <w:rsid w:val="00EF214B"/>
    <w:rsid w:val="00EF5101"/>
    <w:rsid w:val="00EF5D5E"/>
    <w:rsid w:val="00EF627A"/>
    <w:rsid w:val="00EF70D1"/>
    <w:rsid w:val="00EF7F4C"/>
    <w:rsid w:val="00F00515"/>
    <w:rsid w:val="00F01E63"/>
    <w:rsid w:val="00F0250C"/>
    <w:rsid w:val="00F042EE"/>
    <w:rsid w:val="00F048F8"/>
    <w:rsid w:val="00F055BA"/>
    <w:rsid w:val="00F06297"/>
    <w:rsid w:val="00F067F4"/>
    <w:rsid w:val="00F06C5C"/>
    <w:rsid w:val="00F06D4A"/>
    <w:rsid w:val="00F07E3C"/>
    <w:rsid w:val="00F135E1"/>
    <w:rsid w:val="00F1365A"/>
    <w:rsid w:val="00F14CB6"/>
    <w:rsid w:val="00F167E2"/>
    <w:rsid w:val="00F223B8"/>
    <w:rsid w:val="00F22EFA"/>
    <w:rsid w:val="00F237C3"/>
    <w:rsid w:val="00F23DA7"/>
    <w:rsid w:val="00F24713"/>
    <w:rsid w:val="00F24FB4"/>
    <w:rsid w:val="00F2532B"/>
    <w:rsid w:val="00F25E46"/>
    <w:rsid w:val="00F25E4D"/>
    <w:rsid w:val="00F27589"/>
    <w:rsid w:val="00F27D2A"/>
    <w:rsid w:val="00F3088A"/>
    <w:rsid w:val="00F3131F"/>
    <w:rsid w:val="00F32CC6"/>
    <w:rsid w:val="00F32FF6"/>
    <w:rsid w:val="00F334EA"/>
    <w:rsid w:val="00F348F5"/>
    <w:rsid w:val="00F4133C"/>
    <w:rsid w:val="00F413AB"/>
    <w:rsid w:val="00F42334"/>
    <w:rsid w:val="00F42F2A"/>
    <w:rsid w:val="00F43A0E"/>
    <w:rsid w:val="00F44F8D"/>
    <w:rsid w:val="00F47BEC"/>
    <w:rsid w:val="00F47E59"/>
    <w:rsid w:val="00F50375"/>
    <w:rsid w:val="00F5056F"/>
    <w:rsid w:val="00F51E15"/>
    <w:rsid w:val="00F51EE4"/>
    <w:rsid w:val="00F5219B"/>
    <w:rsid w:val="00F52C72"/>
    <w:rsid w:val="00F53971"/>
    <w:rsid w:val="00F5476A"/>
    <w:rsid w:val="00F547A6"/>
    <w:rsid w:val="00F56280"/>
    <w:rsid w:val="00F56DB8"/>
    <w:rsid w:val="00F57226"/>
    <w:rsid w:val="00F6196D"/>
    <w:rsid w:val="00F619DF"/>
    <w:rsid w:val="00F627D2"/>
    <w:rsid w:val="00F6334C"/>
    <w:rsid w:val="00F63C91"/>
    <w:rsid w:val="00F66436"/>
    <w:rsid w:val="00F671DF"/>
    <w:rsid w:val="00F76537"/>
    <w:rsid w:val="00F76A92"/>
    <w:rsid w:val="00F772EA"/>
    <w:rsid w:val="00F80AA8"/>
    <w:rsid w:val="00F80F49"/>
    <w:rsid w:val="00F80FF6"/>
    <w:rsid w:val="00F81EA1"/>
    <w:rsid w:val="00F822C3"/>
    <w:rsid w:val="00F84714"/>
    <w:rsid w:val="00F86477"/>
    <w:rsid w:val="00F86902"/>
    <w:rsid w:val="00F86B3C"/>
    <w:rsid w:val="00F87360"/>
    <w:rsid w:val="00F87C7D"/>
    <w:rsid w:val="00F87D49"/>
    <w:rsid w:val="00F91BF9"/>
    <w:rsid w:val="00F91FD1"/>
    <w:rsid w:val="00F9413E"/>
    <w:rsid w:val="00F958BE"/>
    <w:rsid w:val="00F960AE"/>
    <w:rsid w:val="00F96A82"/>
    <w:rsid w:val="00FA0802"/>
    <w:rsid w:val="00FA2C90"/>
    <w:rsid w:val="00FA39DA"/>
    <w:rsid w:val="00FA3B6B"/>
    <w:rsid w:val="00FA4211"/>
    <w:rsid w:val="00FA446E"/>
    <w:rsid w:val="00FA4EA2"/>
    <w:rsid w:val="00FA5127"/>
    <w:rsid w:val="00FA5AF9"/>
    <w:rsid w:val="00FA5CDB"/>
    <w:rsid w:val="00FA5E8B"/>
    <w:rsid w:val="00FA6ABD"/>
    <w:rsid w:val="00FB090F"/>
    <w:rsid w:val="00FB2254"/>
    <w:rsid w:val="00FB514E"/>
    <w:rsid w:val="00FB5506"/>
    <w:rsid w:val="00FB638A"/>
    <w:rsid w:val="00FB6C3C"/>
    <w:rsid w:val="00FC07A8"/>
    <w:rsid w:val="00FC1070"/>
    <w:rsid w:val="00FC3358"/>
    <w:rsid w:val="00FC5AFB"/>
    <w:rsid w:val="00FC6E03"/>
    <w:rsid w:val="00FD0083"/>
    <w:rsid w:val="00FD00B4"/>
    <w:rsid w:val="00FD01D5"/>
    <w:rsid w:val="00FD04B9"/>
    <w:rsid w:val="00FD06EE"/>
    <w:rsid w:val="00FD0943"/>
    <w:rsid w:val="00FD2972"/>
    <w:rsid w:val="00FD415B"/>
    <w:rsid w:val="00FD4673"/>
    <w:rsid w:val="00FD48FC"/>
    <w:rsid w:val="00FD5CA2"/>
    <w:rsid w:val="00FE14AF"/>
    <w:rsid w:val="00FE2A44"/>
    <w:rsid w:val="00FE2CBE"/>
    <w:rsid w:val="00FE3AB7"/>
    <w:rsid w:val="00FE431E"/>
    <w:rsid w:val="00FE55CF"/>
    <w:rsid w:val="00FE5F32"/>
    <w:rsid w:val="00FE7BF6"/>
    <w:rsid w:val="00FF0069"/>
    <w:rsid w:val="00FF0B77"/>
    <w:rsid w:val="00FF1B67"/>
    <w:rsid w:val="00FF2320"/>
    <w:rsid w:val="00FF6CB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7">
      <o:colormenu v:ext="edit" fillcolor="none" stroke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6A3C3D"/>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7A3E2D"/>
    <w:pPr>
      <w:keepNext/>
      <w:spacing w:before="120" w:after="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AA31D8"/>
    <w:pPr>
      <w:tabs>
        <w:tab w:val="left" w:pos="45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4A1BFB"/>
    <w:pPr>
      <w:spacing w:before="120" w:after="120"/>
    </w:pPr>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color w:val="008000"/>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4A1BFB"/>
    <w:rPr>
      <w:color w:val="FF0000"/>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6A3C3D"/>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paragraph" w:customStyle="1" w:styleId="Body1">
    <w:name w:val="Body 1"/>
    <w:rsid w:val="00EA773B"/>
    <w:rPr>
      <w:rFonts w:ascii="Helvetica" w:eastAsia="ヒラギノ角ゴ Pro W3" w:hAnsi="Helvetica"/>
      <w:color w:val="000000"/>
      <w:sz w:val="24"/>
      <w:lang w:val="en-US"/>
    </w:rPr>
  </w:style>
  <w:style w:type="character" w:styleId="CommentReference">
    <w:name w:val="annotation reference"/>
    <w:uiPriority w:val="99"/>
    <w:semiHidden/>
    <w:unhideWhenUsed/>
    <w:rsid w:val="00EE0F6B"/>
    <w:rPr>
      <w:sz w:val="16"/>
      <w:szCs w:val="16"/>
    </w:rPr>
  </w:style>
</w:styles>
</file>

<file path=word/webSettings.xml><?xml version="1.0" encoding="utf-8"?>
<w:webSettings xmlns:r="http://schemas.openxmlformats.org/officeDocument/2006/relationships" xmlns:w="http://schemas.openxmlformats.org/wordprocessingml/2006/main">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1784">
      <w:bodyDiv w:val="1"/>
      <w:marLeft w:val="0"/>
      <w:marRight w:val="0"/>
      <w:marTop w:val="0"/>
      <w:marBottom w:val="0"/>
      <w:divBdr>
        <w:top w:val="none" w:sz="0" w:space="0" w:color="auto"/>
        <w:left w:val="none" w:sz="0" w:space="0" w:color="auto"/>
        <w:bottom w:val="none" w:sz="0" w:space="0" w:color="auto"/>
        <w:right w:val="none" w:sz="0" w:space="0" w:color="auto"/>
      </w:divBdr>
    </w:div>
    <w:div w:id="218128155">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7006076">
      <w:bodyDiv w:val="1"/>
      <w:marLeft w:val="0"/>
      <w:marRight w:val="0"/>
      <w:marTop w:val="0"/>
      <w:marBottom w:val="0"/>
      <w:divBdr>
        <w:top w:val="none" w:sz="0" w:space="0" w:color="auto"/>
        <w:left w:val="none" w:sz="0" w:space="0" w:color="auto"/>
        <w:bottom w:val="none" w:sz="0" w:space="0" w:color="auto"/>
        <w:right w:val="none" w:sz="0" w:space="0" w:color="auto"/>
      </w:divBdr>
    </w:div>
    <w:div w:id="356732644">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8356391">
      <w:bodyDiv w:val="1"/>
      <w:marLeft w:val="0"/>
      <w:marRight w:val="0"/>
      <w:marTop w:val="0"/>
      <w:marBottom w:val="0"/>
      <w:divBdr>
        <w:top w:val="none" w:sz="0" w:space="0" w:color="auto"/>
        <w:left w:val="none" w:sz="0" w:space="0" w:color="auto"/>
        <w:bottom w:val="none" w:sz="0" w:space="0" w:color="auto"/>
        <w:right w:val="none" w:sz="0" w:space="0" w:color="auto"/>
      </w:divBdr>
    </w:div>
    <w:div w:id="44165166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89849303">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19997816">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57617061">
      <w:bodyDiv w:val="1"/>
      <w:marLeft w:val="0"/>
      <w:marRight w:val="0"/>
      <w:marTop w:val="0"/>
      <w:marBottom w:val="0"/>
      <w:divBdr>
        <w:top w:val="none" w:sz="0" w:space="0" w:color="auto"/>
        <w:left w:val="none" w:sz="0" w:space="0" w:color="auto"/>
        <w:bottom w:val="none" w:sz="0" w:space="0" w:color="auto"/>
        <w:right w:val="none" w:sz="0" w:space="0" w:color="auto"/>
      </w:divBdr>
    </w:div>
    <w:div w:id="935094078">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456368812">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68003801">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9EB8E-FE01-46CB-BFBF-7AA0938A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1647</Words>
  <Characters>8880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 </Company>
  <LinksUpToDate>false</LinksUpToDate>
  <CharactersWithSpaces>10506</CharactersWithSpaces>
  <SharedDoc>false</SharedDoc>
  <HLinks>
    <vt:vector size="96" baseType="variant">
      <vt:variant>
        <vt:i4>5242928</vt:i4>
      </vt:variant>
      <vt:variant>
        <vt:i4>93</vt:i4>
      </vt:variant>
      <vt:variant>
        <vt:i4>0</vt:i4>
      </vt:variant>
      <vt:variant>
        <vt:i4>5</vt:i4>
      </vt:variant>
      <vt:variant>
        <vt:lpwstr>mailto:kaat.binon@swift.com</vt:lpwstr>
      </vt:variant>
      <vt:variant>
        <vt:lpwstr/>
      </vt:variant>
      <vt:variant>
        <vt:i4>1703996</vt:i4>
      </vt:variant>
      <vt:variant>
        <vt:i4>86</vt:i4>
      </vt:variant>
      <vt:variant>
        <vt:i4>0</vt:i4>
      </vt:variant>
      <vt:variant>
        <vt:i4>5</vt:i4>
      </vt:variant>
      <vt:variant>
        <vt:lpwstr/>
      </vt:variant>
      <vt:variant>
        <vt:lpwstr>_Toc304820951</vt:lpwstr>
      </vt:variant>
      <vt:variant>
        <vt:i4>1703996</vt:i4>
      </vt:variant>
      <vt:variant>
        <vt:i4>80</vt:i4>
      </vt:variant>
      <vt:variant>
        <vt:i4>0</vt:i4>
      </vt:variant>
      <vt:variant>
        <vt:i4>5</vt:i4>
      </vt:variant>
      <vt:variant>
        <vt:lpwstr/>
      </vt:variant>
      <vt:variant>
        <vt:lpwstr>_Toc304820950</vt:lpwstr>
      </vt:variant>
      <vt:variant>
        <vt:i4>1769532</vt:i4>
      </vt:variant>
      <vt:variant>
        <vt:i4>74</vt:i4>
      </vt:variant>
      <vt:variant>
        <vt:i4>0</vt:i4>
      </vt:variant>
      <vt:variant>
        <vt:i4>5</vt:i4>
      </vt:variant>
      <vt:variant>
        <vt:lpwstr/>
      </vt:variant>
      <vt:variant>
        <vt:lpwstr>_Toc304820949</vt:lpwstr>
      </vt:variant>
      <vt:variant>
        <vt:i4>1769532</vt:i4>
      </vt:variant>
      <vt:variant>
        <vt:i4>68</vt:i4>
      </vt:variant>
      <vt:variant>
        <vt:i4>0</vt:i4>
      </vt:variant>
      <vt:variant>
        <vt:i4>5</vt:i4>
      </vt:variant>
      <vt:variant>
        <vt:lpwstr/>
      </vt:variant>
      <vt:variant>
        <vt:lpwstr>_Toc304820948</vt:lpwstr>
      </vt:variant>
      <vt:variant>
        <vt:i4>1769532</vt:i4>
      </vt:variant>
      <vt:variant>
        <vt:i4>62</vt:i4>
      </vt:variant>
      <vt:variant>
        <vt:i4>0</vt:i4>
      </vt:variant>
      <vt:variant>
        <vt:i4>5</vt:i4>
      </vt:variant>
      <vt:variant>
        <vt:lpwstr/>
      </vt:variant>
      <vt:variant>
        <vt:lpwstr>_Toc304820947</vt:lpwstr>
      </vt:variant>
      <vt:variant>
        <vt:i4>1769532</vt:i4>
      </vt:variant>
      <vt:variant>
        <vt:i4>56</vt:i4>
      </vt:variant>
      <vt:variant>
        <vt:i4>0</vt:i4>
      </vt:variant>
      <vt:variant>
        <vt:i4>5</vt:i4>
      </vt:variant>
      <vt:variant>
        <vt:lpwstr/>
      </vt:variant>
      <vt:variant>
        <vt:lpwstr>_Toc304820946</vt:lpwstr>
      </vt:variant>
      <vt:variant>
        <vt:i4>1769532</vt:i4>
      </vt:variant>
      <vt:variant>
        <vt:i4>50</vt:i4>
      </vt:variant>
      <vt:variant>
        <vt:i4>0</vt:i4>
      </vt:variant>
      <vt:variant>
        <vt:i4>5</vt:i4>
      </vt:variant>
      <vt:variant>
        <vt:lpwstr/>
      </vt:variant>
      <vt:variant>
        <vt:lpwstr>_Toc304820945</vt:lpwstr>
      </vt:variant>
      <vt:variant>
        <vt:i4>1769532</vt:i4>
      </vt:variant>
      <vt:variant>
        <vt:i4>44</vt:i4>
      </vt:variant>
      <vt:variant>
        <vt:i4>0</vt:i4>
      </vt:variant>
      <vt:variant>
        <vt:i4>5</vt:i4>
      </vt:variant>
      <vt:variant>
        <vt:lpwstr/>
      </vt:variant>
      <vt:variant>
        <vt:lpwstr>_Toc304820944</vt:lpwstr>
      </vt:variant>
      <vt:variant>
        <vt:i4>1769532</vt:i4>
      </vt:variant>
      <vt:variant>
        <vt:i4>38</vt:i4>
      </vt:variant>
      <vt:variant>
        <vt:i4>0</vt:i4>
      </vt:variant>
      <vt:variant>
        <vt:i4>5</vt:i4>
      </vt:variant>
      <vt:variant>
        <vt:lpwstr/>
      </vt:variant>
      <vt:variant>
        <vt:lpwstr>_Toc304820943</vt:lpwstr>
      </vt:variant>
      <vt:variant>
        <vt:i4>1769532</vt:i4>
      </vt:variant>
      <vt:variant>
        <vt:i4>32</vt:i4>
      </vt:variant>
      <vt:variant>
        <vt:i4>0</vt:i4>
      </vt:variant>
      <vt:variant>
        <vt:i4>5</vt:i4>
      </vt:variant>
      <vt:variant>
        <vt:lpwstr/>
      </vt:variant>
      <vt:variant>
        <vt:lpwstr>_Toc304820942</vt:lpwstr>
      </vt:variant>
      <vt:variant>
        <vt:i4>1769532</vt:i4>
      </vt:variant>
      <vt:variant>
        <vt:i4>26</vt:i4>
      </vt:variant>
      <vt:variant>
        <vt:i4>0</vt:i4>
      </vt:variant>
      <vt:variant>
        <vt:i4>5</vt:i4>
      </vt:variant>
      <vt:variant>
        <vt:lpwstr/>
      </vt:variant>
      <vt:variant>
        <vt:lpwstr>_Toc304820941</vt:lpwstr>
      </vt:variant>
      <vt:variant>
        <vt:i4>1769532</vt:i4>
      </vt:variant>
      <vt:variant>
        <vt:i4>20</vt:i4>
      </vt:variant>
      <vt:variant>
        <vt:i4>0</vt:i4>
      </vt:variant>
      <vt:variant>
        <vt:i4>5</vt:i4>
      </vt:variant>
      <vt:variant>
        <vt:lpwstr/>
      </vt:variant>
      <vt:variant>
        <vt:lpwstr>_Toc304820940</vt:lpwstr>
      </vt:variant>
      <vt:variant>
        <vt:i4>1835068</vt:i4>
      </vt:variant>
      <vt:variant>
        <vt:i4>14</vt:i4>
      </vt:variant>
      <vt:variant>
        <vt:i4>0</vt:i4>
      </vt:variant>
      <vt:variant>
        <vt:i4>5</vt:i4>
      </vt:variant>
      <vt:variant>
        <vt:lpwstr/>
      </vt:variant>
      <vt:variant>
        <vt:lpwstr>_Toc304820939</vt:lpwstr>
      </vt:variant>
      <vt:variant>
        <vt:i4>1835068</vt:i4>
      </vt:variant>
      <vt:variant>
        <vt:i4>8</vt:i4>
      </vt:variant>
      <vt:variant>
        <vt:i4>0</vt:i4>
      </vt:variant>
      <vt:variant>
        <vt:i4>5</vt:i4>
      </vt:variant>
      <vt:variant>
        <vt:lpwstr/>
      </vt:variant>
      <vt:variant>
        <vt:lpwstr>_Toc304820938</vt:lpwstr>
      </vt:variant>
      <vt:variant>
        <vt:i4>1835068</vt:i4>
      </vt:variant>
      <vt:variant>
        <vt:i4>2</vt:i4>
      </vt:variant>
      <vt:variant>
        <vt:i4>0</vt:i4>
      </vt:variant>
      <vt:variant>
        <vt:i4>5</vt:i4>
      </vt:variant>
      <vt:variant>
        <vt:lpwstr/>
      </vt:variant>
      <vt:variant>
        <vt:lpwstr>_Toc304820937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Jacques Littré</cp:lastModifiedBy>
  <cp:revision>2</cp:revision>
  <cp:lastPrinted>2012-07-12T14:51:00Z</cp:lastPrinted>
  <dcterms:created xsi:type="dcterms:W3CDTF">2012-09-17T08:51:00Z</dcterms:created>
  <dcterms:modified xsi:type="dcterms:W3CDTF">2012-09-17T08:51:00Z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