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03" w:rsidRPr="007A69C8" w:rsidRDefault="00CD36A7" w:rsidP="00592037">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45.5pt;margin-top:-16.5pt;width:296pt;height:222pt;z-index:251657728">
            <v:imagedata r:id="rId8" o:title="SMPG2"/>
            <w10:wrap type="topAndBottom"/>
          </v:shape>
        </w:pict>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652BA8" w:rsidP="00592037">
      <w:pPr>
        <w:pStyle w:val="Header"/>
        <w:rPr>
          <w:lang w:val="en-GB"/>
        </w:rPr>
      </w:pPr>
      <w:r>
        <w:rPr>
          <w:lang w:val="en-GB"/>
        </w:rPr>
        <w:t>Telephone Conference</w:t>
      </w:r>
      <w:r w:rsidR="0057492E">
        <w:rPr>
          <w:lang w:val="en-GB"/>
        </w:rPr>
        <w:t xml:space="preserve"> </w:t>
      </w:r>
      <w:r>
        <w:rPr>
          <w:lang w:val="en-GB"/>
        </w:rPr>
        <w:t>Minutes</w:t>
      </w:r>
    </w:p>
    <w:p w:rsidR="00AB6103" w:rsidRPr="007A69C8" w:rsidRDefault="00567EB8" w:rsidP="00592037">
      <w:pPr>
        <w:pStyle w:val="Header"/>
        <w:rPr>
          <w:lang w:val="en-GB"/>
        </w:rPr>
      </w:pPr>
      <w:r>
        <w:rPr>
          <w:lang w:val="en-GB"/>
        </w:rPr>
        <w:t>25</w:t>
      </w:r>
      <w:r w:rsidR="00652BA8">
        <w:rPr>
          <w:lang w:val="en-GB"/>
        </w:rPr>
        <w:t xml:space="preserve"> </w:t>
      </w:r>
      <w:r>
        <w:rPr>
          <w:lang w:val="en-GB"/>
        </w:rPr>
        <w:t>January</w:t>
      </w:r>
      <w:r w:rsidR="00B20795">
        <w:rPr>
          <w:lang w:val="en-GB"/>
        </w:rPr>
        <w:t xml:space="preserve"> 201</w:t>
      </w:r>
      <w:r>
        <w:rPr>
          <w:lang w:val="en-GB"/>
        </w:rPr>
        <w:t>2</w:t>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57492E" w:rsidRDefault="007A08A5" w:rsidP="00141100">
      <w:pPr>
        <w:tabs>
          <w:tab w:val="left" w:pos="3690"/>
        </w:tabs>
        <w:rPr>
          <w:lang w:val="en-GB"/>
        </w:rPr>
        <w:sectPr w:rsidR="00AB6103" w:rsidRPr="0057492E">
          <w:footerReference w:type="even" r:id="rId9"/>
          <w:footerReference w:type="default" r:id="rId10"/>
          <w:pgSz w:w="12240" w:h="15840"/>
          <w:pgMar w:top="1106" w:right="1800" w:bottom="1440" w:left="1800" w:header="720" w:footer="720" w:gutter="0"/>
          <w:cols w:space="720"/>
          <w:docGrid w:linePitch="360"/>
        </w:sectPr>
      </w:pPr>
      <w:bookmarkStart w:id="0" w:name="_Toc54501830"/>
      <w:r>
        <w:rPr>
          <w:lang w:val="en-GB"/>
        </w:rPr>
        <w:t>Draft</w:t>
      </w:r>
      <w:r w:rsidR="00BB670F">
        <w:rPr>
          <w:lang w:val="en-GB"/>
        </w:rPr>
        <w:t xml:space="preserve"> Version</w:t>
      </w:r>
      <w:r w:rsidR="00BB670F" w:rsidRPr="0057492E">
        <w:rPr>
          <w:lang w:val="en-GB"/>
        </w:rPr>
        <w:t xml:space="preserve">  </w:t>
      </w:r>
      <w:r w:rsidR="0076568D" w:rsidRPr="0057492E">
        <w:rPr>
          <w:lang w:val="en-GB"/>
        </w:rPr>
        <w:t>v</w:t>
      </w:r>
      <w:r>
        <w:rPr>
          <w:lang w:val="en-GB"/>
        </w:rPr>
        <w:t>0.1</w:t>
      </w:r>
      <w:r w:rsidR="008179FB">
        <w:rPr>
          <w:lang w:val="en-GB"/>
        </w:rPr>
        <w:t xml:space="preserve"> –</w:t>
      </w:r>
      <w:r w:rsidR="0004321D">
        <w:rPr>
          <w:lang w:val="en-GB"/>
        </w:rPr>
        <w:t xml:space="preserve"> </w:t>
      </w:r>
      <w:r w:rsidR="00214D22">
        <w:rPr>
          <w:lang w:val="en-GB"/>
        </w:rPr>
        <w:t>February 22</w:t>
      </w:r>
      <w:r w:rsidR="00567EB8">
        <w:rPr>
          <w:lang w:val="en-GB"/>
        </w:rPr>
        <w:t>, 2012</w:t>
      </w:r>
    </w:p>
    <w:p w:rsidR="00AB6103" w:rsidRPr="007A69C8" w:rsidRDefault="00E81D81" w:rsidP="00592037">
      <w:pPr>
        <w:pStyle w:val="Title1"/>
      </w:pPr>
      <w:r>
        <w:lastRenderedPageBreak/>
        <w:t>Table of Contents</w:t>
      </w:r>
    </w:p>
    <w:p w:rsidR="006C0150" w:rsidRDefault="00CD36A7">
      <w:pPr>
        <w:pStyle w:val="TOC1"/>
        <w:rPr>
          <w:rFonts w:asciiTheme="minorHAnsi" w:eastAsiaTheme="minorEastAsia" w:hAnsiTheme="minorHAnsi" w:cstheme="minorBidi"/>
          <w:b w:val="0"/>
          <w:bCs w:val="0"/>
          <w:sz w:val="22"/>
          <w:szCs w:val="22"/>
          <w:lang w:val="en-GB" w:eastAsia="en-GB"/>
        </w:rPr>
      </w:pPr>
      <w:r w:rsidRPr="00CD36A7">
        <w:fldChar w:fldCharType="begin"/>
      </w:r>
      <w:r w:rsidR="00C26716">
        <w:instrText xml:space="preserve"> TOC \o "1-3" \h \z \u </w:instrText>
      </w:r>
      <w:r w:rsidRPr="00CD36A7">
        <w:fldChar w:fldCharType="separate"/>
      </w:r>
      <w:hyperlink w:anchor="_Toc317689211" w:history="1">
        <w:r w:rsidR="006C0150" w:rsidRPr="006E1CE2">
          <w:rPr>
            <w:rStyle w:val="Hyperlink"/>
          </w:rPr>
          <w:t>1.</w:t>
        </w:r>
        <w:r w:rsidR="006C0150">
          <w:rPr>
            <w:rFonts w:asciiTheme="minorHAnsi" w:eastAsiaTheme="minorEastAsia" w:hAnsiTheme="minorHAnsi" w:cstheme="minorBidi"/>
            <w:b w:val="0"/>
            <w:bCs w:val="0"/>
            <w:sz w:val="22"/>
            <w:szCs w:val="22"/>
            <w:lang w:val="en-GB" w:eastAsia="en-GB"/>
          </w:rPr>
          <w:tab/>
        </w:r>
        <w:r w:rsidR="006C0150" w:rsidRPr="006E1CE2">
          <w:rPr>
            <w:rStyle w:val="Hyperlink"/>
          </w:rPr>
          <w:t>Next  2012 Conference Calls Schedule</w:t>
        </w:r>
        <w:r w:rsidR="006C0150">
          <w:rPr>
            <w:webHidden/>
          </w:rPr>
          <w:tab/>
        </w:r>
        <w:r w:rsidR="006C0150">
          <w:rPr>
            <w:webHidden/>
          </w:rPr>
          <w:fldChar w:fldCharType="begin"/>
        </w:r>
        <w:r w:rsidR="006C0150">
          <w:rPr>
            <w:webHidden/>
          </w:rPr>
          <w:instrText xml:space="preserve"> PAGEREF _Toc317689211 \h </w:instrText>
        </w:r>
        <w:r w:rsidR="006C0150">
          <w:rPr>
            <w:webHidden/>
          </w:rPr>
        </w:r>
        <w:r w:rsidR="006C0150">
          <w:rPr>
            <w:webHidden/>
          </w:rPr>
          <w:fldChar w:fldCharType="separate"/>
        </w:r>
        <w:r w:rsidR="006C0150">
          <w:rPr>
            <w:webHidden/>
          </w:rPr>
          <w:t>4</w:t>
        </w:r>
        <w:r w:rsidR="006C0150">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12" w:history="1">
        <w:r w:rsidRPr="006E1CE2">
          <w:rPr>
            <w:rStyle w:val="Hyperlink"/>
          </w:rPr>
          <w:t>2.</w:t>
        </w:r>
        <w:r>
          <w:rPr>
            <w:rFonts w:asciiTheme="minorHAnsi" w:eastAsiaTheme="minorEastAsia" w:hAnsiTheme="minorHAnsi" w:cstheme="minorBidi"/>
            <w:b w:val="0"/>
            <w:bCs w:val="0"/>
            <w:sz w:val="22"/>
            <w:szCs w:val="22"/>
            <w:lang w:val="en-GB" w:eastAsia="en-GB"/>
          </w:rPr>
          <w:tab/>
        </w:r>
        <w:r w:rsidRPr="006E1CE2">
          <w:rPr>
            <w:rStyle w:val="Hyperlink"/>
          </w:rPr>
          <w:t>Approval / comments on December 20 minutes</w:t>
        </w:r>
        <w:r>
          <w:rPr>
            <w:webHidden/>
          </w:rPr>
          <w:tab/>
        </w:r>
        <w:r>
          <w:rPr>
            <w:webHidden/>
          </w:rPr>
          <w:fldChar w:fldCharType="begin"/>
        </w:r>
        <w:r>
          <w:rPr>
            <w:webHidden/>
          </w:rPr>
          <w:instrText xml:space="preserve"> PAGEREF _Toc317689212 \h </w:instrText>
        </w:r>
        <w:r>
          <w:rPr>
            <w:webHidden/>
          </w:rPr>
        </w:r>
        <w:r>
          <w:rPr>
            <w:webHidden/>
          </w:rPr>
          <w:fldChar w:fldCharType="separate"/>
        </w:r>
        <w:r>
          <w:rPr>
            <w:webHidden/>
          </w:rPr>
          <w:t>4</w:t>
        </w:r>
        <w:r>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13" w:history="1">
        <w:r w:rsidRPr="006E1CE2">
          <w:rPr>
            <w:rStyle w:val="Hyperlink"/>
          </w:rPr>
          <w:t>3.</w:t>
        </w:r>
        <w:r>
          <w:rPr>
            <w:rFonts w:asciiTheme="minorHAnsi" w:eastAsiaTheme="minorEastAsia" w:hAnsiTheme="minorHAnsi" w:cstheme="minorBidi"/>
            <w:b w:val="0"/>
            <w:bCs w:val="0"/>
            <w:sz w:val="22"/>
            <w:szCs w:val="22"/>
            <w:lang w:val="en-GB" w:eastAsia="en-GB"/>
          </w:rPr>
          <w:tab/>
        </w:r>
        <w:r w:rsidRPr="006E1CE2">
          <w:rPr>
            <w:rStyle w:val="Hyperlink"/>
          </w:rPr>
          <w:t>CA 203 - GMP Parts and samples Update for SR2012 &amp; yearly summary</w:t>
        </w:r>
        <w:r>
          <w:rPr>
            <w:webHidden/>
          </w:rPr>
          <w:tab/>
        </w:r>
        <w:r>
          <w:rPr>
            <w:webHidden/>
          </w:rPr>
          <w:fldChar w:fldCharType="begin"/>
        </w:r>
        <w:r>
          <w:rPr>
            <w:webHidden/>
          </w:rPr>
          <w:instrText xml:space="preserve"> PAGEREF _Toc317689213 \h </w:instrText>
        </w:r>
        <w:r>
          <w:rPr>
            <w:webHidden/>
          </w:rPr>
        </w:r>
        <w:r>
          <w:rPr>
            <w:webHidden/>
          </w:rPr>
          <w:fldChar w:fldCharType="separate"/>
        </w:r>
        <w:r>
          <w:rPr>
            <w:webHidden/>
          </w:rPr>
          <w:t>4</w:t>
        </w:r>
        <w:r>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14" w:history="1">
        <w:r w:rsidRPr="006E1CE2">
          <w:rPr>
            <w:rStyle w:val="Hyperlink"/>
          </w:rPr>
          <w:t>4.</w:t>
        </w:r>
        <w:r>
          <w:rPr>
            <w:rFonts w:asciiTheme="minorHAnsi" w:eastAsiaTheme="minorEastAsia" w:hAnsiTheme="minorHAnsi" w:cstheme="minorBidi"/>
            <w:b w:val="0"/>
            <w:bCs w:val="0"/>
            <w:sz w:val="22"/>
            <w:szCs w:val="22"/>
            <w:lang w:val="en-GB" w:eastAsia="en-GB"/>
          </w:rPr>
          <w:tab/>
        </w:r>
        <w:r w:rsidRPr="006E1CE2">
          <w:rPr>
            <w:rStyle w:val="Hyperlink"/>
          </w:rPr>
          <w:t>CA 192 - EIG+ Updates Review</w:t>
        </w:r>
        <w:r>
          <w:rPr>
            <w:webHidden/>
          </w:rPr>
          <w:tab/>
        </w:r>
        <w:r>
          <w:rPr>
            <w:webHidden/>
          </w:rPr>
          <w:fldChar w:fldCharType="begin"/>
        </w:r>
        <w:r>
          <w:rPr>
            <w:webHidden/>
          </w:rPr>
          <w:instrText xml:space="preserve"> PAGEREF _Toc317689214 \h </w:instrText>
        </w:r>
        <w:r>
          <w:rPr>
            <w:webHidden/>
          </w:rPr>
        </w:r>
        <w:r>
          <w:rPr>
            <w:webHidden/>
          </w:rPr>
          <w:fldChar w:fldCharType="separate"/>
        </w:r>
        <w:r>
          <w:rPr>
            <w:webHidden/>
          </w:rPr>
          <w:t>5</w:t>
        </w:r>
        <w:r>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15" w:history="1">
        <w:r w:rsidRPr="006E1CE2">
          <w:rPr>
            <w:rStyle w:val="Hyperlink"/>
          </w:rPr>
          <w:t>5.</w:t>
        </w:r>
        <w:r>
          <w:rPr>
            <w:rFonts w:asciiTheme="minorHAnsi" w:eastAsiaTheme="minorEastAsia" w:hAnsiTheme="minorHAnsi" w:cstheme="minorBidi"/>
            <w:b w:val="0"/>
            <w:bCs w:val="0"/>
            <w:sz w:val="22"/>
            <w:szCs w:val="22"/>
            <w:lang w:val="en-GB" w:eastAsia="en-GB"/>
          </w:rPr>
          <w:tab/>
        </w:r>
        <w:r w:rsidRPr="006E1CE2">
          <w:rPr>
            <w:rStyle w:val="Hyperlink"/>
          </w:rPr>
          <w:t>CA 167 – US Consent Events /+ Schemes - Clarify business flows (ISITC)</w:t>
        </w:r>
        <w:r>
          <w:rPr>
            <w:webHidden/>
          </w:rPr>
          <w:tab/>
        </w:r>
        <w:r>
          <w:rPr>
            <w:webHidden/>
          </w:rPr>
          <w:fldChar w:fldCharType="begin"/>
        </w:r>
        <w:r>
          <w:rPr>
            <w:webHidden/>
          </w:rPr>
          <w:instrText xml:space="preserve"> PAGEREF _Toc317689215 \h </w:instrText>
        </w:r>
        <w:r>
          <w:rPr>
            <w:webHidden/>
          </w:rPr>
        </w:r>
        <w:r>
          <w:rPr>
            <w:webHidden/>
          </w:rPr>
          <w:fldChar w:fldCharType="separate"/>
        </w:r>
        <w:r>
          <w:rPr>
            <w:webHidden/>
          </w:rPr>
          <w:t>5</w:t>
        </w:r>
        <w:r>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16" w:history="1">
        <w:r w:rsidRPr="006E1CE2">
          <w:rPr>
            <w:rStyle w:val="Hyperlink"/>
          </w:rPr>
          <w:t>6.</w:t>
        </w:r>
        <w:r>
          <w:rPr>
            <w:rFonts w:asciiTheme="minorHAnsi" w:eastAsiaTheme="minorEastAsia" w:hAnsiTheme="minorHAnsi" w:cstheme="minorBidi"/>
            <w:b w:val="0"/>
            <w:bCs w:val="0"/>
            <w:sz w:val="22"/>
            <w:szCs w:val="22"/>
            <w:lang w:val="en-GB" w:eastAsia="en-GB"/>
          </w:rPr>
          <w:tab/>
        </w:r>
        <w:r w:rsidRPr="006E1CE2">
          <w:rPr>
            <w:rStyle w:val="Hyperlink"/>
          </w:rPr>
          <w:t>CA 194/202 - Reinvestment of Fund Cash Distribution (REIN) Code (Mari/Matthew)</w:t>
        </w:r>
        <w:r>
          <w:rPr>
            <w:webHidden/>
          </w:rPr>
          <w:tab/>
        </w:r>
        <w:r>
          <w:rPr>
            <w:webHidden/>
          </w:rPr>
          <w:fldChar w:fldCharType="begin"/>
        </w:r>
        <w:r>
          <w:rPr>
            <w:webHidden/>
          </w:rPr>
          <w:instrText xml:space="preserve"> PAGEREF _Toc317689216 \h </w:instrText>
        </w:r>
        <w:r>
          <w:rPr>
            <w:webHidden/>
          </w:rPr>
        </w:r>
        <w:r>
          <w:rPr>
            <w:webHidden/>
          </w:rPr>
          <w:fldChar w:fldCharType="separate"/>
        </w:r>
        <w:r>
          <w:rPr>
            <w:webHidden/>
          </w:rPr>
          <w:t>5</w:t>
        </w:r>
        <w:r>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17" w:history="1">
        <w:r w:rsidRPr="006E1CE2">
          <w:rPr>
            <w:rStyle w:val="Hyperlink"/>
          </w:rPr>
          <w:t>7.</w:t>
        </w:r>
        <w:r>
          <w:rPr>
            <w:rFonts w:asciiTheme="minorHAnsi" w:eastAsiaTheme="minorEastAsia" w:hAnsiTheme="minorHAnsi" w:cstheme="minorBidi"/>
            <w:b w:val="0"/>
            <w:bCs w:val="0"/>
            <w:sz w:val="22"/>
            <w:szCs w:val="22"/>
            <w:lang w:val="en-GB" w:eastAsia="en-GB"/>
          </w:rPr>
          <w:tab/>
        </w:r>
        <w:r w:rsidRPr="006E1CE2">
          <w:rPr>
            <w:rStyle w:val="Hyperlink"/>
          </w:rPr>
          <w:t>CA 218 - Long-term and short-term capital gain in one event – NMPGs’ feedback (Sonda)</w:t>
        </w:r>
        <w:r>
          <w:rPr>
            <w:webHidden/>
          </w:rPr>
          <w:tab/>
        </w:r>
        <w:r>
          <w:rPr>
            <w:webHidden/>
          </w:rPr>
          <w:fldChar w:fldCharType="begin"/>
        </w:r>
        <w:r>
          <w:rPr>
            <w:webHidden/>
          </w:rPr>
          <w:instrText xml:space="preserve"> PAGEREF _Toc317689217 \h </w:instrText>
        </w:r>
        <w:r>
          <w:rPr>
            <w:webHidden/>
          </w:rPr>
        </w:r>
        <w:r>
          <w:rPr>
            <w:webHidden/>
          </w:rPr>
          <w:fldChar w:fldCharType="separate"/>
        </w:r>
        <w:r>
          <w:rPr>
            <w:webHidden/>
          </w:rPr>
          <w:t>6</w:t>
        </w:r>
        <w:r>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18" w:history="1">
        <w:r w:rsidRPr="006E1CE2">
          <w:rPr>
            <w:rStyle w:val="Hyperlink"/>
          </w:rPr>
          <w:t>8.</w:t>
        </w:r>
        <w:r>
          <w:rPr>
            <w:rFonts w:asciiTheme="minorHAnsi" w:eastAsiaTheme="minorEastAsia" w:hAnsiTheme="minorHAnsi" w:cstheme="minorBidi"/>
            <w:b w:val="0"/>
            <w:bCs w:val="0"/>
            <w:sz w:val="22"/>
            <w:szCs w:val="22"/>
            <w:lang w:val="en-GB" w:eastAsia="en-GB"/>
          </w:rPr>
          <w:tab/>
        </w:r>
        <w:r w:rsidRPr="006E1CE2">
          <w:rPr>
            <w:rStyle w:val="Hyperlink"/>
          </w:rPr>
          <w:t>CA 223 - MT 56X - New Event Type for Partial Redemption in Pro-Rata (Bernard/Delphine)</w:t>
        </w:r>
        <w:r>
          <w:rPr>
            <w:webHidden/>
          </w:rPr>
          <w:tab/>
        </w:r>
        <w:r>
          <w:rPr>
            <w:webHidden/>
          </w:rPr>
          <w:fldChar w:fldCharType="begin"/>
        </w:r>
        <w:r>
          <w:rPr>
            <w:webHidden/>
          </w:rPr>
          <w:instrText xml:space="preserve"> PAGEREF _Toc317689218 \h </w:instrText>
        </w:r>
        <w:r>
          <w:rPr>
            <w:webHidden/>
          </w:rPr>
        </w:r>
        <w:r>
          <w:rPr>
            <w:webHidden/>
          </w:rPr>
          <w:fldChar w:fldCharType="separate"/>
        </w:r>
        <w:r>
          <w:rPr>
            <w:webHidden/>
          </w:rPr>
          <w:t>6</w:t>
        </w:r>
        <w:r>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19" w:history="1">
        <w:r w:rsidRPr="006E1CE2">
          <w:rPr>
            <w:rStyle w:val="Hyperlink"/>
          </w:rPr>
          <w:t>9.</w:t>
        </w:r>
        <w:r>
          <w:rPr>
            <w:rFonts w:asciiTheme="minorHAnsi" w:eastAsiaTheme="minorEastAsia" w:hAnsiTheme="minorHAnsi" w:cstheme="minorBidi"/>
            <w:b w:val="0"/>
            <w:bCs w:val="0"/>
            <w:sz w:val="22"/>
            <w:szCs w:val="22"/>
            <w:lang w:val="en-GB" w:eastAsia="en-GB"/>
          </w:rPr>
          <w:tab/>
        </w:r>
        <w:r w:rsidRPr="006E1CE2">
          <w:rPr>
            <w:rStyle w:val="Hyperlink"/>
          </w:rPr>
          <w:t>CA 224 - MT 56X - New Event Type  INFO &amp; new INFO Indicator</w:t>
        </w:r>
        <w:r>
          <w:rPr>
            <w:webHidden/>
          </w:rPr>
          <w:tab/>
        </w:r>
        <w:r>
          <w:rPr>
            <w:webHidden/>
          </w:rPr>
          <w:fldChar w:fldCharType="begin"/>
        </w:r>
        <w:r>
          <w:rPr>
            <w:webHidden/>
          </w:rPr>
          <w:instrText xml:space="preserve"> PAGEREF _Toc317689219 \h </w:instrText>
        </w:r>
        <w:r>
          <w:rPr>
            <w:webHidden/>
          </w:rPr>
        </w:r>
        <w:r>
          <w:rPr>
            <w:webHidden/>
          </w:rPr>
          <w:fldChar w:fldCharType="separate"/>
        </w:r>
        <w:r>
          <w:rPr>
            <w:webHidden/>
          </w:rPr>
          <w:t>6</w:t>
        </w:r>
        <w:r>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20" w:history="1">
        <w:r w:rsidRPr="006E1CE2">
          <w:rPr>
            <w:rStyle w:val="Hyperlink"/>
          </w:rPr>
          <w:t>10.</w:t>
        </w:r>
        <w:r>
          <w:rPr>
            <w:rFonts w:asciiTheme="minorHAnsi" w:eastAsiaTheme="minorEastAsia" w:hAnsiTheme="minorHAnsi" w:cstheme="minorBidi"/>
            <w:b w:val="0"/>
            <w:bCs w:val="0"/>
            <w:sz w:val="22"/>
            <w:szCs w:val="22"/>
            <w:lang w:val="en-GB" w:eastAsia="en-GB"/>
          </w:rPr>
          <w:tab/>
        </w:r>
        <w:r w:rsidRPr="006E1CE2">
          <w:rPr>
            <w:rStyle w:val="Hyperlink"/>
          </w:rPr>
          <w:t>CA 225 - MT 565 - Add Option Features, Rates and Narrative &amp; Remove OFFR</w:t>
        </w:r>
        <w:r>
          <w:rPr>
            <w:webHidden/>
          </w:rPr>
          <w:tab/>
        </w:r>
        <w:r>
          <w:rPr>
            <w:webHidden/>
          </w:rPr>
          <w:fldChar w:fldCharType="begin"/>
        </w:r>
        <w:r>
          <w:rPr>
            <w:webHidden/>
          </w:rPr>
          <w:instrText xml:space="preserve"> PAGEREF _Toc317689220 \h </w:instrText>
        </w:r>
        <w:r>
          <w:rPr>
            <w:webHidden/>
          </w:rPr>
        </w:r>
        <w:r>
          <w:rPr>
            <w:webHidden/>
          </w:rPr>
          <w:fldChar w:fldCharType="separate"/>
        </w:r>
        <w:r>
          <w:rPr>
            <w:webHidden/>
          </w:rPr>
          <w:t>6</w:t>
        </w:r>
        <w:r>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21" w:history="1">
        <w:r w:rsidRPr="006E1CE2">
          <w:rPr>
            <w:rStyle w:val="Hyperlink"/>
          </w:rPr>
          <w:t>11.</w:t>
        </w:r>
        <w:r>
          <w:rPr>
            <w:rFonts w:asciiTheme="minorHAnsi" w:eastAsiaTheme="minorEastAsia" w:hAnsiTheme="minorHAnsi" w:cstheme="minorBidi"/>
            <w:b w:val="0"/>
            <w:bCs w:val="0"/>
            <w:sz w:val="22"/>
            <w:szCs w:val="22"/>
            <w:lang w:val="en-GB" w:eastAsia="en-GB"/>
          </w:rPr>
          <w:tab/>
        </w:r>
        <w:r w:rsidRPr="006E1CE2">
          <w:rPr>
            <w:rStyle w:val="Hyperlink"/>
          </w:rPr>
          <w:t>CA 226 - Disclosure (DSCL) event - Clarify usage / market practice</w:t>
        </w:r>
        <w:r>
          <w:rPr>
            <w:webHidden/>
          </w:rPr>
          <w:tab/>
        </w:r>
        <w:r>
          <w:rPr>
            <w:webHidden/>
          </w:rPr>
          <w:fldChar w:fldCharType="begin"/>
        </w:r>
        <w:r>
          <w:rPr>
            <w:webHidden/>
          </w:rPr>
          <w:instrText xml:space="preserve"> PAGEREF _Toc317689221 \h </w:instrText>
        </w:r>
        <w:r>
          <w:rPr>
            <w:webHidden/>
          </w:rPr>
        </w:r>
        <w:r>
          <w:rPr>
            <w:webHidden/>
          </w:rPr>
          <w:fldChar w:fldCharType="separate"/>
        </w:r>
        <w:r>
          <w:rPr>
            <w:webHidden/>
          </w:rPr>
          <w:t>7</w:t>
        </w:r>
        <w:r>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22" w:history="1">
        <w:r w:rsidRPr="006E1CE2">
          <w:rPr>
            <w:rStyle w:val="Hyperlink"/>
          </w:rPr>
          <w:t>12.</w:t>
        </w:r>
        <w:r>
          <w:rPr>
            <w:rFonts w:asciiTheme="minorHAnsi" w:eastAsiaTheme="minorEastAsia" w:hAnsiTheme="minorHAnsi" w:cstheme="minorBidi"/>
            <w:b w:val="0"/>
            <w:bCs w:val="0"/>
            <w:sz w:val="22"/>
            <w:szCs w:val="22"/>
            <w:lang w:val="en-GB" w:eastAsia="en-GB"/>
          </w:rPr>
          <w:tab/>
        </w:r>
        <w:r w:rsidRPr="006E1CE2">
          <w:rPr>
            <w:rStyle w:val="Hyperlink"/>
          </w:rPr>
          <w:t>Tax Subgroup Update</w:t>
        </w:r>
        <w:r>
          <w:rPr>
            <w:webHidden/>
          </w:rPr>
          <w:tab/>
        </w:r>
        <w:r>
          <w:rPr>
            <w:webHidden/>
          </w:rPr>
          <w:fldChar w:fldCharType="begin"/>
        </w:r>
        <w:r>
          <w:rPr>
            <w:webHidden/>
          </w:rPr>
          <w:instrText xml:space="preserve"> PAGEREF _Toc317689222 \h </w:instrText>
        </w:r>
        <w:r>
          <w:rPr>
            <w:webHidden/>
          </w:rPr>
        </w:r>
        <w:r>
          <w:rPr>
            <w:webHidden/>
          </w:rPr>
          <w:fldChar w:fldCharType="separate"/>
        </w:r>
        <w:r>
          <w:rPr>
            <w:webHidden/>
          </w:rPr>
          <w:t>9</w:t>
        </w:r>
        <w:r>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23" w:history="1">
        <w:r w:rsidRPr="006E1CE2">
          <w:rPr>
            <w:rStyle w:val="Hyperlink"/>
          </w:rPr>
          <w:t>13.</w:t>
        </w:r>
        <w:r>
          <w:rPr>
            <w:rFonts w:asciiTheme="minorHAnsi" w:eastAsiaTheme="minorEastAsia" w:hAnsiTheme="minorHAnsi" w:cstheme="minorBidi"/>
            <w:b w:val="0"/>
            <w:bCs w:val="0"/>
            <w:sz w:val="22"/>
            <w:szCs w:val="22"/>
            <w:lang w:val="en-GB" w:eastAsia="en-GB"/>
          </w:rPr>
          <w:tab/>
        </w:r>
        <w:r w:rsidRPr="006E1CE2">
          <w:rPr>
            <w:rStyle w:val="Hyperlink"/>
          </w:rPr>
          <w:t>PV Subgroup Update</w:t>
        </w:r>
        <w:r>
          <w:rPr>
            <w:webHidden/>
          </w:rPr>
          <w:tab/>
        </w:r>
        <w:r>
          <w:rPr>
            <w:webHidden/>
          </w:rPr>
          <w:fldChar w:fldCharType="begin"/>
        </w:r>
        <w:r>
          <w:rPr>
            <w:webHidden/>
          </w:rPr>
          <w:instrText xml:space="preserve"> PAGEREF _Toc317689223 \h </w:instrText>
        </w:r>
        <w:r>
          <w:rPr>
            <w:webHidden/>
          </w:rPr>
        </w:r>
        <w:r>
          <w:rPr>
            <w:webHidden/>
          </w:rPr>
          <w:fldChar w:fldCharType="separate"/>
        </w:r>
        <w:r>
          <w:rPr>
            <w:webHidden/>
          </w:rPr>
          <w:t>9</w:t>
        </w:r>
        <w:r>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24" w:history="1">
        <w:r w:rsidRPr="006E1CE2">
          <w:rPr>
            <w:rStyle w:val="Hyperlink"/>
            <w:lang w:val="sv-SE"/>
          </w:rPr>
          <w:t>14.</w:t>
        </w:r>
        <w:r>
          <w:rPr>
            <w:rFonts w:asciiTheme="minorHAnsi" w:eastAsiaTheme="minorEastAsia" w:hAnsiTheme="minorHAnsi" w:cstheme="minorBidi"/>
            <w:b w:val="0"/>
            <w:bCs w:val="0"/>
            <w:sz w:val="22"/>
            <w:szCs w:val="22"/>
            <w:lang w:val="en-GB" w:eastAsia="en-GB"/>
          </w:rPr>
          <w:tab/>
        </w:r>
        <w:r w:rsidRPr="006E1CE2">
          <w:rPr>
            <w:rStyle w:val="Hyperlink"/>
            <w:lang w:val="sv-SE"/>
          </w:rPr>
          <w:t>AOB (Interim and Final Dividend)</w:t>
        </w:r>
        <w:r>
          <w:rPr>
            <w:webHidden/>
          </w:rPr>
          <w:tab/>
        </w:r>
        <w:r>
          <w:rPr>
            <w:webHidden/>
          </w:rPr>
          <w:fldChar w:fldCharType="begin"/>
        </w:r>
        <w:r>
          <w:rPr>
            <w:webHidden/>
          </w:rPr>
          <w:instrText xml:space="preserve"> PAGEREF _Toc317689224 \h </w:instrText>
        </w:r>
        <w:r>
          <w:rPr>
            <w:webHidden/>
          </w:rPr>
        </w:r>
        <w:r>
          <w:rPr>
            <w:webHidden/>
          </w:rPr>
          <w:fldChar w:fldCharType="separate"/>
        </w:r>
        <w:r>
          <w:rPr>
            <w:webHidden/>
          </w:rPr>
          <w:t>9</w:t>
        </w:r>
        <w:r>
          <w:rPr>
            <w:webHidden/>
          </w:rPr>
          <w:fldChar w:fldCharType="end"/>
        </w:r>
      </w:hyperlink>
    </w:p>
    <w:p w:rsidR="006C0150" w:rsidRDefault="006C0150">
      <w:pPr>
        <w:pStyle w:val="TOC1"/>
        <w:rPr>
          <w:rFonts w:asciiTheme="minorHAnsi" w:eastAsiaTheme="minorEastAsia" w:hAnsiTheme="minorHAnsi" w:cstheme="minorBidi"/>
          <w:b w:val="0"/>
          <w:bCs w:val="0"/>
          <w:sz w:val="22"/>
          <w:szCs w:val="22"/>
          <w:lang w:val="en-GB" w:eastAsia="en-GB"/>
        </w:rPr>
      </w:pPr>
      <w:hyperlink w:anchor="_Toc317689225" w:history="1">
        <w:r w:rsidRPr="006E1CE2">
          <w:rPr>
            <w:rStyle w:val="Hyperlink"/>
          </w:rPr>
          <w:t>15.</w:t>
        </w:r>
        <w:r>
          <w:rPr>
            <w:rFonts w:asciiTheme="minorHAnsi" w:eastAsiaTheme="minorEastAsia" w:hAnsiTheme="minorHAnsi" w:cstheme="minorBidi"/>
            <w:b w:val="0"/>
            <w:bCs w:val="0"/>
            <w:sz w:val="22"/>
            <w:szCs w:val="22"/>
            <w:lang w:val="en-GB" w:eastAsia="en-GB"/>
          </w:rPr>
          <w:tab/>
        </w:r>
        <w:r w:rsidRPr="006E1CE2">
          <w:rPr>
            <w:rStyle w:val="Hyperlink"/>
          </w:rPr>
          <w:t>Next Meeting</w:t>
        </w:r>
        <w:r>
          <w:rPr>
            <w:webHidden/>
          </w:rPr>
          <w:tab/>
        </w:r>
        <w:r>
          <w:rPr>
            <w:webHidden/>
          </w:rPr>
          <w:fldChar w:fldCharType="begin"/>
        </w:r>
        <w:r>
          <w:rPr>
            <w:webHidden/>
          </w:rPr>
          <w:instrText xml:space="preserve"> PAGEREF _Toc317689225 \h </w:instrText>
        </w:r>
        <w:r>
          <w:rPr>
            <w:webHidden/>
          </w:rPr>
        </w:r>
        <w:r>
          <w:rPr>
            <w:webHidden/>
          </w:rPr>
          <w:fldChar w:fldCharType="separate"/>
        </w:r>
        <w:r>
          <w:rPr>
            <w:webHidden/>
          </w:rPr>
          <w:t>9</w:t>
        </w:r>
        <w:r>
          <w:rPr>
            <w:webHidden/>
          </w:rPr>
          <w:fldChar w:fldCharType="end"/>
        </w:r>
      </w:hyperlink>
    </w:p>
    <w:p w:rsidR="00AB6103" w:rsidRDefault="00CD36A7" w:rsidP="00D343DB">
      <w:pPr>
        <w:pStyle w:val="Title1"/>
        <w:tabs>
          <w:tab w:val="left" w:pos="450"/>
        </w:tabs>
      </w:pPr>
      <w:r>
        <w:fldChar w:fldCharType="end"/>
      </w:r>
      <w:r w:rsidR="00AB6103" w:rsidRPr="007A69C8">
        <w:br w:type="page"/>
      </w:r>
      <w:bookmarkStart w:id="1" w:name="OLE_LINK1"/>
      <w:bookmarkStart w:id="2" w:name="OLE_LINK2"/>
      <w:r w:rsidR="00AB6103" w:rsidRPr="00C11FA9">
        <w:lastRenderedPageBreak/>
        <w:t>Attendees</w:t>
      </w:r>
      <w:bookmarkEnd w:id="0"/>
    </w:p>
    <w:p w:rsidR="0057492E" w:rsidRDefault="0057492E" w:rsidP="00C26716">
      <w:pPr>
        <w:pStyle w:val="Title1"/>
      </w:pP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766510" w:rsidRPr="007A69C8" w:rsidTr="00107248">
        <w:tc>
          <w:tcPr>
            <w:tcW w:w="622" w:type="pct"/>
            <w:tcBorders>
              <w:top w:val="nil"/>
              <w:left w:val="nil"/>
              <w:bottom w:val="nil"/>
              <w:right w:val="single" w:sz="4" w:space="0" w:color="auto"/>
            </w:tcBorders>
            <w:shd w:val="clear" w:color="auto" w:fill="FFFFFF"/>
          </w:tcPr>
          <w:p w:rsidR="00766510" w:rsidRPr="007A69C8" w:rsidRDefault="00766510" w:rsidP="008C2942">
            <w:pPr>
              <w:spacing w:before="40" w:after="40"/>
              <w:rPr>
                <w:b/>
                <w:sz w:val="22"/>
                <w:lang w:val="en-GB"/>
              </w:rPr>
            </w:pPr>
          </w:p>
        </w:tc>
        <w:tc>
          <w:tcPr>
            <w:tcW w:w="731" w:type="pct"/>
            <w:tcBorders>
              <w:left w:val="single" w:sz="4" w:space="0" w:color="auto"/>
            </w:tcBorders>
            <w:shd w:val="clear" w:color="auto" w:fill="CCCCCC"/>
          </w:tcPr>
          <w:p w:rsidR="00766510" w:rsidRPr="007A69C8" w:rsidRDefault="00766510" w:rsidP="008C2942">
            <w:pPr>
              <w:spacing w:before="40" w:after="40"/>
              <w:rPr>
                <w:b/>
                <w:sz w:val="22"/>
                <w:lang w:val="en-GB"/>
              </w:rPr>
            </w:pPr>
            <w:r w:rsidRPr="007A69C8">
              <w:rPr>
                <w:b/>
                <w:sz w:val="22"/>
                <w:lang w:val="en-GB"/>
              </w:rPr>
              <w:t>Country</w:t>
            </w:r>
          </w:p>
        </w:tc>
        <w:tc>
          <w:tcPr>
            <w:tcW w:w="1088" w:type="pct"/>
            <w:shd w:val="clear" w:color="auto" w:fill="CCCCCC"/>
          </w:tcPr>
          <w:p w:rsidR="00766510" w:rsidRPr="007A69C8" w:rsidRDefault="00766510" w:rsidP="008C2942">
            <w:pPr>
              <w:spacing w:before="40" w:after="40"/>
              <w:rPr>
                <w:b/>
                <w:sz w:val="22"/>
                <w:lang w:val="en-GB"/>
              </w:rPr>
            </w:pPr>
            <w:r>
              <w:rPr>
                <w:b/>
                <w:sz w:val="22"/>
                <w:lang w:val="en-GB"/>
              </w:rPr>
              <w:t>First Name</w:t>
            </w:r>
          </w:p>
        </w:tc>
        <w:tc>
          <w:tcPr>
            <w:tcW w:w="915" w:type="pct"/>
            <w:shd w:val="clear" w:color="auto" w:fill="CCCCCC"/>
          </w:tcPr>
          <w:p w:rsidR="00766510" w:rsidRPr="007A69C8" w:rsidRDefault="00766510" w:rsidP="008C2942">
            <w:pPr>
              <w:spacing w:before="40" w:after="40"/>
              <w:rPr>
                <w:b/>
                <w:sz w:val="22"/>
                <w:lang w:val="en-GB"/>
              </w:rPr>
            </w:pPr>
            <w:r>
              <w:rPr>
                <w:b/>
                <w:sz w:val="22"/>
                <w:lang w:val="en-GB"/>
              </w:rPr>
              <w:t>Last Name</w:t>
            </w:r>
          </w:p>
        </w:tc>
        <w:tc>
          <w:tcPr>
            <w:tcW w:w="1644" w:type="pct"/>
            <w:shd w:val="clear" w:color="auto" w:fill="CCCCCC"/>
          </w:tcPr>
          <w:p w:rsidR="00766510" w:rsidRPr="007A69C8" w:rsidRDefault="00766510" w:rsidP="008C2942">
            <w:pPr>
              <w:spacing w:before="40" w:after="40"/>
              <w:rPr>
                <w:b/>
                <w:sz w:val="22"/>
                <w:lang w:val="en-GB"/>
              </w:rPr>
            </w:pPr>
            <w:r w:rsidRPr="007A69C8">
              <w:rPr>
                <w:b/>
                <w:sz w:val="22"/>
                <w:lang w:val="en-GB"/>
              </w:rPr>
              <w:t>Institution</w:t>
            </w:r>
          </w:p>
        </w:tc>
      </w:tr>
      <w:tr w:rsidR="00173FAC" w:rsidRPr="00D64DE9"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173FAC" w:rsidRDefault="00173FAC"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173FAC" w:rsidRPr="00D64DE9" w:rsidRDefault="008A574C" w:rsidP="008C2942">
            <w:pPr>
              <w:spacing w:before="40" w:after="40"/>
              <w:rPr>
                <w:sz w:val="22"/>
                <w:lang w:val="en-GB"/>
              </w:rPr>
            </w:pPr>
            <w:r w:rsidRPr="00D64DE9">
              <w:rPr>
                <w:sz w:val="22"/>
                <w:lang w:val="en-GB"/>
              </w:rPr>
              <w:t>CH</w:t>
            </w:r>
          </w:p>
        </w:tc>
        <w:tc>
          <w:tcPr>
            <w:tcW w:w="1088" w:type="pct"/>
            <w:shd w:val="clear" w:color="auto" w:fill="FFFFFF" w:themeFill="background1"/>
          </w:tcPr>
          <w:p w:rsidR="00173FAC" w:rsidRPr="00D64DE9" w:rsidRDefault="008A574C" w:rsidP="008C2942">
            <w:pPr>
              <w:spacing w:before="40" w:after="40"/>
              <w:rPr>
                <w:sz w:val="22"/>
                <w:lang w:val="en-GB"/>
              </w:rPr>
            </w:pPr>
            <w:r w:rsidRPr="00D64DE9">
              <w:rPr>
                <w:sz w:val="22"/>
                <w:lang w:val="en-GB"/>
              </w:rPr>
              <w:t>Michael</w:t>
            </w:r>
          </w:p>
        </w:tc>
        <w:tc>
          <w:tcPr>
            <w:tcW w:w="915" w:type="pct"/>
            <w:shd w:val="clear" w:color="auto" w:fill="FFFFFF" w:themeFill="background1"/>
          </w:tcPr>
          <w:p w:rsidR="00173FAC" w:rsidRPr="00D64DE9" w:rsidRDefault="008A574C" w:rsidP="008C2942">
            <w:pPr>
              <w:spacing w:before="40" w:after="40"/>
              <w:rPr>
                <w:sz w:val="22"/>
                <w:lang w:val="en-GB"/>
              </w:rPr>
            </w:pPr>
            <w:r w:rsidRPr="00D64DE9">
              <w:rPr>
                <w:sz w:val="22"/>
                <w:lang w:val="en-GB"/>
              </w:rPr>
              <w:t>Blumer</w:t>
            </w:r>
          </w:p>
        </w:tc>
        <w:tc>
          <w:tcPr>
            <w:tcW w:w="1644" w:type="pct"/>
            <w:shd w:val="clear" w:color="auto" w:fill="FFFFFF" w:themeFill="background1"/>
          </w:tcPr>
          <w:p w:rsidR="00173FAC" w:rsidRPr="00D64DE9" w:rsidRDefault="008A574C" w:rsidP="008C2942">
            <w:pPr>
              <w:spacing w:before="40" w:after="40"/>
              <w:rPr>
                <w:sz w:val="22"/>
                <w:lang w:val="en-GB"/>
              </w:rPr>
            </w:pPr>
            <w:r w:rsidRPr="00D64DE9">
              <w:rPr>
                <w:sz w:val="22"/>
                <w:lang w:val="en-GB"/>
              </w:rPr>
              <w:t>Credit Suisse</w:t>
            </w:r>
          </w:p>
        </w:tc>
      </w:tr>
      <w:tr w:rsidR="00A459B3" w:rsidRPr="00D64DE9"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A459B3" w:rsidRPr="00D64DE9" w:rsidRDefault="00A459B3"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A459B3" w:rsidRPr="00D64DE9" w:rsidRDefault="00A459B3" w:rsidP="008C2942">
            <w:pPr>
              <w:spacing w:before="40" w:after="40"/>
              <w:rPr>
                <w:sz w:val="22"/>
                <w:lang w:val="en-GB"/>
              </w:rPr>
            </w:pPr>
            <w:r w:rsidRPr="00D64DE9">
              <w:rPr>
                <w:sz w:val="22"/>
                <w:lang w:val="en-GB"/>
              </w:rPr>
              <w:t>FI</w:t>
            </w:r>
          </w:p>
        </w:tc>
        <w:tc>
          <w:tcPr>
            <w:tcW w:w="1088" w:type="pct"/>
            <w:shd w:val="clear" w:color="auto" w:fill="FFFFFF" w:themeFill="background1"/>
          </w:tcPr>
          <w:p w:rsidR="00A459B3" w:rsidRPr="00D64DE9" w:rsidRDefault="00A459B3" w:rsidP="008C2942">
            <w:pPr>
              <w:spacing w:before="40" w:after="40"/>
              <w:rPr>
                <w:sz w:val="22"/>
                <w:lang w:val="en-GB"/>
              </w:rPr>
            </w:pPr>
            <w:r w:rsidRPr="00D64DE9">
              <w:rPr>
                <w:sz w:val="22"/>
                <w:lang w:val="en-GB"/>
              </w:rPr>
              <w:t>Sari</w:t>
            </w:r>
          </w:p>
        </w:tc>
        <w:tc>
          <w:tcPr>
            <w:tcW w:w="915" w:type="pct"/>
            <w:shd w:val="clear" w:color="auto" w:fill="FFFFFF" w:themeFill="background1"/>
          </w:tcPr>
          <w:p w:rsidR="00A459B3" w:rsidRPr="00D64DE9" w:rsidRDefault="00A459B3" w:rsidP="008C2942">
            <w:pPr>
              <w:spacing w:before="40" w:after="40"/>
              <w:rPr>
                <w:sz w:val="22"/>
                <w:lang w:val="en-GB"/>
              </w:rPr>
            </w:pPr>
            <w:r w:rsidRPr="00D64DE9">
              <w:rPr>
                <w:sz w:val="22"/>
                <w:lang w:val="en-GB"/>
              </w:rPr>
              <w:t>Rask</w:t>
            </w:r>
          </w:p>
        </w:tc>
        <w:tc>
          <w:tcPr>
            <w:tcW w:w="1644" w:type="pct"/>
            <w:shd w:val="clear" w:color="auto" w:fill="FFFFFF" w:themeFill="background1"/>
          </w:tcPr>
          <w:p w:rsidR="00A459B3" w:rsidRPr="00D64DE9" w:rsidRDefault="00A459B3" w:rsidP="008C2942">
            <w:pPr>
              <w:spacing w:before="40" w:after="40"/>
              <w:rPr>
                <w:sz w:val="22"/>
                <w:lang w:val="en-GB"/>
              </w:rPr>
            </w:pPr>
            <w:r w:rsidRPr="00D64DE9">
              <w:rPr>
                <w:sz w:val="22"/>
                <w:lang w:val="en-GB"/>
              </w:rPr>
              <w:t>Nordea</w:t>
            </w:r>
          </w:p>
        </w:tc>
      </w:tr>
      <w:tr w:rsidR="00A459B3" w:rsidRPr="00D64DE9" w:rsidTr="008E586A">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A459B3" w:rsidRPr="00D64DE9" w:rsidRDefault="00A459B3"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A459B3" w:rsidRPr="00D64DE9" w:rsidRDefault="00A459B3" w:rsidP="008C2942">
            <w:pPr>
              <w:spacing w:before="40" w:after="40"/>
              <w:rPr>
                <w:sz w:val="22"/>
                <w:lang w:val="en-GB"/>
              </w:rPr>
            </w:pPr>
            <w:r w:rsidRPr="00D64DE9">
              <w:rPr>
                <w:sz w:val="22"/>
                <w:lang w:val="en-GB"/>
              </w:rPr>
              <w:t>FR</w:t>
            </w:r>
          </w:p>
        </w:tc>
        <w:tc>
          <w:tcPr>
            <w:tcW w:w="1088" w:type="pct"/>
            <w:shd w:val="clear" w:color="auto" w:fill="FFFFFF" w:themeFill="background1"/>
          </w:tcPr>
          <w:p w:rsidR="00A459B3" w:rsidRPr="00D64DE9" w:rsidRDefault="00A459B3" w:rsidP="008C2942">
            <w:pPr>
              <w:spacing w:before="40" w:after="40"/>
              <w:rPr>
                <w:sz w:val="22"/>
                <w:lang w:val="en-GB"/>
              </w:rPr>
            </w:pPr>
            <w:r w:rsidRPr="00D64DE9">
              <w:rPr>
                <w:sz w:val="22"/>
                <w:lang w:val="en-GB"/>
              </w:rPr>
              <w:t>Kimchi</w:t>
            </w:r>
          </w:p>
        </w:tc>
        <w:tc>
          <w:tcPr>
            <w:tcW w:w="915" w:type="pct"/>
            <w:shd w:val="clear" w:color="auto" w:fill="FFFFFF" w:themeFill="background1"/>
          </w:tcPr>
          <w:p w:rsidR="00A459B3" w:rsidRPr="00D64DE9" w:rsidRDefault="00A459B3" w:rsidP="008C2942">
            <w:pPr>
              <w:spacing w:before="40" w:after="40"/>
              <w:rPr>
                <w:sz w:val="22"/>
                <w:lang w:val="en-GB"/>
              </w:rPr>
            </w:pPr>
            <w:r w:rsidRPr="00D64DE9">
              <w:rPr>
                <w:sz w:val="22"/>
                <w:lang w:val="en-GB"/>
              </w:rPr>
              <w:t>Phungtran</w:t>
            </w:r>
          </w:p>
        </w:tc>
        <w:tc>
          <w:tcPr>
            <w:tcW w:w="1644" w:type="pct"/>
            <w:shd w:val="clear" w:color="auto" w:fill="FFFFFF" w:themeFill="background1"/>
          </w:tcPr>
          <w:p w:rsidR="00A459B3" w:rsidRPr="00D64DE9" w:rsidRDefault="00A459B3" w:rsidP="008C2942">
            <w:pPr>
              <w:spacing w:before="40" w:after="40"/>
              <w:rPr>
                <w:sz w:val="22"/>
                <w:lang w:val="en-GB"/>
              </w:rPr>
            </w:pPr>
            <w:r w:rsidRPr="00D64DE9">
              <w:rPr>
                <w:sz w:val="22"/>
                <w:lang w:val="en-GB"/>
              </w:rPr>
              <w:t>BNP Paribas</w:t>
            </w:r>
          </w:p>
        </w:tc>
      </w:tr>
      <w:tr w:rsidR="00490BD1" w:rsidRPr="00D64DE9"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90BD1" w:rsidRPr="00D64DE9" w:rsidRDefault="00490BD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490BD1" w:rsidRPr="00D64DE9" w:rsidRDefault="00490BD1" w:rsidP="008C2942">
            <w:pPr>
              <w:spacing w:before="40" w:after="40"/>
              <w:rPr>
                <w:sz w:val="22"/>
                <w:lang w:val="en-GB"/>
              </w:rPr>
            </w:pPr>
            <w:r w:rsidRPr="00D64DE9">
              <w:rPr>
                <w:sz w:val="22"/>
                <w:lang w:val="en-GB"/>
              </w:rPr>
              <w:t>JP</w:t>
            </w:r>
          </w:p>
        </w:tc>
        <w:tc>
          <w:tcPr>
            <w:tcW w:w="1088" w:type="pct"/>
            <w:shd w:val="clear" w:color="auto" w:fill="FFFFFF" w:themeFill="background1"/>
          </w:tcPr>
          <w:p w:rsidR="00490BD1" w:rsidRPr="00D64DE9" w:rsidRDefault="00490BD1" w:rsidP="008C2942">
            <w:pPr>
              <w:spacing w:before="40" w:after="40"/>
              <w:rPr>
                <w:sz w:val="22"/>
                <w:lang w:val="en-GB"/>
              </w:rPr>
            </w:pPr>
            <w:r w:rsidRPr="00D64DE9">
              <w:rPr>
                <w:sz w:val="22"/>
                <w:lang w:val="en-GB"/>
              </w:rPr>
              <w:t>Ichiro</w:t>
            </w:r>
          </w:p>
        </w:tc>
        <w:tc>
          <w:tcPr>
            <w:tcW w:w="915" w:type="pct"/>
            <w:shd w:val="clear" w:color="auto" w:fill="FFFFFF" w:themeFill="background1"/>
          </w:tcPr>
          <w:p w:rsidR="00490BD1" w:rsidRPr="00D64DE9" w:rsidRDefault="00490BD1" w:rsidP="008C2942">
            <w:pPr>
              <w:spacing w:before="40" w:after="40"/>
              <w:rPr>
                <w:sz w:val="22"/>
                <w:lang w:val="en-GB"/>
              </w:rPr>
            </w:pPr>
            <w:r w:rsidRPr="00D64DE9">
              <w:rPr>
                <w:sz w:val="22"/>
                <w:lang w:val="en-GB"/>
              </w:rPr>
              <w:t>Yamamoto</w:t>
            </w:r>
          </w:p>
        </w:tc>
        <w:tc>
          <w:tcPr>
            <w:tcW w:w="1644" w:type="pct"/>
            <w:shd w:val="clear" w:color="auto" w:fill="FFFFFF" w:themeFill="background1"/>
          </w:tcPr>
          <w:p w:rsidR="00490BD1" w:rsidRPr="00D64DE9" w:rsidRDefault="00490BD1" w:rsidP="008C2942">
            <w:pPr>
              <w:spacing w:before="40" w:after="40"/>
              <w:rPr>
                <w:sz w:val="22"/>
                <w:lang w:val="en-GB"/>
              </w:rPr>
            </w:pPr>
            <w:r w:rsidRPr="00D64DE9">
              <w:rPr>
                <w:sz w:val="22"/>
                <w:lang w:val="en-GB"/>
              </w:rPr>
              <w:t>Mizuho</w:t>
            </w:r>
          </w:p>
        </w:tc>
      </w:tr>
      <w:tr w:rsidR="00425220" w:rsidRPr="00D64DE9" w:rsidTr="00425220">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25220" w:rsidRPr="00D64DE9" w:rsidRDefault="00425220" w:rsidP="008C2942">
            <w:pPr>
              <w:spacing w:before="40" w:after="40"/>
              <w:jc w:val="right"/>
              <w:rPr>
                <w:sz w:val="22"/>
                <w:lang w:val="en-GB"/>
              </w:rPr>
            </w:pPr>
            <w:r w:rsidRPr="00D64DE9">
              <w:rPr>
                <w:sz w:val="22"/>
                <w:lang w:val="en-GB"/>
              </w:rPr>
              <w:t>Co-chair</w:t>
            </w:r>
          </w:p>
        </w:tc>
        <w:tc>
          <w:tcPr>
            <w:tcW w:w="731" w:type="pct"/>
            <w:tcBorders>
              <w:left w:val="single" w:sz="4" w:space="0" w:color="auto"/>
            </w:tcBorders>
            <w:shd w:val="clear" w:color="auto" w:fill="FFFFFF" w:themeFill="background1"/>
          </w:tcPr>
          <w:p w:rsidR="00425220" w:rsidRPr="00D64DE9" w:rsidRDefault="00425220" w:rsidP="008C2942">
            <w:pPr>
              <w:spacing w:before="40" w:after="40"/>
              <w:rPr>
                <w:sz w:val="22"/>
                <w:lang w:val="en-GB"/>
              </w:rPr>
            </w:pPr>
            <w:r w:rsidRPr="00D64DE9">
              <w:rPr>
                <w:sz w:val="22"/>
                <w:lang w:val="en-GB"/>
              </w:rPr>
              <w:t>LU</w:t>
            </w:r>
          </w:p>
        </w:tc>
        <w:tc>
          <w:tcPr>
            <w:tcW w:w="1088" w:type="pct"/>
            <w:shd w:val="clear" w:color="auto" w:fill="FFFFFF" w:themeFill="background1"/>
          </w:tcPr>
          <w:p w:rsidR="00425220" w:rsidRPr="00D64DE9" w:rsidRDefault="00425220" w:rsidP="008C2942">
            <w:pPr>
              <w:spacing w:before="40" w:after="40"/>
              <w:rPr>
                <w:sz w:val="22"/>
                <w:lang w:val="en-GB"/>
              </w:rPr>
            </w:pPr>
            <w:r w:rsidRPr="00D64DE9">
              <w:rPr>
                <w:sz w:val="22"/>
                <w:lang w:val="en-GB"/>
              </w:rPr>
              <w:t xml:space="preserve">Bernard </w:t>
            </w:r>
          </w:p>
        </w:tc>
        <w:tc>
          <w:tcPr>
            <w:tcW w:w="915" w:type="pct"/>
            <w:shd w:val="clear" w:color="auto" w:fill="FFFFFF" w:themeFill="background1"/>
          </w:tcPr>
          <w:p w:rsidR="00425220" w:rsidRPr="00D64DE9" w:rsidRDefault="00425220" w:rsidP="008C2942">
            <w:pPr>
              <w:spacing w:before="40" w:after="40"/>
              <w:rPr>
                <w:sz w:val="22"/>
                <w:lang w:val="en-GB"/>
              </w:rPr>
            </w:pPr>
            <w:r w:rsidRPr="00D64DE9">
              <w:rPr>
                <w:sz w:val="22"/>
                <w:lang w:val="en-GB"/>
              </w:rPr>
              <w:t>Lenelle</w:t>
            </w:r>
          </w:p>
        </w:tc>
        <w:tc>
          <w:tcPr>
            <w:tcW w:w="1644" w:type="pct"/>
            <w:shd w:val="clear" w:color="auto" w:fill="FFFFFF" w:themeFill="background1"/>
          </w:tcPr>
          <w:p w:rsidR="00425220" w:rsidRPr="00D64DE9" w:rsidRDefault="00425220" w:rsidP="008C2942">
            <w:pPr>
              <w:spacing w:before="40" w:after="40"/>
              <w:rPr>
                <w:sz w:val="22"/>
                <w:lang w:val="en-GB"/>
              </w:rPr>
            </w:pPr>
            <w:r w:rsidRPr="00D64DE9">
              <w:rPr>
                <w:sz w:val="22"/>
                <w:lang w:val="en-GB"/>
              </w:rPr>
              <w:t>Clearstream Banking</w:t>
            </w:r>
          </w:p>
        </w:tc>
      </w:tr>
      <w:tr w:rsidR="00425220" w:rsidRPr="00D64DE9" w:rsidTr="00425220">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25220" w:rsidRPr="00D64DE9" w:rsidRDefault="00425220"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425220" w:rsidRPr="00D64DE9" w:rsidRDefault="00425220" w:rsidP="008C2942">
            <w:pPr>
              <w:spacing w:before="40" w:after="40"/>
              <w:rPr>
                <w:snapToGrid w:val="0"/>
                <w:color w:val="000000"/>
                <w:sz w:val="22"/>
                <w:lang w:val="en-GB"/>
              </w:rPr>
            </w:pPr>
            <w:r w:rsidRPr="00D64DE9">
              <w:rPr>
                <w:snapToGrid w:val="0"/>
                <w:color w:val="000000"/>
                <w:sz w:val="22"/>
                <w:lang w:val="en-GB"/>
              </w:rPr>
              <w:t>MDPUG</w:t>
            </w:r>
          </w:p>
        </w:tc>
        <w:tc>
          <w:tcPr>
            <w:tcW w:w="1088" w:type="pct"/>
            <w:shd w:val="clear" w:color="auto" w:fill="FFFFFF" w:themeFill="background1"/>
          </w:tcPr>
          <w:p w:rsidR="00425220" w:rsidRPr="00D64DE9" w:rsidRDefault="00425220" w:rsidP="008C2942">
            <w:pPr>
              <w:spacing w:before="40" w:after="40"/>
              <w:rPr>
                <w:snapToGrid w:val="0"/>
                <w:sz w:val="22"/>
                <w:lang w:val="en-GB"/>
              </w:rPr>
            </w:pPr>
            <w:r w:rsidRPr="00D64DE9">
              <w:rPr>
                <w:snapToGrid w:val="0"/>
                <w:sz w:val="22"/>
                <w:lang w:val="en-GB"/>
              </w:rPr>
              <w:t>Laura</w:t>
            </w:r>
          </w:p>
        </w:tc>
        <w:tc>
          <w:tcPr>
            <w:tcW w:w="915" w:type="pct"/>
            <w:shd w:val="clear" w:color="auto" w:fill="FFFFFF" w:themeFill="background1"/>
          </w:tcPr>
          <w:p w:rsidR="00425220" w:rsidRPr="00D64DE9" w:rsidRDefault="00425220" w:rsidP="008C2942">
            <w:pPr>
              <w:spacing w:before="40" w:after="40"/>
              <w:rPr>
                <w:snapToGrid w:val="0"/>
                <w:sz w:val="22"/>
                <w:lang w:val="en-GB"/>
              </w:rPr>
            </w:pPr>
            <w:r w:rsidRPr="00D64DE9">
              <w:rPr>
                <w:snapToGrid w:val="0"/>
                <w:sz w:val="22"/>
                <w:lang w:val="en-GB"/>
              </w:rPr>
              <w:t>Fuller</w:t>
            </w:r>
          </w:p>
        </w:tc>
        <w:tc>
          <w:tcPr>
            <w:tcW w:w="1644" w:type="pct"/>
            <w:shd w:val="clear" w:color="auto" w:fill="FFFFFF" w:themeFill="background1"/>
          </w:tcPr>
          <w:p w:rsidR="00425220" w:rsidRPr="00D64DE9" w:rsidRDefault="00425220" w:rsidP="008C2942">
            <w:pPr>
              <w:spacing w:before="40" w:after="40"/>
              <w:rPr>
                <w:snapToGrid w:val="0"/>
                <w:color w:val="000000"/>
                <w:sz w:val="22"/>
                <w:lang w:val="en-GB"/>
              </w:rPr>
            </w:pPr>
            <w:r w:rsidRPr="00D64DE9">
              <w:rPr>
                <w:snapToGrid w:val="0"/>
                <w:color w:val="000000"/>
                <w:sz w:val="22"/>
                <w:lang w:val="en-GB"/>
              </w:rPr>
              <w:t>Telekurs</w:t>
            </w:r>
          </w:p>
        </w:tc>
      </w:tr>
      <w:tr w:rsidR="00A459B3" w:rsidRPr="00D64DE9"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A459B3" w:rsidRPr="00D64DE9" w:rsidRDefault="00A459B3"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A459B3" w:rsidRPr="00D64DE9" w:rsidRDefault="00A459B3" w:rsidP="008C2942">
            <w:pPr>
              <w:spacing w:before="40" w:after="40"/>
              <w:rPr>
                <w:snapToGrid w:val="0"/>
                <w:color w:val="000000"/>
                <w:sz w:val="22"/>
                <w:lang w:val="en-GB"/>
              </w:rPr>
            </w:pPr>
            <w:r w:rsidRPr="00D64DE9">
              <w:rPr>
                <w:snapToGrid w:val="0"/>
                <w:color w:val="000000"/>
                <w:sz w:val="22"/>
                <w:lang w:val="en-GB"/>
              </w:rPr>
              <w:t>NL</w:t>
            </w:r>
          </w:p>
        </w:tc>
        <w:tc>
          <w:tcPr>
            <w:tcW w:w="1088" w:type="pct"/>
            <w:shd w:val="clear" w:color="auto" w:fill="FFFFFF" w:themeFill="background1"/>
          </w:tcPr>
          <w:p w:rsidR="00A459B3" w:rsidRPr="00D64DE9" w:rsidRDefault="00A459B3" w:rsidP="008C2942">
            <w:pPr>
              <w:spacing w:before="40" w:after="40"/>
              <w:rPr>
                <w:snapToGrid w:val="0"/>
                <w:sz w:val="22"/>
                <w:lang w:val="en-GB"/>
              </w:rPr>
            </w:pPr>
            <w:r w:rsidRPr="00D64DE9">
              <w:rPr>
                <w:snapToGrid w:val="0"/>
                <w:sz w:val="22"/>
                <w:lang w:val="en-GB"/>
              </w:rPr>
              <w:t xml:space="preserve">Ben </w:t>
            </w:r>
          </w:p>
        </w:tc>
        <w:tc>
          <w:tcPr>
            <w:tcW w:w="915" w:type="pct"/>
            <w:shd w:val="clear" w:color="auto" w:fill="FFFFFF" w:themeFill="background1"/>
          </w:tcPr>
          <w:p w:rsidR="00A459B3" w:rsidRPr="00D64DE9" w:rsidRDefault="00A459B3" w:rsidP="008C2942">
            <w:pPr>
              <w:spacing w:before="40" w:after="40"/>
              <w:rPr>
                <w:snapToGrid w:val="0"/>
                <w:sz w:val="22"/>
                <w:lang w:val="en-GB"/>
              </w:rPr>
            </w:pPr>
            <w:r w:rsidRPr="00D64DE9">
              <w:rPr>
                <w:snapToGrid w:val="0"/>
                <w:sz w:val="22"/>
                <w:lang w:val="en-GB"/>
              </w:rPr>
              <w:t>Van der Velpen</w:t>
            </w:r>
          </w:p>
        </w:tc>
        <w:tc>
          <w:tcPr>
            <w:tcW w:w="1644" w:type="pct"/>
            <w:shd w:val="clear" w:color="auto" w:fill="FFFFFF" w:themeFill="background1"/>
          </w:tcPr>
          <w:p w:rsidR="00A459B3" w:rsidRPr="00D64DE9" w:rsidRDefault="00A459B3" w:rsidP="008C2942">
            <w:pPr>
              <w:spacing w:before="40" w:after="40"/>
              <w:rPr>
                <w:snapToGrid w:val="0"/>
                <w:color w:val="000000"/>
                <w:sz w:val="22"/>
                <w:lang w:val="en-GB"/>
              </w:rPr>
            </w:pPr>
            <w:r w:rsidRPr="00D64DE9">
              <w:rPr>
                <w:snapToGrid w:val="0"/>
                <w:color w:val="000000"/>
                <w:sz w:val="22"/>
                <w:lang w:val="en-GB"/>
              </w:rPr>
              <w:t>ING</w:t>
            </w:r>
          </w:p>
        </w:tc>
      </w:tr>
      <w:tr w:rsidR="00C96065" w:rsidRPr="00D64DE9"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C96065" w:rsidRPr="00D64DE9" w:rsidRDefault="00C96065"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C96065" w:rsidRPr="00D64DE9" w:rsidRDefault="00490BD1" w:rsidP="008C2942">
            <w:pPr>
              <w:spacing w:before="40" w:after="40"/>
              <w:rPr>
                <w:snapToGrid w:val="0"/>
                <w:color w:val="000000"/>
                <w:sz w:val="22"/>
                <w:lang w:val="en-GB"/>
              </w:rPr>
            </w:pPr>
            <w:r w:rsidRPr="00D64DE9">
              <w:rPr>
                <w:snapToGrid w:val="0"/>
                <w:color w:val="000000"/>
                <w:sz w:val="22"/>
                <w:lang w:val="en-GB"/>
              </w:rPr>
              <w:t>NO</w:t>
            </w:r>
          </w:p>
        </w:tc>
        <w:tc>
          <w:tcPr>
            <w:tcW w:w="1088" w:type="pct"/>
            <w:shd w:val="clear" w:color="auto" w:fill="FFFFFF" w:themeFill="background1"/>
          </w:tcPr>
          <w:p w:rsidR="00C96065" w:rsidRPr="00D64DE9" w:rsidRDefault="00490BD1" w:rsidP="008C2942">
            <w:pPr>
              <w:spacing w:before="40" w:after="40"/>
              <w:rPr>
                <w:snapToGrid w:val="0"/>
                <w:sz w:val="22"/>
                <w:lang w:val="en-GB"/>
              </w:rPr>
            </w:pPr>
            <w:r w:rsidRPr="00D64DE9">
              <w:rPr>
                <w:snapToGrid w:val="0"/>
                <w:sz w:val="22"/>
                <w:lang w:val="en-GB"/>
              </w:rPr>
              <w:t>Grethe</w:t>
            </w:r>
          </w:p>
        </w:tc>
        <w:tc>
          <w:tcPr>
            <w:tcW w:w="915" w:type="pct"/>
            <w:shd w:val="clear" w:color="auto" w:fill="FFFFFF" w:themeFill="background1"/>
          </w:tcPr>
          <w:p w:rsidR="00C96065" w:rsidRPr="00D64DE9" w:rsidRDefault="00490BD1" w:rsidP="008C2942">
            <w:pPr>
              <w:spacing w:before="40" w:after="40"/>
              <w:rPr>
                <w:snapToGrid w:val="0"/>
                <w:sz w:val="22"/>
                <w:lang w:val="en-GB"/>
              </w:rPr>
            </w:pPr>
            <w:r w:rsidRPr="00D64DE9">
              <w:rPr>
                <w:snapToGrid w:val="0"/>
                <w:sz w:val="22"/>
                <w:lang w:val="en-GB"/>
              </w:rPr>
              <w:t>Pedersen</w:t>
            </w:r>
          </w:p>
        </w:tc>
        <w:tc>
          <w:tcPr>
            <w:tcW w:w="1644" w:type="pct"/>
            <w:shd w:val="clear" w:color="auto" w:fill="FFFFFF" w:themeFill="background1"/>
          </w:tcPr>
          <w:p w:rsidR="00C96065" w:rsidRPr="00D64DE9" w:rsidRDefault="00490BD1" w:rsidP="008C2942">
            <w:pPr>
              <w:spacing w:before="40" w:after="40"/>
              <w:rPr>
                <w:snapToGrid w:val="0"/>
                <w:color w:val="000000"/>
                <w:sz w:val="22"/>
                <w:lang w:val="en-GB"/>
              </w:rPr>
            </w:pPr>
            <w:r w:rsidRPr="00D64DE9">
              <w:rPr>
                <w:snapToGrid w:val="0"/>
                <w:color w:val="000000"/>
                <w:sz w:val="22"/>
                <w:lang w:val="en-GB"/>
              </w:rPr>
              <w:t>DnB NOR Bank</w:t>
            </w:r>
          </w:p>
        </w:tc>
      </w:tr>
      <w:tr w:rsidR="00425220" w:rsidRPr="00D64DE9"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25220" w:rsidRPr="00D64DE9" w:rsidRDefault="00425220"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425220" w:rsidRPr="00D64DE9" w:rsidRDefault="00425220" w:rsidP="008C2942">
            <w:pPr>
              <w:spacing w:before="40" w:after="40"/>
              <w:rPr>
                <w:sz w:val="22"/>
                <w:lang w:val="en-GB"/>
              </w:rPr>
            </w:pPr>
            <w:r w:rsidRPr="00D64DE9">
              <w:rPr>
                <w:sz w:val="22"/>
                <w:lang w:val="en-GB"/>
              </w:rPr>
              <w:t>RU</w:t>
            </w:r>
          </w:p>
        </w:tc>
        <w:tc>
          <w:tcPr>
            <w:tcW w:w="1088" w:type="pct"/>
            <w:shd w:val="clear" w:color="auto" w:fill="FFFFFF" w:themeFill="background1"/>
          </w:tcPr>
          <w:p w:rsidR="00425220" w:rsidRPr="00D64DE9" w:rsidRDefault="00425220" w:rsidP="008C2942">
            <w:pPr>
              <w:spacing w:before="40" w:after="40"/>
              <w:rPr>
                <w:snapToGrid w:val="0"/>
                <w:sz w:val="22"/>
                <w:lang w:val="en-GB"/>
              </w:rPr>
            </w:pPr>
            <w:r w:rsidRPr="00D64DE9">
              <w:rPr>
                <w:snapToGrid w:val="0"/>
                <w:sz w:val="22"/>
                <w:lang w:val="en-GB"/>
              </w:rPr>
              <w:t>Elena</w:t>
            </w:r>
          </w:p>
        </w:tc>
        <w:tc>
          <w:tcPr>
            <w:tcW w:w="915" w:type="pct"/>
            <w:shd w:val="clear" w:color="auto" w:fill="FFFFFF" w:themeFill="background1"/>
          </w:tcPr>
          <w:p w:rsidR="00425220" w:rsidRPr="00D64DE9" w:rsidRDefault="00425220" w:rsidP="008C2942">
            <w:pPr>
              <w:pStyle w:val="CommentText"/>
              <w:spacing w:before="40" w:after="40"/>
              <w:rPr>
                <w:snapToGrid w:val="0"/>
                <w:sz w:val="22"/>
                <w:lang w:val="en-GB"/>
              </w:rPr>
            </w:pPr>
            <w:r w:rsidRPr="00D64DE9">
              <w:rPr>
                <w:snapToGrid w:val="0"/>
                <w:sz w:val="22"/>
                <w:lang w:val="en-GB"/>
              </w:rPr>
              <w:t>Solovyeva</w:t>
            </w:r>
          </w:p>
        </w:tc>
        <w:tc>
          <w:tcPr>
            <w:tcW w:w="1644" w:type="pct"/>
            <w:shd w:val="clear" w:color="auto" w:fill="FFFFFF" w:themeFill="background1"/>
          </w:tcPr>
          <w:p w:rsidR="00425220" w:rsidRPr="00D64DE9" w:rsidRDefault="00425220" w:rsidP="008C2942">
            <w:pPr>
              <w:spacing w:before="40" w:after="40"/>
            </w:pPr>
            <w:r w:rsidRPr="00D64DE9">
              <w:rPr>
                <w:sz w:val="22"/>
                <w:lang w:val="en-GB"/>
              </w:rPr>
              <w:t>NSD (</w:t>
            </w:r>
            <w:r w:rsidRPr="00D64DE9">
              <w:t>National Settlement Depository)</w:t>
            </w:r>
          </w:p>
        </w:tc>
      </w:tr>
      <w:tr w:rsidR="00490BD1" w:rsidRPr="00D64DE9"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90BD1" w:rsidRPr="00D64DE9" w:rsidRDefault="00490BD1" w:rsidP="008C2942">
            <w:pPr>
              <w:spacing w:before="40" w:after="40"/>
              <w:jc w:val="right"/>
              <w:rPr>
                <w:sz w:val="22"/>
                <w:lang w:val="en-GB"/>
              </w:rPr>
            </w:pPr>
            <w:r w:rsidRPr="00D64DE9">
              <w:rPr>
                <w:sz w:val="22"/>
                <w:lang w:val="en-GB"/>
              </w:rPr>
              <w:t>Co-chair</w:t>
            </w:r>
          </w:p>
        </w:tc>
        <w:tc>
          <w:tcPr>
            <w:tcW w:w="731" w:type="pct"/>
            <w:tcBorders>
              <w:left w:val="single" w:sz="4" w:space="0" w:color="auto"/>
            </w:tcBorders>
            <w:shd w:val="clear" w:color="auto" w:fill="FFFFFF" w:themeFill="background1"/>
          </w:tcPr>
          <w:p w:rsidR="00490BD1" w:rsidRPr="00D64DE9" w:rsidRDefault="00490BD1" w:rsidP="008C2942">
            <w:pPr>
              <w:spacing w:before="40" w:after="40"/>
              <w:rPr>
                <w:sz w:val="22"/>
                <w:lang w:val="en-GB"/>
              </w:rPr>
            </w:pPr>
            <w:r w:rsidRPr="00D64DE9">
              <w:rPr>
                <w:sz w:val="22"/>
                <w:lang w:val="en-GB"/>
              </w:rPr>
              <w:t>SE</w:t>
            </w:r>
          </w:p>
        </w:tc>
        <w:tc>
          <w:tcPr>
            <w:tcW w:w="1088" w:type="pct"/>
            <w:shd w:val="clear" w:color="auto" w:fill="FFFFFF" w:themeFill="background1"/>
          </w:tcPr>
          <w:p w:rsidR="00490BD1" w:rsidRPr="00D64DE9" w:rsidRDefault="00490BD1" w:rsidP="008C2942">
            <w:pPr>
              <w:spacing w:before="40" w:after="40"/>
              <w:rPr>
                <w:sz w:val="22"/>
                <w:lang w:val="en-GB"/>
              </w:rPr>
            </w:pPr>
            <w:r w:rsidRPr="00D64DE9">
              <w:rPr>
                <w:snapToGrid w:val="0"/>
                <w:sz w:val="22"/>
                <w:lang w:val="en-GB"/>
              </w:rPr>
              <w:t xml:space="preserve">Christine </w:t>
            </w:r>
          </w:p>
        </w:tc>
        <w:tc>
          <w:tcPr>
            <w:tcW w:w="915" w:type="pct"/>
            <w:shd w:val="clear" w:color="auto" w:fill="FFFFFF" w:themeFill="background1"/>
          </w:tcPr>
          <w:p w:rsidR="00490BD1" w:rsidRPr="00D64DE9" w:rsidRDefault="00490BD1" w:rsidP="008C2942">
            <w:pPr>
              <w:pStyle w:val="CommentText"/>
              <w:spacing w:before="40" w:after="40"/>
              <w:rPr>
                <w:sz w:val="22"/>
                <w:lang w:val="en-GB"/>
              </w:rPr>
            </w:pPr>
            <w:r w:rsidRPr="00D64DE9">
              <w:rPr>
                <w:snapToGrid w:val="0"/>
                <w:sz w:val="22"/>
                <w:lang w:val="en-GB"/>
              </w:rPr>
              <w:t>Strandberg</w:t>
            </w:r>
          </w:p>
        </w:tc>
        <w:tc>
          <w:tcPr>
            <w:tcW w:w="1644" w:type="pct"/>
            <w:shd w:val="clear" w:color="auto" w:fill="FFFFFF" w:themeFill="background1"/>
          </w:tcPr>
          <w:p w:rsidR="00490BD1" w:rsidRPr="00D64DE9" w:rsidRDefault="00490BD1" w:rsidP="008C2942">
            <w:pPr>
              <w:pStyle w:val="CommentText"/>
              <w:spacing w:before="40" w:after="40"/>
              <w:rPr>
                <w:sz w:val="22"/>
                <w:lang w:val="en-GB"/>
              </w:rPr>
            </w:pPr>
            <w:smartTag w:uri="urn:schemas-microsoft-com:office:smarttags" w:element="stockticker">
              <w:r w:rsidRPr="00D64DE9">
                <w:rPr>
                  <w:sz w:val="22"/>
                  <w:lang w:val="en-GB"/>
                </w:rPr>
                <w:t>SEB</w:t>
              </w:r>
            </w:smartTag>
          </w:p>
        </w:tc>
      </w:tr>
      <w:tr w:rsidR="008A574C" w:rsidRPr="00D64DE9"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8A574C" w:rsidRPr="00D64DE9" w:rsidRDefault="008A574C" w:rsidP="008C2942">
            <w:pPr>
              <w:pStyle w:val="CommentText"/>
              <w:spacing w:before="40" w:after="40"/>
              <w:rPr>
                <w:sz w:val="22"/>
                <w:lang w:val="en-GB"/>
              </w:rPr>
            </w:pPr>
          </w:p>
        </w:tc>
        <w:tc>
          <w:tcPr>
            <w:tcW w:w="731" w:type="pct"/>
            <w:tcBorders>
              <w:left w:val="single" w:sz="4" w:space="0" w:color="auto"/>
            </w:tcBorders>
            <w:shd w:val="clear" w:color="auto" w:fill="FFFFFF" w:themeFill="background1"/>
          </w:tcPr>
          <w:p w:rsidR="008A574C" w:rsidRPr="00D64DE9" w:rsidRDefault="008A574C" w:rsidP="008C2942">
            <w:pPr>
              <w:spacing w:before="40" w:after="40"/>
              <w:rPr>
                <w:sz w:val="22"/>
                <w:lang w:val="en-GB"/>
              </w:rPr>
            </w:pPr>
            <w:r w:rsidRPr="00D64DE9">
              <w:rPr>
                <w:sz w:val="22"/>
                <w:lang w:val="en-GB"/>
              </w:rPr>
              <w:t>UK &amp; IE</w:t>
            </w:r>
          </w:p>
        </w:tc>
        <w:tc>
          <w:tcPr>
            <w:tcW w:w="1088" w:type="pct"/>
            <w:shd w:val="clear" w:color="auto" w:fill="FFFFFF" w:themeFill="background1"/>
          </w:tcPr>
          <w:p w:rsidR="008A574C" w:rsidRPr="00D64DE9" w:rsidRDefault="008A574C" w:rsidP="008C2942">
            <w:pPr>
              <w:spacing w:before="40" w:after="40"/>
              <w:rPr>
                <w:snapToGrid w:val="0"/>
                <w:sz w:val="22"/>
                <w:lang w:val="en-GB"/>
              </w:rPr>
            </w:pPr>
            <w:r w:rsidRPr="00D64DE9">
              <w:rPr>
                <w:snapToGrid w:val="0"/>
                <w:sz w:val="22"/>
                <w:lang w:val="en-GB"/>
              </w:rPr>
              <w:t>Mariangela</w:t>
            </w:r>
          </w:p>
        </w:tc>
        <w:tc>
          <w:tcPr>
            <w:tcW w:w="915" w:type="pct"/>
            <w:shd w:val="clear" w:color="auto" w:fill="FFFFFF" w:themeFill="background1"/>
          </w:tcPr>
          <w:p w:rsidR="008A574C" w:rsidRPr="00D64DE9" w:rsidRDefault="008A574C" w:rsidP="008C2942">
            <w:pPr>
              <w:pStyle w:val="CommentText"/>
              <w:spacing w:before="40" w:after="40"/>
              <w:rPr>
                <w:snapToGrid w:val="0"/>
                <w:sz w:val="22"/>
                <w:lang w:val="en-GB"/>
              </w:rPr>
            </w:pPr>
            <w:r w:rsidRPr="00D64DE9">
              <w:rPr>
                <w:snapToGrid w:val="0"/>
                <w:sz w:val="22"/>
                <w:lang w:val="en-GB"/>
              </w:rPr>
              <w:t>Fumagalli</w:t>
            </w:r>
          </w:p>
        </w:tc>
        <w:tc>
          <w:tcPr>
            <w:tcW w:w="1644" w:type="pct"/>
            <w:shd w:val="clear" w:color="auto" w:fill="FFFFFF" w:themeFill="background1"/>
          </w:tcPr>
          <w:p w:rsidR="008A574C" w:rsidRPr="00D64DE9" w:rsidRDefault="008A574C" w:rsidP="008C2942">
            <w:pPr>
              <w:pStyle w:val="CommentText"/>
              <w:spacing w:before="40" w:after="40"/>
              <w:rPr>
                <w:sz w:val="22"/>
                <w:lang w:val="en-GB"/>
              </w:rPr>
            </w:pPr>
            <w:r w:rsidRPr="00D64DE9">
              <w:rPr>
                <w:sz w:val="22"/>
                <w:lang w:val="en-GB"/>
              </w:rPr>
              <w:t>BNP Paribas</w:t>
            </w:r>
          </w:p>
        </w:tc>
      </w:tr>
      <w:tr w:rsidR="00A459B3" w:rsidRPr="00D64DE9" w:rsidTr="008E586A">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A459B3" w:rsidRPr="00D64DE9" w:rsidRDefault="00A459B3"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A459B3" w:rsidRPr="00D64DE9" w:rsidRDefault="00A459B3" w:rsidP="008C2942">
            <w:pPr>
              <w:spacing w:before="40" w:after="40"/>
              <w:rPr>
                <w:sz w:val="22"/>
                <w:lang w:val="en-GB"/>
              </w:rPr>
            </w:pPr>
            <w:r w:rsidRPr="00D64DE9">
              <w:rPr>
                <w:sz w:val="22"/>
                <w:lang w:val="en-GB"/>
              </w:rPr>
              <w:t>UK &amp; IE</w:t>
            </w:r>
          </w:p>
        </w:tc>
        <w:tc>
          <w:tcPr>
            <w:tcW w:w="1088" w:type="pct"/>
            <w:shd w:val="clear" w:color="auto" w:fill="FFFFFF" w:themeFill="background1"/>
          </w:tcPr>
          <w:p w:rsidR="00A459B3" w:rsidRPr="00D64DE9" w:rsidRDefault="00A459B3" w:rsidP="008C2942">
            <w:pPr>
              <w:pStyle w:val="CommentText"/>
              <w:spacing w:before="40" w:after="40"/>
              <w:rPr>
                <w:sz w:val="22"/>
                <w:lang w:val="en-GB"/>
              </w:rPr>
            </w:pPr>
            <w:r w:rsidRPr="00D64DE9">
              <w:rPr>
                <w:sz w:val="22"/>
                <w:lang w:val="en-GB"/>
              </w:rPr>
              <w:t xml:space="preserve">Matthew </w:t>
            </w:r>
          </w:p>
        </w:tc>
        <w:tc>
          <w:tcPr>
            <w:tcW w:w="915" w:type="pct"/>
            <w:shd w:val="clear" w:color="auto" w:fill="FFFFFF" w:themeFill="background1"/>
          </w:tcPr>
          <w:p w:rsidR="00A459B3" w:rsidRPr="00D64DE9" w:rsidRDefault="00A459B3" w:rsidP="008C2942">
            <w:pPr>
              <w:spacing w:before="40" w:after="40"/>
              <w:rPr>
                <w:sz w:val="22"/>
                <w:lang w:val="en-GB"/>
              </w:rPr>
            </w:pPr>
            <w:r w:rsidRPr="00D64DE9">
              <w:rPr>
                <w:sz w:val="22"/>
                <w:lang w:val="en-GB"/>
              </w:rPr>
              <w:t>Middleton</w:t>
            </w:r>
          </w:p>
        </w:tc>
        <w:tc>
          <w:tcPr>
            <w:tcW w:w="1644" w:type="pct"/>
            <w:shd w:val="clear" w:color="auto" w:fill="FFFFFF" w:themeFill="background1"/>
          </w:tcPr>
          <w:p w:rsidR="00A459B3" w:rsidRPr="00D64DE9" w:rsidRDefault="00A459B3" w:rsidP="008C2942">
            <w:pPr>
              <w:spacing w:before="40" w:after="40"/>
              <w:rPr>
                <w:sz w:val="22"/>
                <w:szCs w:val="22"/>
                <w:lang w:val="en-GB"/>
              </w:rPr>
            </w:pPr>
            <w:r w:rsidRPr="00D64DE9">
              <w:rPr>
                <w:sz w:val="22"/>
                <w:szCs w:val="22"/>
                <w:lang w:val="en-GB"/>
              </w:rPr>
              <w:t>LSE</w:t>
            </w:r>
          </w:p>
        </w:tc>
      </w:tr>
      <w:tr w:rsidR="00541706" w:rsidRPr="00D64DE9"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541706" w:rsidRPr="00D64DE9" w:rsidRDefault="00541706"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541706" w:rsidRPr="00D64DE9" w:rsidRDefault="00541706" w:rsidP="008C2942">
            <w:pPr>
              <w:spacing w:before="40" w:after="40"/>
              <w:rPr>
                <w:sz w:val="22"/>
                <w:lang w:val="en-GB"/>
              </w:rPr>
            </w:pPr>
            <w:r w:rsidRPr="00D64DE9">
              <w:rPr>
                <w:sz w:val="22"/>
                <w:lang w:val="en-GB"/>
              </w:rPr>
              <w:t>US</w:t>
            </w:r>
          </w:p>
        </w:tc>
        <w:tc>
          <w:tcPr>
            <w:tcW w:w="1088" w:type="pct"/>
            <w:shd w:val="clear" w:color="auto" w:fill="FFFFFF" w:themeFill="background1"/>
          </w:tcPr>
          <w:p w:rsidR="00541706" w:rsidRPr="00D64DE9" w:rsidRDefault="00541706" w:rsidP="008C2942">
            <w:pPr>
              <w:pStyle w:val="CommentText"/>
              <w:spacing w:before="40" w:after="40"/>
              <w:rPr>
                <w:sz w:val="22"/>
                <w:lang w:val="en-GB"/>
              </w:rPr>
            </w:pPr>
            <w:r w:rsidRPr="00D64DE9">
              <w:rPr>
                <w:sz w:val="22"/>
                <w:lang w:val="en-GB"/>
              </w:rPr>
              <w:t>Sonda</w:t>
            </w:r>
          </w:p>
        </w:tc>
        <w:tc>
          <w:tcPr>
            <w:tcW w:w="915" w:type="pct"/>
            <w:shd w:val="clear" w:color="auto" w:fill="FFFFFF" w:themeFill="background1"/>
          </w:tcPr>
          <w:p w:rsidR="00541706" w:rsidRPr="00D64DE9" w:rsidRDefault="00541706" w:rsidP="008C2942">
            <w:pPr>
              <w:spacing w:before="40" w:after="40"/>
              <w:rPr>
                <w:sz w:val="22"/>
                <w:lang w:val="en-GB"/>
              </w:rPr>
            </w:pPr>
            <w:r w:rsidRPr="00D64DE9">
              <w:rPr>
                <w:sz w:val="22"/>
                <w:lang w:val="en-GB"/>
              </w:rPr>
              <w:t>Pimental</w:t>
            </w:r>
          </w:p>
        </w:tc>
        <w:tc>
          <w:tcPr>
            <w:tcW w:w="1644" w:type="pct"/>
            <w:shd w:val="clear" w:color="auto" w:fill="FFFFFF" w:themeFill="background1"/>
          </w:tcPr>
          <w:p w:rsidR="00541706" w:rsidRPr="00D64DE9" w:rsidRDefault="00541706" w:rsidP="008C2942">
            <w:pPr>
              <w:spacing w:before="40" w:after="40"/>
              <w:rPr>
                <w:sz w:val="22"/>
                <w:lang w:val="en-GB"/>
              </w:rPr>
            </w:pPr>
            <w:r w:rsidRPr="00D64DE9">
              <w:rPr>
                <w:sz w:val="22"/>
                <w:lang w:val="en-GB"/>
              </w:rPr>
              <w:t>BBH</w:t>
            </w:r>
          </w:p>
        </w:tc>
      </w:tr>
      <w:tr w:rsidR="008A574C" w:rsidRPr="00D64DE9"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8A574C" w:rsidRPr="00D64DE9" w:rsidRDefault="008A574C" w:rsidP="008C2942">
            <w:pPr>
              <w:pStyle w:val="CommentText"/>
              <w:spacing w:before="40" w:after="40"/>
              <w:rPr>
                <w:sz w:val="22"/>
                <w:lang w:val="en-GB"/>
              </w:rPr>
            </w:pPr>
          </w:p>
        </w:tc>
        <w:tc>
          <w:tcPr>
            <w:tcW w:w="731" w:type="pct"/>
            <w:tcBorders>
              <w:left w:val="single" w:sz="4" w:space="0" w:color="auto"/>
            </w:tcBorders>
            <w:shd w:val="clear" w:color="auto" w:fill="FFFFFF" w:themeFill="background1"/>
          </w:tcPr>
          <w:p w:rsidR="008A574C" w:rsidRPr="00D64DE9" w:rsidRDefault="008A574C" w:rsidP="008C2942">
            <w:pPr>
              <w:spacing w:before="40" w:after="40"/>
              <w:rPr>
                <w:sz w:val="22"/>
                <w:lang w:val="en-GB"/>
              </w:rPr>
            </w:pPr>
            <w:r w:rsidRPr="00D64DE9">
              <w:rPr>
                <w:sz w:val="22"/>
                <w:lang w:val="en-GB"/>
              </w:rPr>
              <w:t>XS</w:t>
            </w:r>
          </w:p>
        </w:tc>
        <w:tc>
          <w:tcPr>
            <w:tcW w:w="1088" w:type="pct"/>
            <w:shd w:val="clear" w:color="auto" w:fill="FFFFFF" w:themeFill="background1"/>
          </w:tcPr>
          <w:p w:rsidR="008A574C" w:rsidRPr="00D64DE9" w:rsidRDefault="008A574C" w:rsidP="008C2942">
            <w:pPr>
              <w:pStyle w:val="CommentText"/>
              <w:spacing w:before="40" w:after="40"/>
              <w:rPr>
                <w:sz w:val="22"/>
                <w:lang w:val="en-GB"/>
              </w:rPr>
            </w:pPr>
            <w:r w:rsidRPr="00D64DE9">
              <w:rPr>
                <w:sz w:val="22"/>
                <w:lang w:val="en-GB"/>
              </w:rPr>
              <w:t xml:space="preserve">Delphine </w:t>
            </w:r>
          </w:p>
        </w:tc>
        <w:tc>
          <w:tcPr>
            <w:tcW w:w="915" w:type="pct"/>
            <w:shd w:val="clear" w:color="auto" w:fill="FFFFFF" w:themeFill="background1"/>
          </w:tcPr>
          <w:p w:rsidR="008A574C" w:rsidRPr="00D64DE9" w:rsidRDefault="008A574C" w:rsidP="008C2942">
            <w:pPr>
              <w:spacing w:before="40" w:after="40"/>
              <w:rPr>
                <w:sz w:val="22"/>
                <w:lang w:val="en-GB"/>
              </w:rPr>
            </w:pPr>
            <w:r w:rsidRPr="00D64DE9">
              <w:rPr>
                <w:sz w:val="22"/>
                <w:lang w:val="en-GB"/>
              </w:rPr>
              <w:t>Haillez</w:t>
            </w:r>
          </w:p>
        </w:tc>
        <w:tc>
          <w:tcPr>
            <w:tcW w:w="1644" w:type="pct"/>
            <w:shd w:val="clear" w:color="auto" w:fill="FFFFFF" w:themeFill="background1"/>
          </w:tcPr>
          <w:p w:rsidR="008A574C" w:rsidRPr="00D64DE9" w:rsidRDefault="008A574C" w:rsidP="008C2942">
            <w:pPr>
              <w:spacing w:before="40" w:after="40"/>
              <w:rPr>
                <w:sz w:val="22"/>
                <w:lang w:val="en-GB"/>
              </w:rPr>
            </w:pPr>
            <w:r w:rsidRPr="00D64DE9">
              <w:rPr>
                <w:sz w:val="22"/>
                <w:lang w:val="en-GB"/>
              </w:rPr>
              <w:t>Euroclear</w:t>
            </w:r>
          </w:p>
        </w:tc>
      </w:tr>
      <w:tr w:rsidR="008A574C" w:rsidRPr="00D64DE9"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8A574C" w:rsidRPr="00D64DE9" w:rsidRDefault="008A574C" w:rsidP="008C2942">
            <w:pPr>
              <w:pStyle w:val="CommentText"/>
              <w:spacing w:before="40" w:after="40"/>
              <w:rPr>
                <w:sz w:val="22"/>
                <w:lang w:val="en-GB"/>
              </w:rPr>
            </w:pPr>
          </w:p>
        </w:tc>
        <w:tc>
          <w:tcPr>
            <w:tcW w:w="731" w:type="pct"/>
            <w:tcBorders>
              <w:left w:val="single" w:sz="4" w:space="0" w:color="auto"/>
            </w:tcBorders>
            <w:shd w:val="clear" w:color="auto" w:fill="FFFFFF" w:themeFill="background1"/>
          </w:tcPr>
          <w:p w:rsidR="008A574C" w:rsidRPr="00D64DE9" w:rsidRDefault="008A574C" w:rsidP="008C2942">
            <w:pPr>
              <w:spacing w:before="40" w:after="40"/>
              <w:rPr>
                <w:sz w:val="22"/>
                <w:lang w:val="en-GB"/>
              </w:rPr>
            </w:pPr>
            <w:r w:rsidRPr="00D64DE9">
              <w:rPr>
                <w:sz w:val="22"/>
                <w:lang w:val="en-GB"/>
              </w:rPr>
              <w:t>ZA</w:t>
            </w:r>
          </w:p>
        </w:tc>
        <w:tc>
          <w:tcPr>
            <w:tcW w:w="1088" w:type="pct"/>
            <w:shd w:val="clear" w:color="auto" w:fill="FFFFFF" w:themeFill="background1"/>
          </w:tcPr>
          <w:p w:rsidR="008A574C" w:rsidRPr="00D64DE9" w:rsidRDefault="008A574C" w:rsidP="008C2942">
            <w:pPr>
              <w:pStyle w:val="CommentText"/>
              <w:spacing w:before="40" w:after="40"/>
              <w:rPr>
                <w:sz w:val="22"/>
                <w:lang w:val="en-GB"/>
              </w:rPr>
            </w:pPr>
            <w:r w:rsidRPr="00D64DE9">
              <w:rPr>
                <w:sz w:val="22"/>
                <w:lang w:val="en-GB"/>
              </w:rPr>
              <w:t>Dale</w:t>
            </w:r>
          </w:p>
        </w:tc>
        <w:tc>
          <w:tcPr>
            <w:tcW w:w="915" w:type="pct"/>
            <w:shd w:val="clear" w:color="auto" w:fill="FFFFFF" w:themeFill="background1"/>
          </w:tcPr>
          <w:p w:rsidR="008A574C" w:rsidRPr="00D64DE9" w:rsidRDefault="008A574C" w:rsidP="008C2942">
            <w:pPr>
              <w:spacing w:before="40" w:after="40"/>
              <w:rPr>
                <w:sz w:val="22"/>
                <w:lang w:val="en-GB"/>
              </w:rPr>
            </w:pPr>
            <w:r w:rsidRPr="00D64DE9">
              <w:rPr>
                <w:sz w:val="22"/>
                <w:lang w:val="en-GB"/>
              </w:rPr>
              <w:t>Van Rayne</w:t>
            </w:r>
          </w:p>
        </w:tc>
        <w:tc>
          <w:tcPr>
            <w:tcW w:w="1644" w:type="pct"/>
            <w:shd w:val="clear" w:color="auto" w:fill="FFFFFF" w:themeFill="background1"/>
          </w:tcPr>
          <w:p w:rsidR="008A574C" w:rsidRPr="00D64DE9" w:rsidRDefault="008A574C" w:rsidP="008C2942">
            <w:pPr>
              <w:spacing w:before="40" w:after="40"/>
              <w:rPr>
                <w:sz w:val="22"/>
                <w:lang w:val="en-GB"/>
              </w:rPr>
            </w:pPr>
            <w:r w:rsidRPr="00D64DE9">
              <w:rPr>
                <w:sz w:val="22"/>
                <w:lang w:val="en-GB"/>
              </w:rPr>
              <w:t>FNB</w:t>
            </w:r>
          </w:p>
        </w:tc>
      </w:tr>
      <w:tr w:rsidR="00490BD1" w:rsidRPr="00C9606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90BD1" w:rsidRPr="00D64DE9" w:rsidRDefault="00490BD1" w:rsidP="008C2942">
            <w:pPr>
              <w:spacing w:before="40" w:after="40"/>
              <w:jc w:val="right"/>
              <w:rPr>
                <w:sz w:val="22"/>
                <w:lang w:val="en-GB"/>
              </w:rPr>
            </w:pPr>
            <w:r w:rsidRPr="00D64DE9">
              <w:rPr>
                <w:sz w:val="22"/>
                <w:lang w:val="en-GB"/>
              </w:rPr>
              <w:t>Facilitator</w:t>
            </w:r>
          </w:p>
        </w:tc>
        <w:tc>
          <w:tcPr>
            <w:tcW w:w="731" w:type="pct"/>
            <w:tcBorders>
              <w:left w:val="single" w:sz="4" w:space="0" w:color="auto"/>
            </w:tcBorders>
            <w:shd w:val="clear" w:color="auto" w:fill="FFFFFF" w:themeFill="background1"/>
          </w:tcPr>
          <w:p w:rsidR="00490BD1" w:rsidRPr="00D64DE9" w:rsidRDefault="00490BD1" w:rsidP="008C2942">
            <w:pPr>
              <w:spacing w:before="40" w:after="40"/>
              <w:rPr>
                <w:sz w:val="22"/>
                <w:lang w:val="en-GB"/>
              </w:rPr>
            </w:pPr>
            <w:r w:rsidRPr="00D64DE9">
              <w:rPr>
                <w:sz w:val="22"/>
                <w:lang w:val="en-GB"/>
              </w:rPr>
              <w:t>-</w:t>
            </w:r>
          </w:p>
        </w:tc>
        <w:tc>
          <w:tcPr>
            <w:tcW w:w="1088" w:type="pct"/>
            <w:shd w:val="clear" w:color="auto" w:fill="FFFFFF" w:themeFill="background1"/>
          </w:tcPr>
          <w:p w:rsidR="00490BD1" w:rsidRPr="00D64DE9" w:rsidRDefault="00490BD1" w:rsidP="008C2942">
            <w:pPr>
              <w:pStyle w:val="CommentText"/>
              <w:spacing w:before="40" w:after="40"/>
              <w:rPr>
                <w:sz w:val="22"/>
                <w:lang w:val="en-GB"/>
              </w:rPr>
            </w:pPr>
            <w:r w:rsidRPr="00D64DE9">
              <w:rPr>
                <w:sz w:val="22"/>
                <w:lang w:val="en-GB"/>
              </w:rPr>
              <w:t xml:space="preserve">Jacques </w:t>
            </w:r>
          </w:p>
        </w:tc>
        <w:tc>
          <w:tcPr>
            <w:tcW w:w="915" w:type="pct"/>
            <w:shd w:val="clear" w:color="auto" w:fill="FFFFFF" w:themeFill="background1"/>
          </w:tcPr>
          <w:p w:rsidR="00490BD1" w:rsidRPr="00D64DE9" w:rsidRDefault="00490BD1" w:rsidP="008C2942">
            <w:pPr>
              <w:spacing w:before="40" w:after="40"/>
              <w:rPr>
                <w:sz w:val="22"/>
                <w:lang w:val="en-GB"/>
              </w:rPr>
            </w:pPr>
            <w:r w:rsidRPr="00D64DE9">
              <w:rPr>
                <w:sz w:val="22"/>
                <w:lang w:val="en-GB"/>
              </w:rPr>
              <w:t>Littré</w:t>
            </w:r>
          </w:p>
        </w:tc>
        <w:tc>
          <w:tcPr>
            <w:tcW w:w="1644" w:type="pct"/>
            <w:shd w:val="clear" w:color="auto" w:fill="FFFFFF" w:themeFill="background1"/>
          </w:tcPr>
          <w:p w:rsidR="00490BD1" w:rsidRPr="00C96065" w:rsidRDefault="00490BD1" w:rsidP="008C2942">
            <w:pPr>
              <w:spacing w:before="40" w:after="40"/>
              <w:rPr>
                <w:sz w:val="22"/>
                <w:lang w:val="en-GB"/>
              </w:rPr>
            </w:pPr>
            <w:r w:rsidRPr="00D64DE9">
              <w:rPr>
                <w:sz w:val="22"/>
                <w:lang w:val="en-GB"/>
              </w:rPr>
              <w:t>SWIFT Standards</w:t>
            </w:r>
          </w:p>
        </w:tc>
      </w:tr>
    </w:tbl>
    <w:p w:rsidR="00B02FFF" w:rsidRPr="00BA2B97" w:rsidRDefault="00B02FFF" w:rsidP="00592037">
      <w:pPr>
        <w:pStyle w:val="BlockText"/>
        <w:rPr>
          <w:shd w:val="clear" w:color="auto" w:fill="00FFFF"/>
        </w:rPr>
      </w:pPr>
    </w:p>
    <w:bookmarkEnd w:id="1"/>
    <w:bookmarkEnd w:id="2"/>
    <w:p w:rsidR="00652BA8" w:rsidRPr="00BA2B97" w:rsidRDefault="00652BA8" w:rsidP="00652BA8">
      <w:pPr>
        <w:pStyle w:val="Title1"/>
      </w:pPr>
      <w:r w:rsidRPr="00BA2B97">
        <w:t>Apologies</w:t>
      </w: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432190" w:rsidRPr="00BA2B97" w:rsidTr="00432190">
        <w:tc>
          <w:tcPr>
            <w:tcW w:w="622" w:type="pct"/>
            <w:tcBorders>
              <w:top w:val="nil"/>
              <w:left w:val="nil"/>
              <w:bottom w:val="nil"/>
              <w:right w:val="single" w:sz="4" w:space="0" w:color="auto"/>
            </w:tcBorders>
            <w:shd w:val="clear" w:color="auto" w:fill="FFFFFF"/>
          </w:tcPr>
          <w:p w:rsidR="00432190" w:rsidRPr="00BA2B97" w:rsidRDefault="00432190" w:rsidP="00432190">
            <w:pPr>
              <w:rPr>
                <w:b/>
                <w:sz w:val="22"/>
                <w:lang w:val="en-GB"/>
              </w:rPr>
            </w:pPr>
          </w:p>
        </w:tc>
        <w:tc>
          <w:tcPr>
            <w:tcW w:w="731" w:type="pct"/>
            <w:tcBorders>
              <w:left w:val="single" w:sz="4" w:space="0" w:color="auto"/>
            </w:tcBorders>
            <w:shd w:val="clear" w:color="auto" w:fill="CCCCCC"/>
          </w:tcPr>
          <w:p w:rsidR="00432190" w:rsidRPr="00BA2B97" w:rsidRDefault="00432190" w:rsidP="00432190">
            <w:pPr>
              <w:rPr>
                <w:b/>
                <w:sz w:val="22"/>
                <w:lang w:val="en-GB"/>
              </w:rPr>
            </w:pPr>
            <w:r w:rsidRPr="00BA2B97">
              <w:rPr>
                <w:b/>
                <w:sz w:val="22"/>
                <w:lang w:val="en-GB"/>
              </w:rPr>
              <w:t>Country</w:t>
            </w:r>
          </w:p>
        </w:tc>
        <w:tc>
          <w:tcPr>
            <w:tcW w:w="1088" w:type="pct"/>
            <w:shd w:val="clear" w:color="auto" w:fill="CCCCCC"/>
          </w:tcPr>
          <w:p w:rsidR="00432190" w:rsidRPr="00BA2B97" w:rsidRDefault="00432190" w:rsidP="00432190">
            <w:pPr>
              <w:rPr>
                <w:b/>
                <w:sz w:val="22"/>
                <w:lang w:val="en-GB"/>
              </w:rPr>
            </w:pPr>
            <w:r w:rsidRPr="00BA2B97">
              <w:rPr>
                <w:b/>
                <w:sz w:val="22"/>
                <w:lang w:val="en-GB"/>
              </w:rPr>
              <w:t>First Name</w:t>
            </w:r>
          </w:p>
        </w:tc>
        <w:tc>
          <w:tcPr>
            <w:tcW w:w="915" w:type="pct"/>
            <w:shd w:val="clear" w:color="auto" w:fill="CCCCCC"/>
          </w:tcPr>
          <w:p w:rsidR="00432190" w:rsidRPr="00BA2B97" w:rsidRDefault="00432190" w:rsidP="00432190">
            <w:pPr>
              <w:rPr>
                <w:b/>
                <w:sz w:val="22"/>
                <w:lang w:val="en-GB"/>
              </w:rPr>
            </w:pPr>
            <w:r w:rsidRPr="00BA2B97">
              <w:rPr>
                <w:b/>
                <w:sz w:val="22"/>
                <w:lang w:val="en-GB"/>
              </w:rPr>
              <w:t>Last Name</w:t>
            </w:r>
          </w:p>
        </w:tc>
        <w:tc>
          <w:tcPr>
            <w:tcW w:w="1644" w:type="pct"/>
            <w:shd w:val="clear" w:color="auto" w:fill="CCCCCC"/>
          </w:tcPr>
          <w:p w:rsidR="00432190" w:rsidRPr="00BA2B97" w:rsidRDefault="00432190" w:rsidP="00432190">
            <w:pPr>
              <w:rPr>
                <w:b/>
                <w:sz w:val="22"/>
                <w:lang w:val="en-GB"/>
              </w:rPr>
            </w:pPr>
            <w:r w:rsidRPr="00BA2B97">
              <w:rPr>
                <w:b/>
                <w:sz w:val="22"/>
                <w:lang w:val="en-GB"/>
              </w:rPr>
              <w:t>Institution</w:t>
            </w:r>
          </w:p>
        </w:tc>
      </w:tr>
      <w:tr w:rsidR="008A574C" w:rsidRPr="008A574C"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8A574C" w:rsidRPr="008A574C" w:rsidRDefault="008A574C" w:rsidP="008A574C">
            <w:pPr>
              <w:jc w:val="right"/>
              <w:rPr>
                <w:sz w:val="22"/>
                <w:lang w:val="en-GB"/>
              </w:rPr>
            </w:pPr>
          </w:p>
        </w:tc>
        <w:tc>
          <w:tcPr>
            <w:tcW w:w="731" w:type="pct"/>
            <w:tcBorders>
              <w:left w:val="single" w:sz="4" w:space="0" w:color="auto"/>
            </w:tcBorders>
            <w:shd w:val="clear" w:color="auto" w:fill="FFFFFF" w:themeFill="background1"/>
          </w:tcPr>
          <w:p w:rsidR="008A574C" w:rsidRPr="008A574C" w:rsidRDefault="008A574C" w:rsidP="008A574C">
            <w:pPr>
              <w:rPr>
                <w:snapToGrid w:val="0"/>
                <w:color w:val="000000"/>
                <w:sz w:val="22"/>
                <w:lang w:val="en-GB"/>
              </w:rPr>
            </w:pPr>
          </w:p>
        </w:tc>
        <w:tc>
          <w:tcPr>
            <w:tcW w:w="1088" w:type="pct"/>
            <w:shd w:val="clear" w:color="auto" w:fill="FFFFFF" w:themeFill="background1"/>
          </w:tcPr>
          <w:p w:rsidR="008A574C" w:rsidRPr="008A574C" w:rsidRDefault="008A574C" w:rsidP="008A574C">
            <w:pPr>
              <w:rPr>
                <w:snapToGrid w:val="0"/>
                <w:sz w:val="22"/>
                <w:lang w:val="en-GB"/>
              </w:rPr>
            </w:pPr>
          </w:p>
        </w:tc>
        <w:tc>
          <w:tcPr>
            <w:tcW w:w="915" w:type="pct"/>
            <w:shd w:val="clear" w:color="auto" w:fill="FFFFFF" w:themeFill="background1"/>
          </w:tcPr>
          <w:p w:rsidR="008A574C" w:rsidRPr="008A574C" w:rsidRDefault="008A574C" w:rsidP="008A574C">
            <w:pPr>
              <w:rPr>
                <w:snapToGrid w:val="0"/>
                <w:sz w:val="22"/>
                <w:lang w:val="en-GB"/>
              </w:rPr>
            </w:pPr>
          </w:p>
        </w:tc>
        <w:tc>
          <w:tcPr>
            <w:tcW w:w="1644" w:type="pct"/>
            <w:shd w:val="clear" w:color="auto" w:fill="FFFFFF" w:themeFill="background1"/>
          </w:tcPr>
          <w:p w:rsidR="008A574C" w:rsidRPr="008A574C" w:rsidRDefault="008A574C" w:rsidP="008A574C">
            <w:pPr>
              <w:rPr>
                <w:snapToGrid w:val="0"/>
                <w:color w:val="000000"/>
                <w:sz w:val="22"/>
                <w:lang w:val="en-GB"/>
              </w:rPr>
            </w:pPr>
          </w:p>
        </w:tc>
      </w:tr>
    </w:tbl>
    <w:p w:rsidR="00404D4D" w:rsidRDefault="00F23DA7" w:rsidP="003E5EFD">
      <w:pPr>
        <w:pStyle w:val="Title1"/>
      </w:pPr>
      <w:r>
        <w:br w:type="page"/>
      </w:r>
      <w:r w:rsidR="003E5EFD" w:rsidRPr="00E07780">
        <w:lastRenderedPageBreak/>
        <w:t>Meeting Agenda</w:t>
      </w:r>
    </w:p>
    <w:p w:rsidR="001B2789" w:rsidRDefault="001B2789" w:rsidP="001B2789">
      <w:pPr>
        <w:spacing w:after="0"/>
      </w:pPr>
      <w:r>
        <w:t>1. 2012 Conference Calls Schedule</w:t>
      </w:r>
    </w:p>
    <w:p w:rsidR="001B2789" w:rsidRDefault="001B2789" w:rsidP="001B2789">
      <w:pPr>
        <w:spacing w:after="0"/>
      </w:pPr>
      <w:r>
        <w:t>2. Approval/comments of December 20 minutes</w:t>
      </w:r>
    </w:p>
    <w:p w:rsidR="001B2789" w:rsidRDefault="001B2789" w:rsidP="001B2789">
      <w:pPr>
        <w:spacing w:after="0"/>
      </w:pPr>
      <w:r>
        <w:t>3. CA 203          GMP Parts and samples Update for SR2012 &amp; yearly summary (Jacques)</w:t>
      </w:r>
    </w:p>
    <w:p w:rsidR="001B2789" w:rsidRDefault="001B2789" w:rsidP="001B2789">
      <w:pPr>
        <w:spacing w:after="0"/>
      </w:pPr>
      <w:r>
        <w:t>4. CA 192          EIG+ Updates Review (Jacques)</w:t>
      </w:r>
    </w:p>
    <w:p w:rsidR="001B2789" w:rsidRDefault="001B2789" w:rsidP="001B2789">
      <w:pPr>
        <w:spacing w:after="0"/>
      </w:pPr>
      <w:r>
        <w:t>5. CA167           Consent Events /+ Schemes – Follow up (Sonda)</w:t>
      </w:r>
    </w:p>
    <w:p w:rsidR="001B2789" w:rsidRDefault="001B2789" w:rsidP="001B2789">
      <w:pPr>
        <w:spacing w:after="0"/>
      </w:pPr>
      <w:r>
        <w:t>6. CA 194/202   Reinvestment of Fund Cash Distribution (REIN) Code (Mari/Matthew)</w:t>
      </w:r>
    </w:p>
    <w:p w:rsidR="001B2789" w:rsidRDefault="001B2789" w:rsidP="001B2789">
      <w:pPr>
        <w:spacing w:after="0"/>
      </w:pPr>
      <w:r>
        <w:t>7. CA 218          Long-term and short-term capital gain in one event – NMPGs’ feedback (Sonda)</w:t>
      </w:r>
    </w:p>
    <w:p w:rsidR="001B2789" w:rsidRDefault="001B2789" w:rsidP="001B2789">
      <w:pPr>
        <w:spacing w:after="0"/>
      </w:pPr>
      <w:r>
        <w:t>8. CA 223          MT 56X - New Event Type for Partial Redemption in Pro-Rata (Bernard/Delphine)</w:t>
      </w:r>
    </w:p>
    <w:p w:rsidR="001B2789" w:rsidRDefault="001B2789" w:rsidP="001B2789">
      <w:pPr>
        <w:spacing w:after="0"/>
      </w:pPr>
      <w:r>
        <w:t>9. CA 224          MT 56X - New Event Type  INFO &amp; new INFO Indicator – NMPG’s feedback (Sonda/Bernard/Delphine)</w:t>
      </w:r>
    </w:p>
    <w:p w:rsidR="001B2789" w:rsidRDefault="001B2789" w:rsidP="001B2789">
      <w:pPr>
        <w:spacing w:after="0"/>
      </w:pPr>
      <w:r>
        <w:t>10. CA 225          MT 565 - Add Option Features, Rates and Narrative &amp; Remove OFFR – NMPG’s feedback (Sonda)</w:t>
      </w:r>
    </w:p>
    <w:p w:rsidR="001B2789" w:rsidRDefault="001B2789" w:rsidP="001B2789">
      <w:pPr>
        <w:spacing w:after="0"/>
      </w:pPr>
      <w:r>
        <w:t>11. CA 226        Disclosure (DSCL) event - Clarify usage / market practice (Sonda/Bernard/Delphine)</w:t>
      </w:r>
    </w:p>
    <w:p w:rsidR="001B2789" w:rsidRDefault="001B2789" w:rsidP="001B2789">
      <w:pPr>
        <w:spacing w:after="0"/>
        <w:rPr>
          <w:lang w:val="fr-BE"/>
        </w:rPr>
      </w:pPr>
      <w:r>
        <w:rPr>
          <w:lang w:val="fr-BE"/>
        </w:rPr>
        <w:t>12. Tax Subgroup update (Kim/Jean-Pierre)</w:t>
      </w:r>
    </w:p>
    <w:p w:rsidR="001B2789" w:rsidRDefault="001B2789" w:rsidP="001B2789">
      <w:pPr>
        <w:spacing w:after="0"/>
        <w:rPr>
          <w:lang w:val="en-GB"/>
        </w:rPr>
      </w:pPr>
      <w:r>
        <w:t>13. PV Subgroup  update (Christine)</w:t>
      </w:r>
    </w:p>
    <w:p w:rsidR="001B2789" w:rsidRDefault="008E586A" w:rsidP="00347CFB">
      <w:pPr>
        <w:pStyle w:val="Heading1"/>
      </w:pPr>
      <w:bookmarkStart w:id="3" w:name="_Toc317689211"/>
      <w:r>
        <w:t xml:space="preserve">Next  </w:t>
      </w:r>
      <w:r w:rsidR="001B2789">
        <w:t>2012 Conference Calls Schedule</w:t>
      </w:r>
      <w:bookmarkEnd w:id="3"/>
    </w:p>
    <w:p w:rsidR="008E586A" w:rsidRDefault="008E586A" w:rsidP="001B2789">
      <w:r>
        <w:t>On Wednesday’s Feb 29, March 28, May 23, June 27</w:t>
      </w:r>
    </w:p>
    <w:p w:rsidR="001B2789" w:rsidRPr="001B2789" w:rsidRDefault="008E586A" w:rsidP="001B2789">
      <w:r>
        <w:t>Reminder: Athens Global SMPG meeting : 24 to 26 April</w:t>
      </w:r>
    </w:p>
    <w:p w:rsidR="005507A9" w:rsidRDefault="005507A9" w:rsidP="00347CFB">
      <w:pPr>
        <w:pStyle w:val="Heading1"/>
      </w:pPr>
      <w:bookmarkStart w:id="4" w:name="_Toc317689212"/>
      <w:r>
        <w:t xml:space="preserve">Approval / comments on </w:t>
      </w:r>
      <w:r w:rsidR="008C2942">
        <w:t>December 20</w:t>
      </w:r>
      <w:r>
        <w:t xml:space="preserve"> minutes</w:t>
      </w:r>
      <w:bookmarkEnd w:id="4"/>
    </w:p>
    <w:p w:rsidR="008E586A" w:rsidRDefault="008E586A" w:rsidP="008E586A">
      <w:pPr>
        <w:rPr>
          <w:lang w:val="sv-SE"/>
        </w:rPr>
      </w:pPr>
      <w:r>
        <w:rPr>
          <w:lang w:val="sv-SE"/>
        </w:rPr>
        <w:t>The minutes were approved without comments.</w:t>
      </w:r>
    </w:p>
    <w:p w:rsidR="00347CFB" w:rsidRDefault="00DF3302" w:rsidP="00347CFB">
      <w:pPr>
        <w:pStyle w:val="Heading1"/>
      </w:pPr>
      <w:bookmarkStart w:id="5" w:name="_Toc317689213"/>
      <w:r>
        <w:t xml:space="preserve">CA 203 - </w:t>
      </w:r>
      <w:r w:rsidR="00D0145A">
        <w:t>GMP Parts and samples Update for SR2012 &amp; yearly summary</w:t>
      </w:r>
      <w:bookmarkEnd w:id="5"/>
    </w:p>
    <w:p w:rsidR="00EA773B" w:rsidRDefault="00D0145A" w:rsidP="007B210D">
      <w:pPr>
        <w:rPr>
          <w:b/>
          <w:u w:val="single"/>
        </w:rPr>
      </w:pPr>
      <w:r>
        <w:rPr>
          <w:b/>
          <w:u w:val="single"/>
        </w:rPr>
        <w:t>3</w:t>
      </w:r>
      <w:r w:rsidR="00AD2210" w:rsidRPr="007B210D">
        <w:rPr>
          <w:b/>
          <w:u w:val="single"/>
        </w:rPr>
        <w:t>.</w:t>
      </w:r>
      <w:r w:rsidR="00EA773B" w:rsidRPr="007B210D">
        <w:rPr>
          <w:b/>
          <w:u w:val="single"/>
        </w:rPr>
        <w:t>A – GMP Part 1</w:t>
      </w:r>
    </w:p>
    <w:p w:rsidR="00CC6C0F" w:rsidRDefault="00CC6C0F" w:rsidP="00CC6C0F">
      <w:pPr>
        <w:rPr>
          <w:lang w:val="sv-SE"/>
        </w:rPr>
      </w:pPr>
      <w:r>
        <w:rPr>
          <w:lang w:val="sv-SE"/>
        </w:rPr>
        <w:t xml:space="preserve">A few remaining question items remains to be solved by the GMP Part 1 subgroup. </w:t>
      </w:r>
    </w:p>
    <w:p w:rsidR="00CC6C0F" w:rsidRPr="007B210D" w:rsidRDefault="00CC6C0F" w:rsidP="00CC6C0F">
      <w:pPr>
        <w:rPr>
          <w:b/>
          <w:u w:val="single"/>
        </w:rPr>
      </w:pPr>
      <w:r>
        <w:rPr>
          <w:lang w:val="sv-SE"/>
        </w:rPr>
        <w:t xml:space="preserve">Jacques reminded everyone to review the latest version sent November 24. Jacques to add the CAPA Message Usage Guidelines from the SWIFT MX MUG and post a new version as a draft document on the SMPG website. Comments to be sent </w:t>
      </w:r>
      <w:r w:rsidR="00266BEE">
        <w:rPr>
          <w:lang w:val="sv-SE"/>
        </w:rPr>
        <w:t xml:space="preserve">to Jacques </w:t>
      </w:r>
      <w:r>
        <w:rPr>
          <w:lang w:val="sv-SE"/>
        </w:rPr>
        <w:t>ASAP.</w:t>
      </w:r>
    </w:p>
    <w:p w:rsidR="00B16734" w:rsidRDefault="00AD2210" w:rsidP="00AD2210">
      <w:pPr>
        <w:pStyle w:val="Actions"/>
        <w:rPr>
          <w:rFonts w:eastAsia="Helvetica"/>
        </w:rPr>
      </w:pPr>
      <w:r w:rsidRPr="00814542">
        <w:rPr>
          <w:rFonts w:eastAsia="Helvetica"/>
          <w:b/>
          <w:u w:val="single"/>
        </w:rPr>
        <w:t>Action</w:t>
      </w:r>
      <w:r w:rsidR="00266BEE">
        <w:rPr>
          <w:rFonts w:eastAsia="Helvetica"/>
          <w:b/>
          <w:u w:val="single"/>
        </w:rPr>
        <w:t>s</w:t>
      </w:r>
      <w:r>
        <w:rPr>
          <w:rFonts w:eastAsia="Helvetica"/>
        </w:rPr>
        <w:t xml:space="preserve">: </w:t>
      </w:r>
    </w:p>
    <w:p w:rsidR="00CC6C0F" w:rsidRDefault="00CC6C0F" w:rsidP="00B16734">
      <w:pPr>
        <w:pStyle w:val="Actions"/>
        <w:numPr>
          <w:ilvl w:val="0"/>
          <w:numId w:val="19"/>
        </w:numPr>
        <w:rPr>
          <w:rFonts w:eastAsia="Helvetica"/>
        </w:rPr>
      </w:pPr>
      <w:r>
        <w:rPr>
          <w:rFonts w:eastAsia="Helvetica"/>
        </w:rPr>
        <w:t>Jacques to add CAPA MUG in part 1</w:t>
      </w:r>
    </w:p>
    <w:p w:rsidR="00EA773B" w:rsidRDefault="00EA773B" w:rsidP="00B16734">
      <w:pPr>
        <w:pStyle w:val="Actions"/>
        <w:numPr>
          <w:ilvl w:val="0"/>
          <w:numId w:val="19"/>
        </w:numPr>
        <w:rPr>
          <w:rFonts w:eastAsia="Helvetica"/>
        </w:rPr>
      </w:pPr>
      <w:r>
        <w:rPr>
          <w:rFonts w:eastAsia="Helvetica"/>
        </w:rPr>
        <w:t xml:space="preserve">NMPGs </w:t>
      </w:r>
      <w:r w:rsidR="00AD2210">
        <w:rPr>
          <w:rFonts w:eastAsia="Helvetica"/>
        </w:rPr>
        <w:t xml:space="preserve">review feedback to be sent to Jacques </w:t>
      </w:r>
      <w:r w:rsidR="00CC6C0F">
        <w:rPr>
          <w:rFonts w:eastAsia="Helvetica"/>
        </w:rPr>
        <w:t>ASAP</w:t>
      </w:r>
      <w:r>
        <w:rPr>
          <w:rFonts w:eastAsia="Helvetica"/>
        </w:rPr>
        <w:t>.</w:t>
      </w:r>
    </w:p>
    <w:p w:rsidR="00457903" w:rsidRDefault="00457903" w:rsidP="00B16734">
      <w:pPr>
        <w:pStyle w:val="Actions"/>
        <w:numPr>
          <w:ilvl w:val="0"/>
          <w:numId w:val="19"/>
        </w:numPr>
        <w:rPr>
          <w:rFonts w:eastAsia="Helvetica"/>
        </w:rPr>
      </w:pPr>
      <w:r>
        <w:rPr>
          <w:rFonts w:eastAsia="Helvetica"/>
        </w:rPr>
        <w:t xml:space="preserve">GMP Part 1 subgroup to </w:t>
      </w:r>
      <w:r w:rsidR="00CC6C0F">
        <w:rPr>
          <w:rFonts w:eastAsia="Helvetica"/>
        </w:rPr>
        <w:t xml:space="preserve">organise a conf call and </w:t>
      </w:r>
      <w:r>
        <w:rPr>
          <w:rFonts w:eastAsia="Helvetica"/>
        </w:rPr>
        <w:t xml:space="preserve">look at </w:t>
      </w:r>
      <w:r w:rsidR="00CC6C0F">
        <w:rPr>
          <w:rFonts w:eastAsia="Helvetica"/>
        </w:rPr>
        <w:t xml:space="preserve">the </w:t>
      </w:r>
      <w:r>
        <w:rPr>
          <w:rFonts w:eastAsia="Helvetica"/>
        </w:rPr>
        <w:t xml:space="preserve">4 remaining </w:t>
      </w:r>
      <w:r w:rsidR="00CC6C0F">
        <w:rPr>
          <w:rFonts w:eastAsia="Helvetica"/>
        </w:rPr>
        <w:t>issues.</w:t>
      </w:r>
    </w:p>
    <w:p w:rsidR="00EA773B" w:rsidRDefault="00D0145A" w:rsidP="007B210D">
      <w:pPr>
        <w:rPr>
          <w:rFonts w:eastAsia="Helvetica"/>
          <w:b/>
          <w:u w:val="single"/>
        </w:rPr>
      </w:pPr>
      <w:r>
        <w:rPr>
          <w:rFonts w:eastAsia="Helvetica"/>
          <w:b/>
          <w:u w:val="single"/>
        </w:rPr>
        <w:t>3</w:t>
      </w:r>
      <w:r w:rsidR="00AD2210" w:rsidRPr="007B210D">
        <w:rPr>
          <w:rFonts w:eastAsia="Helvetica"/>
          <w:b/>
          <w:u w:val="single"/>
        </w:rPr>
        <w:t xml:space="preserve">.B – </w:t>
      </w:r>
      <w:r w:rsidR="00EA773B" w:rsidRPr="007B210D">
        <w:rPr>
          <w:rFonts w:eastAsia="Helvetica"/>
          <w:b/>
          <w:u w:val="single"/>
        </w:rPr>
        <w:t>Templates</w:t>
      </w:r>
    </w:p>
    <w:p w:rsidR="00266BEE" w:rsidRPr="00266BEE" w:rsidRDefault="00266BEE" w:rsidP="007B210D">
      <w:pPr>
        <w:rPr>
          <w:rFonts w:eastAsia="Helvetica"/>
        </w:rPr>
      </w:pPr>
      <w:r w:rsidRPr="00266BEE">
        <w:rPr>
          <w:rFonts w:eastAsia="Helvetica"/>
        </w:rPr>
        <w:t>Almost complete</w:t>
      </w:r>
      <w:r>
        <w:rPr>
          <w:rFonts w:eastAsia="Helvetica"/>
        </w:rPr>
        <w:t xml:space="preserve"> – see remaining actions</w:t>
      </w:r>
    </w:p>
    <w:p w:rsidR="00266BEE" w:rsidRDefault="00266BEE" w:rsidP="00266BEE">
      <w:pPr>
        <w:pStyle w:val="Actions"/>
        <w:rPr>
          <w:rFonts w:eastAsia="Helvetica"/>
        </w:rPr>
      </w:pPr>
      <w:r w:rsidRPr="00814542">
        <w:rPr>
          <w:rFonts w:eastAsia="Helvetica"/>
          <w:b/>
          <w:u w:val="single"/>
        </w:rPr>
        <w:t>Action</w:t>
      </w:r>
      <w:r>
        <w:rPr>
          <w:rFonts w:eastAsia="Helvetica"/>
          <w:b/>
          <w:u w:val="single"/>
        </w:rPr>
        <w:t>s</w:t>
      </w:r>
      <w:r>
        <w:rPr>
          <w:rFonts w:eastAsia="Helvetica"/>
        </w:rPr>
        <w:t xml:space="preserve">: </w:t>
      </w:r>
    </w:p>
    <w:p w:rsidR="00266BEE" w:rsidRPr="00266BEE" w:rsidRDefault="00266BEE" w:rsidP="00266BEE">
      <w:pPr>
        <w:pStyle w:val="Actions"/>
        <w:numPr>
          <w:ilvl w:val="0"/>
          <w:numId w:val="19"/>
        </w:numPr>
        <w:rPr>
          <w:rFonts w:eastAsia="Helvetica"/>
        </w:rPr>
      </w:pPr>
      <w:r w:rsidRPr="00266BEE">
        <w:rPr>
          <w:lang w:val="sv-SE"/>
        </w:rPr>
        <w:t>Kim needs to send SOFF CHOS sample ASAP</w:t>
      </w:r>
    </w:p>
    <w:p w:rsidR="00EA773B" w:rsidRPr="00266BEE" w:rsidRDefault="00266BEE" w:rsidP="00266BEE">
      <w:pPr>
        <w:pStyle w:val="Actions"/>
        <w:numPr>
          <w:ilvl w:val="0"/>
          <w:numId w:val="19"/>
        </w:numPr>
        <w:rPr>
          <w:rFonts w:eastAsia="Helvetica"/>
        </w:rPr>
      </w:pPr>
      <w:r w:rsidRPr="00266BEE">
        <w:rPr>
          <w:lang w:val="sv-SE"/>
        </w:rPr>
        <w:t>Sonda to respond to Jacques’ questions for CLSA event sample</w:t>
      </w:r>
      <w:r w:rsidR="00EA773B" w:rsidRPr="00266BEE">
        <w:rPr>
          <w:rFonts w:eastAsia="Helvetica"/>
        </w:rPr>
        <w:t>.</w:t>
      </w:r>
    </w:p>
    <w:p w:rsidR="00EA773B" w:rsidRDefault="00D0145A" w:rsidP="007B210D">
      <w:pPr>
        <w:rPr>
          <w:rFonts w:eastAsia="Helvetica"/>
          <w:b/>
          <w:u w:val="single"/>
        </w:rPr>
      </w:pPr>
      <w:r>
        <w:rPr>
          <w:rFonts w:eastAsia="Helvetica"/>
          <w:b/>
          <w:u w:val="single"/>
        </w:rPr>
        <w:t>3</w:t>
      </w:r>
      <w:r w:rsidR="00814542" w:rsidRPr="007B210D">
        <w:rPr>
          <w:rFonts w:eastAsia="Helvetica"/>
          <w:b/>
          <w:u w:val="single"/>
        </w:rPr>
        <w:t xml:space="preserve">.C – </w:t>
      </w:r>
      <w:r w:rsidR="00EA773B" w:rsidRPr="007B210D">
        <w:rPr>
          <w:rFonts w:eastAsia="Helvetica"/>
          <w:b/>
          <w:u w:val="single"/>
        </w:rPr>
        <w:t>GMP</w:t>
      </w:r>
      <w:r w:rsidR="00814542" w:rsidRPr="007B210D">
        <w:rPr>
          <w:rFonts w:eastAsia="Helvetica"/>
          <w:b/>
          <w:u w:val="single"/>
        </w:rPr>
        <w:t xml:space="preserve"> Part </w:t>
      </w:r>
      <w:r w:rsidR="00EA773B" w:rsidRPr="007B210D">
        <w:rPr>
          <w:rFonts w:eastAsia="Helvetica"/>
          <w:b/>
          <w:u w:val="single"/>
        </w:rPr>
        <w:t>2</w:t>
      </w:r>
    </w:p>
    <w:p w:rsidR="00266BEE" w:rsidRPr="007B210D" w:rsidRDefault="00266BEE" w:rsidP="00266BEE">
      <w:pPr>
        <w:rPr>
          <w:rFonts w:eastAsia="ヒラギノ角ゴ Pro W3"/>
          <w:b/>
          <w:u w:val="single"/>
        </w:rPr>
      </w:pPr>
      <w:r>
        <w:rPr>
          <w:lang w:val="sv-SE"/>
        </w:rPr>
        <w:t>NMPGs to provide their feedback on GG and country column updates, record date usage. A number of markets have responded, but not all.</w:t>
      </w:r>
    </w:p>
    <w:p w:rsidR="00E200A9" w:rsidRDefault="00814542" w:rsidP="00814542">
      <w:pPr>
        <w:pStyle w:val="Actions"/>
      </w:pPr>
      <w:r w:rsidRPr="008A52EA">
        <w:rPr>
          <w:u w:val="single"/>
        </w:rPr>
        <w:t>Actions</w:t>
      </w:r>
      <w:r>
        <w:t>:</w:t>
      </w:r>
    </w:p>
    <w:p w:rsidR="00814542" w:rsidRDefault="00814542" w:rsidP="00814542">
      <w:pPr>
        <w:pStyle w:val="Actions"/>
      </w:pPr>
      <w:r>
        <w:t xml:space="preserve"> </w:t>
      </w:r>
      <w:r>
        <w:rPr>
          <w:u w:val="single"/>
        </w:rPr>
        <w:t xml:space="preserve">NMPGs to provide </w:t>
      </w:r>
      <w:r w:rsidR="00266BEE">
        <w:rPr>
          <w:u w:val="single"/>
        </w:rPr>
        <w:t>ASAP</w:t>
      </w:r>
      <w:r w:rsidR="00E200A9">
        <w:rPr>
          <w:u w:val="single"/>
        </w:rPr>
        <w:t xml:space="preserve"> to Jacques</w:t>
      </w:r>
      <w:r w:rsidR="008A52EA">
        <w:t xml:space="preserve">: </w:t>
      </w:r>
    </w:p>
    <w:p w:rsidR="00814542" w:rsidRDefault="008A52EA" w:rsidP="006953DE">
      <w:pPr>
        <w:pStyle w:val="Actions"/>
        <w:numPr>
          <w:ilvl w:val="0"/>
          <w:numId w:val="10"/>
        </w:numPr>
      </w:pPr>
      <w:r>
        <w:lastRenderedPageBreak/>
        <w:t xml:space="preserve">EIG+ </w:t>
      </w:r>
      <w:r w:rsidR="00814542">
        <w:t xml:space="preserve">Global Grid review feedback </w:t>
      </w:r>
      <w:r w:rsidR="002B6054">
        <w:t>+</w:t>
      </w:r>
      <w:r w:rsidR="00E200A9">
        <w:t xml:space="preserve"> review all “Optional” and see which ones should become “Mandatory”</w:t>
      </w:r>
    </w:p>
    <w:p w:rsidR="00814542" w:rsidRDefault="008A52EA" w:rsidP="006953DE">
      <w:pPr>
        <w:pStyle w:val="Actions"/>
        <w:numPr>
          <w:ilvl w:val="0"/>
          <w:numId w:val="10"/>
        </w:numPr>
      </w:pPr>
      <w:r>
        <w:t>Country Co</w:t>
      </w:r>
      <w:r w:rsidR="001C3DAA">
        <w:t>lumn</w:t>
      </w:r>
      <w:r w:rsidR="00814542">
        <w:t xml:space="preserve"> updates and Delta info</w:t>
      </w:r>
      <w:r w:rsidR="001C3DAA">
        <w:t xml:space="preserve"> </w:t>
      </w:r>
      <w:r w:rsidR="00DC0806">
        <w:t>with SR2011</w:t>
      </w:r>
    </w:p>
    <w:p w:rsidR="001C3DAA" w:rsidRPr="002B2602" w:rsidRDefault="001C3DAA" w:rsidP="006953DE">
      <w:pPr>
        <w:pStyle w:val="Actions"/>
        <w:numPr>
          <w:ilvl w:val="0"/>
          <w:numId w:val="10"/>
        </w:numPr>
        <w:rPr>
          <w:u w:val="single"/>
        </w:rPr>
      </w:pPr>
      <w:r>
        <w:t>RDTE usage input in t</w:t>
      </w:r>
      <w:r w:rsidR="002A1D10">
        <w:t xml:space="preserve">he “Record Date Tracking” table in GMP Part 2. </w:t>
      </w:r>
    </w:p>
    <w:p w:rsidR="002B2602" w:rsidRDefault="002B2602" w:rsidP="002B2602">
      <w:pPr>
        <w:pStyle w:val="Actions"/>
        <w:rPr>
          <w:b/>
          <w:color w:val="auto"/>
          <w:u w:val="single"/>
        </w:rPr>
      </w:pPr>
      <w:r>
        <w:rPr>
          <w:b/>
          <w:color w:val="auto"/>
          <w:u w:val="single"/>
        </w:rPr>
        <w:t>3.D</w:t>
      </w:r>
      <w:r w:rsidRPr="005507A9">
        <w:rPr>
          <w:b/>
          <w:color w:val="auto"/>
          <w:u w:val="single"/>
        </w:rPr>
        <w:t xml:space="preserve"> – </w:t>
      </w:r>
      <w:r>
        <w:rPr>
          <w:b/>
          <w:color w:val="auto"/>
          <w:u w:val="single"/>
        </w:rPr>
        <w:t>GMP Part 3</w:t>
      </w:r>
    </w:p>
    <w:p w:rsidR="002B2602" w:rsidRPr="002B2602" w:rsidRDefault="002B2602" w:rsidP="002B2602">
      <w:pPr>
        <w:pStyle w:val="Actions"/>
        <w:rPr>
          <w:color w:val="000000" w:themeColor="text1"/>
        </w:rPr>
      </w:pPr>
      <w:r w:rsidRPr="002B2602">
        <w:rPr>
          <w:color w:val="000000" w:themeColor="text1"/>
        </w:rPr>
        <w:t>No Changes</w:t>
      </w:r>
    </w:p>
    <w:p w:rsidR="005507A9" w:rsidRDefault="00D0145A" w:rsidP="008A52EA">
      <w:pPr>
        <w:pStyle w:val="Actions"/>
        <w:rPr>
          <w:b/>
          <w:color w:val="auto"/>
          <w:u w:val="single"/>
        </w:rPr>
      </w:pPr>
      <w:r>
        <w:rPr>
          <w:b/>
          <w:color w:val="auto"/>
          <w:u w:val="single"/>
        </w:rPr>
        <w:t>3</w:t>
      </w:r>
      <w:r w:rsidR="002B2602">
        <w:rPr>
          <w:b/>
          <w:color w:val="auto"/>
          <w:u w:val="single"/>
        </w:rPr>
        <w:t>.E</w:t>
      </w:r>
      <w:r w:rsidR="005507A9" w:rsidRPr="005507A9">
        <w:rPr>
          <w:b/>
          <w:color w:val="auto"/>
          <w:u w:val="single"/>
        </w:rPr>
        <w:t xml:space="preserve"> – Summary of Changes</w:t>
      </w:r>
    </w:p>
    <w:p w:rsidR="00D0145A" w:rsidRDefault="001C5442" w:rsidP="001C5442">
      <w:pPr>
        <w:pStyle w:val="Actions"/>
      </w:pPr>
      <w:r w:rsidRPr="001C5442">
        <w:rPr>
          <w:u w:val="single"/>
        </w:rPr>
        <w:t>Action</w:t>
      </w:r>
      <w:r w:rsidRPr="001C5442">
        <w:t xml:space="preserve">: Christine </w:t>
      </w:r>
      <w:r w:rsidR="00D0145A">
        <w:t>to send a draft for next Monday</w:t>
      </w:r>
    </w:p>
    <w:p w:rsidR="00B63937" w:rsidRDefault="00B63937" w:rsidP="00B63937">
      <w:pPr>
        <w:pStyle w:val="Heading1"/>
      </w:pPr>
      <w:bookmarkStart w:id="6" w:name="_Toc317689214"/>
      <w:r>
        <w:t>CA 192 - EIG+ Updates Review</w:t>
      </w:r>
      <w:bookmarkEnd w:id="6"/>
    </w:p>
    <w:p w:rsidR="00B63937" w:rsidRDefault="00B63937" w:rsidP="00B63937">
      <w:r>
        <w:t>Checking remaining action items:</w:t>
      </w:r>
    </w:p>
    <w:p w:rsidR="00B63937" w:rsidRPr="00E26694" w:rsidRDefault="00B63937" w:rsidP="00E26694">
      <w:pPr>
        <w:pStyle w:val="Actions"/>
        <w:numPr>
          <w:ilvl w:val="0"/>
          <w:numId w:val="20"/>
        </w:numPr>
        <w:rPr>
          <w:color w:val="000000" w:themeColor="text1"/>
        </w:rPr>
      </w:pPr>
      <w:r w:rsidRPr="00E26694">
        <w:rPr>
          <w:color w:val="000000" w:themeColor="text1"/>
        </w:rPr>
        <w:t>Action 2:  Record date table – covered in CA 203 above</w:t>
      </w:r>
    </w:p>
    <w:p w:rsidR="00B63937" w:rsidRDefault="00B63937" w:rsidP="00E26694">
      <w:pPr>
        <w:pStyle w:val="Actions"/>
        <w:numPr>
          <w:ilvl w:val="0"/>
          <w:numId w:val="20"/>
        </w:numPr>
      </w:pPr>
      <w:r>
        <w:t>Action 7: Jacques still to include DRIP / DVOP document (from CA 139) in GMP Part 1</w:t>
      </w:r>
    </w:p>
    <w:p w:rsidR="00B63937" w:rsidRDefault="00B63937" w:rsidP="00E26694">
      <w:pPr>
        <w:pStyle w:val="Actions"/>
        <w:numPr>
          <w:ilvl w:val="0"/>
          <w:numId w:val="20"/>
        </w:numPr>
      </w:pPr>
      <w:r>
        <w:t xml:space="preserve">Action </w:t>
      </w:r>
      <w:r w:rsidR="00E26694">
        <w:t>13: INCE / SOFE redundancy – Jacques  to make separate open item to be rediscussed before SR2013 CR deadline (April meeting).</w:t>
      </w:r>
    </w:p>
    <w:p w:rsidR="00E26694" w:rsidRPr="00E26694" w:rsidRDefault="00E26694" w:rsidP="00E26694">
      <w:pPr>
        <w:pStyle w:val="Actions"/>
        <w:numPr>
          <w:ilvl w:val="0"/>
          <w:numId w:val="20"/>
        </w:numPr>
      </w:pPr>
      <w:r w:rsidRPr="00E26694">
        <w:t xml:space="preserve">Action 15: </w:t>
      </w:r>
      <w:r w:rsidRPr="00E26694">
        <w:rPr>
          <w:lang w:val="sv-SE"/>
        </w:rPr>
        <w:t>: Affected markets requested to add this to their country columns.</w:t>
      </w:r>
    </w:p>
    <w:p w:rsidR="001C5442" w:rsidRDefault="001C5442" w:rsidP="00347CFB">
      <w:pPr>
        <w:pStyle w:val="Heading1"/>
      </w:pPr>
      <w:bookmarkStart w:id="7" w:name="_Toc317689215"/>
      <w:r>
        <w:t>CA 167 – US Consent Events /+ Schemes - Clarify business flows (ISITC)</w:t>
      </w:r>
      <w:bookmarkEnd w:id="7"/>
    </w:p>
    <w:p w:rsidR="00FD5CA2" w:rsidRDefault="00FD5CA2" w:rsidP="00FD5CA2">
      <w:pPr>
        <w:rPr>
          <w:lang w:val="sv-SE"/>
        </w:rPr>
      </w:pPr>
      <w:r w:rsidRPr="00AC3C92">
        <w:rPr>
          <w:lang w:val="sv-SE"/>
        </w:rPr>
        <w:t>Sonda and Bernard have n</w:t>
      </w:r>
      <w:r w:rsidR="00AC3C92" w:rsidRPr="00AC3C92">
        <w:rPr>
          <w:lang w:val="sv-SE"/>
        </w:rPr>
        <w:t>ot yet been able to discuss the document submitted by Sonda in December (see attachd document)</w:t>
      </w:r>
      <w:r w:rsidRPr="00AC3C92">
        <w:rPr>
          <w:lang w:val="sv-SE"/>
        </w:rPr>
        <w:t>. Sonda, Bernard and Delphine need to discuss the issue</w:t>
      </w:r>
      <w:r w:rsidR="00AC3C92" w:rsidRPr="00AC3C92">
        <w:rPr>
          <w:lang w:val="sv-SE"/>
        </w:rPr>
        <w:t xml:space="preserve"> before bringing it to the SMPG.</w:t>
      </w:r>
      <w:r w:rsidRPr="00AC3C92">
        <w:rPr>
          <w:lang w:val="sv-SE"/>
        </w:rPr>
        <w:t xml:space="preserve"> They will revert to the WG at the February </w:t>
      </w:r>
      <w:r w:rsidR="00AC3C92">
        <w:rPr>
          <w:lang w:val="sv-SE"/>
        </w:rPr>
        <w:t xml:space="preserve">29 </w:t>
      </w:r>
      <w:r w:rsidRPr="00AC3C92">
        <w:rPr>
          <w:lang w:val="sv-SE"/>
        </w:rPr>
        <w:t>call.</w:t>
      </w:r>
    </w:p>
    <w:p w:rsidR="00AC3C92" w:rsidRDefault="00AC3C92" w:rsidP="00FD5CA2">
      <w:pPr>
        <w:rPr>
          <w:rFonts w:ascii="Palatino" w:hAnsi="Palatino"/>
          <w:sz w:val="22"/>
          <w:szCs w:val="22"/>
          <w:lang w:val="sv-SE"/>
        </w:rPr>
      </w:pPr>
      <w:r>
        <w:rPr>
          <w:rFonts w:ascii="Palatino" w:hAnsi="Palatino"/>
          <w:sz w:val="22"/>
          <w:szCs w:val="22"/>
          <w:lang w:val="sv-SE"/>
        </w:rPr>
        <w:object w:dxaOrig="1534" w:dyaOrig="993">
          <v:shape id="_x0000_i1028" type="#_x0000_t75" style="width:76.5pt;height:49.5pt" o:ole="">
            <v:imagedata r:id="rId11" o:title=""/>
          </v:shape>
          <o:OLEObject Type="Embed" ProgID="Word.Document.8" ShapeID="_x0000_i1028" DrawAspect="Icon" ObjectID="_1391431356" r:id="rId12">
            <o:FieldCodes>\s</o:FieldCodes>
          </o:OLEObject>
        </w:object>
      </w:r>
    </w:p>
    <w:p w:rsidR="00214D22" w:rsidRPr="00214D22" w:rsidRDefault="00214D22" w:rsidP="00214D22">
      <w:pPr>
        <w:rPr>
          <w:lang w:val="sv-SE"/>
        </w:rPr>
      </w:pPr>
      <w:r w:rsidRPr="00214D22">
        <w:rPr>
          <w:u w:val="single"/>
          <w:lang w:val="sv-SE"/>
        </w:rPr>
        <w:t>ZA</w:t>
      </w:r>
      <w:r w:rsidRPr="00214D22">
        <w:rPr>
          <w:lang w:val="sv-SE"/>
        </w:rPr>
        <w:t xml:space="preserve"> </w:t>
      </w:r>
      <w:r w:rsidRPr="00214D22">
        <w:rPr>
          <w:u w:val="single"/>
          <w:lang w:val="sv-SE"/>
        </w:rPr>
        <w:t>written feedack</w:t>
      </w:r>
      <w:r w:rsidRPr="00214D22">
        <w:rPr>
          <w:lang w:val="sv-SE"/>
        </w:rPr>
        <w:t xml:space="preserve">: </w:t>
      </w:r>
      <w:r w:rsidRPr="00214D22">
        <w:t>Solicitation fees are not used as consent fees in the South African market (ZA). Consent events are processed as proxy events and are thus not combined with Tender and Exchange events.</w:t>
      </w:r>
    </w:p>
    <w:p w:rsidR="00534E47" w:rsidRDefault="001B1DAD" w:rsidP="001B1DAD">
      <w:pPr>
        <w:pStyle w:val="Actions"/>
      </w:pPr>
      <w:r w:rsidRPr="001B1DAD">
        <w:rPr>
          <w:u w:val="single"/>
        </w:rPr>
        <w:t>Actions</w:t>
      </w:r>
      <w:r>
        <w:t>:</w:t>
      </w:r>
    </w:p>
    <w:p w:rsidR="001B1DAD" w:rsidRDefault="001B1DAD" w:rsidP="001B1DAD">
      <w:pPr>
        <w:pStyle w:val="Actions"/>
        <w:numPr>
          <w:ilvl w:val="0"/>
          <w:numId w:val="16"/>
        </w:numPr>
      </w:pPr>
      <w:r w:rsidRPr="00C12CB2">
        <w:rPr>
          <w:u w:val="single"/>
        </w:rPr>
        <w:t>Delphine</w:t>
      </w:r>
      <w:r>
        <w:t xml:space="preserve"> to send example of CHAN used with consent (item 4 of the document)</w:t>
      </w:r>
    </w:p>
    <w:p w:rsidR="001B1DAD" w:rsidRDefault="001B1DAD" w:rsidP="001B1DAD">
      <w:pPr>
        <w:pStyle w:val="Actions"/>
        <w:numPr>
          <w:ilvl w:val="0"/>
          <w:numId w:val="16"/>
        </w:numPr>
      </w:pPr>
      <w:r w:rsidRPr="00C12CB2">
        <w:rPr>
          <w:u w:val="single"/>
        </w:rPr>
        <w:t>NMPG’s</w:t>
      </w:r>
      <w:r>
        <w:t xml:space="preserve"> to provide feedback on the question: “Is solicitation fee used as consent fee in other markets” ? (Item 9 of the doc)</w:t>
      </w:r>
    </w:p>
    <w:p w:rsidR="001B1DAD" w:rsidRDefault="001B1DAD" w:rsidP="001B1DAD">
      <w:pPr>
        <w:pStyle w:val="Actions"/>
        <w:numPr>
          <w:ilvl w:val="0"/>
          <w:numId w:val="16"/>
        </w:numPr>
      </w:pPr>
      <w:r w:rsidRPr="00C12CB2">
        <w:rPr>
          <w:u w:val="single"/>
        </w:rPr>
        <w:t>Proxy Voting subgroup</w:t>
      </w:r>
      <w:r>
        <w:t xml:space="preserve"> to look at item 10</w:t>
      </w:r>
      <w:r w:rsidRPr="001B1DAD">
        <w:t xml:space="preserve"> </w:t>
      </w:r>
      <w:r>
        <w:t xml:space="preserve"> (Should a vote be handled as a proxy or consent event).</w:t>
      </w:r>
    </w:p>
    <w:p w:rsidR="00AC3C92" w:rsidRDefault="008F2EED" w:rsidP="00AC3C92">
      <w:pPr>
        <w:pStyle w:val="Heading1"/>
      </w:pPr>
      <w:bookmarkStart w:id="8" w:name="_Toc317689216"/>
      <w:r>
        <w:t xml:space="preserve">CA 194/202 - </w:t>
      </w:r>
      <w:r w:rsidR="00AC3C92">
        <w:t>Reinvestment of Fund Cash Distribution (REIN) Code (Mari/Matthew)</w:t>
      </w:r>
      <w:bookmarkEnd w:id="8"/>
    </w:p>
    <w:p w:rsidR="006E6F68" w:rsidRDefault="00C12CB2" w:rsidP="00C12CB2">
      <w:pPr>
        <w:pStyle w:val="Actions"/>
      </w:pPr>
      <w:r w:rsidRPr="00C12CB2">
        <w:rPr>
          <w:u w:val="single"/>
        </w:rPr>
        <w:t>Action</w:t>
      </w:r>
      <w:r>
        <w:t xml:space="preserve">: </w:t>
      </w:r>
      <w:r w:rsidRPr="00C12CB2">
        <w:rPr>
          <w:u w:val="single"/>
        </w:rPr>
        <w:t>Mari</w:t>
      </w:r>
      <w:r>
        <w:t xml:space="preserve"> to create a document, to be distributed in time for either the February or March call. Postponed until then.</w:t>
      </w:r>
    </w:p>
    <w:p w:rsidR="006E6F68" w:rsidRPr="006E6F68" w:rsidRDefault="006E6F68" w:rsidP="00C12CB2">
      <w:pPr>
        <w:pStyle w:val="Actions"/>
        <w:rPr>
          <w:color w:val="548DD4" w:themeColor="text2" w:themeTint="99"/>
        </w:rPr>
      </w:pPr>
      <w:r w:rsidRPr="006E6F68">
        <w:rPr>
          <w:color w:val="548DD4" w:themeColor="text2" w:themeTint="99"/>
        </w:rPr>
        <w:t>See document here below:</w:t>
      </w:r>
    </w:p>
    <w:p w:rsidR="006E6F68" w:rsidRDefault="006E6F68" w:rsidP="00C12CB2">
      <w:pPr>
        <w:pStyle w:val="Actions"/>
      </w:pPr>
      <w:r>
        <w:object w:dxaOrig="1534" w:dyaOrig="993">
          <v:shape id="_x0000_i1030" type="#_x0000_t75" style="width:76.5pt;height:49.5pt" o:ole="">
            <v:imagedata r:id="rId13" o:title=""/>
          </v:shape>
          <o:OLEObject Type="Embed" ProgID="Word.Document.8" ShapeID="_x0000_i1030" DrawAspect="Icon" ObjectID="_1391431357" r:id="rId14">
            <o:FieldCodes>\s</o:FieldCodes>
          </o:OLEObject>
        </w:object>
      </w:r>
    </w:p>
    <w:p w:rsidR="00AC3C92" w:rsidRDefault="008F2EED" w:rsidP="00AC3C92">
      <w:pPr>
        <w:pStyle w:val="Heading1"/>
      </w:pPr>
      <w:bookmarkStart w:id="9" w:name="_Toc317689217"/>
      <w:r>
        <w:lastRenderedPageBreak/>
        <w:t xml:space="preserve">CA 218 - </w:t>
      </w:r>
      <w:r w:rsidR="00AC3C92">
        <w:t>Long-term and short-term capital gain in one event – NMPGs’ feedback (Sonda)</w:t>
      </w:r>
      <w:bookmarkEnd w:id="9"/>
    </w:p>
    <w:p w:rsidR="001146D2" w:rsidRDefault="001146D2" w:rsidP="001146D2">
      <w:r>
        <w:t>No NMPG feedback provided at this call</w:t>
      </w:r>
    </w:p>
    <w:p w:rsidR="00C12CB2" w:rsidRPr="00977073" w:rsidRDefault="00977073" w:rsidP="00977073">
      <w:pPr>
        <w:pStyle w:val="Actions"/>
      </w:pPr>
      <w:r w:rsidRPr="00977073">
        <w:rPr>
          <w:u w:val="single"/>
        </w:rPr>
        <w:t>Action</w:t>
      </w:r>
      <w:r>
        <w:t xml:space="preserve">: </w:t>
      </w:r>
      <w:r w:rsidR="00C12CB2" w:rsidRPr="00977073">
        <w:t>NMP</w:t>
      </w:r>
      <w:r w:rsidR="001146D2">
        <w:t xml:space="preserve">Gs to provide feedback (approve </w:t>
      </w:r>
      <w:r w:rsidR="000B0127">
        <w:t>or abstain</w:t>
      </w:r>
      <w:r w:rsidR="001146D2">
        <w:t xml:space="preserve"> or</w:t>
      </w:r>
      <w:r w:rsidR="00C12CB2" w:rsidRPr="00977073">
        <w:t xml:space="preserve"> questions) by February</w:t>
      </w:r>
      <w:r>
        <w:t xml:space="preserve"> conference call</w:t>
      </w:r>
      <w:r w:rsidR="00C12CB2" w:rsidRPr="00977073">
        <w:t>; if no input is received, the document will be approved at next call.</w:t>
      </w:r>
    </w:p>
    <w:p w:rsidR="00AC3C92" w:rsidRDefault="00AC3C92" w:rsidP="00AC3C92">
      <w:pPr>
        <w:pStyle w:val="Heading1"/>
      </w:pPr>
      <w:bookmarkStart w:id="10" w:name="_Toc317689218"/>
      <w:r>
        <w:t>CA 223</w:t>
      </w:r>
      <w:r w:rsidR="008F2EED">
        <w:t xml:space="preserve"> - </w:t>
      </w:r>
      <w:r>
        <w:t>MT 56X - New Event Type for Partial Redemption in Pro-Rata (Bernard/Delphine)</w:t>
      </w:r>
      <w:bookmarkEnd w:id="10"/>
    </w:p>
    <w:p w:rsidR="005508A1" w:rsidRDefault="005508A1" w:rsidP="00C12CB2">
      <w:pPr>
        <w:rPr>
          <w:lang w:val="sv-SE"/>
        </w:rPr>
      </w:pPr>
      <w:r>
        <w:rPr>
          <w:lang w:val="sv-SE"/>
        </w:rPr>
        <w:t>We can consider that there are f</w:t>
      </w:r>
      <w:r w:rsidR="00C12CB2" w:rsidRPr="005508A1">
        <w:rPr>
          <w:lang w:val="sv-SE"/>
        </w:rPr>
        <w:t xml:space="preserve">our types of partial redemptions in the market; out of which three have their own CAEV codes. </w:t>
      </w:r>
    </w:p>
    <w:p w:rsidR="005508A1" w:rsidRDefault="00C12CB2" w:rsidP="00C12CB2">
      <w:pPr>
        <w:rPr>
          <w:lang w:val="sv-SE"/>
        </w:rPr>
      </w:pPr>
      <w:r w:rsidRPr="005508A1">
        <w:rPr>
          <w:lang w:val="sv-SE"/>
        </w:rPr>
        <w:t xml:space="preserve">The fourth type is like a mix of a PCAL and </w:t>
      </w:r>
      <w:smartTag w:uri="urn:schemas-microsoft-com:office:smarttags" w:element="stockticker">
        <w:r w:rsidRPr="005508A1">
          <w:rPr>
            <w:lang w:val="sv-SE"/>
          </w:rPr>
          <w:t>PRED</w:t>
        </w:r>
      </w:smartTag>
      <w:r w:rsidRPr="005508A1">
        <w:rPr>
          <w:lang w:val="sv-SE"/>
        </w:rPr>
        <w:t xml:space="preserve">. Everyone is affected, but otherwise it looks more like a DRAW. This applies to partial redemptions of Danish mortgage bonds, and also some ICSD securities. </w:t>
      </w:r>
    </w:p>
    <w:p w:rsidR="00C12CB2" w:rsidRPr="005508A1" w:rsidRDefault="00C12CB2" w:rsidP="00C12CB2">
      <w:pPr>
        <w:rPr>
          <w:lang w:val="sv-SE"/>
        </w:rPr>
      </w:pPr>
      <w:r w:rsidRPr="005508A1">
        <w:rPr>
          <w:lang w:val="sv-SE"/>
        </w:rPr>
        <w:t>Should a new CAEV code be added</w:t>
      </w:r>
      <w:r w:rsidR="00FB090F">
        <w:rPr>
          <w:lang w:val="sv-SE"/>
        </w:rPr>
        <w:t xml:space="preserve"> – and in this case, we should have a clear distinction between all </w:t>
      </w:r>
      <w:r w:rsidR="0018271E">
        <w:rPr>
          <w:lang w:val="sv-SE"/>
        </w:rPr>
        <w:t xml:space="preserve">4 </w:t>
      </w:r>
      <w:r w:rsidR="00FB090F">
        <w:rPr>
          <w:lang w:val="sv-SE"/>
        </w:rPr>
        <w:t>redemption events -</w:t>
      </w:r>
      <w:r w:rsidRPr="005508A1">
        <w:rPr>
          <w:lang w:val="sv-SE"/>
        </w:rPr>
        <w:t xml:space="preserve"> or a </w:t>
      </w:r>
      <w:r w:rsidR="00FB090F">
        <w:rPr>
          <w:lang w:val="sv-SE"/>
        </w:rPr>
        <w:t xml:space="preserve">new </w:t>
      </w:r>
      <w:r w:rsidRPr="005508A1">
        <w:rPr>
          <w:lang w:val="sv-SE"/>
        </w:rPr>
        <w:t>sub-type indicator for PCAL</w:t>
      </w:r>
      <w:r w:rsidR="00FB090F">
        <w:rPr>
          <w:lang w:val="sv-SE"/>
        </w:rPr>
        <w:t xml:space="preserve"> created showing how it has been redeemed e.g. via lottery or pro-rata </w:t>
      </w:r>
      <w:r w:rsidRPr="005508A1">
        <w:rPr>
          <w:lang w:val="sv-SE"/>
        </w:rPr>
        <w:t>?</w:t>
      </w:r>
    </w:p>
    <w:p w:rsidR="00C12CB2" w:rsidRPr="005508A1" w:rsidRDefault="005508A1" w:rsidP="00220185">
      <w:pPr>
        <w:pStyle w:val="Actions"/>
      </w:pPr>
      <w:r w:rsidRPr="00220185">
        <w:rPr>
          <w:u w:val="single"/>
        </w:rPr>
        <w:t>Action</w:t>
      </w:r>
      <w:r>
        <w:t xml:space="preserve">: </w:t>
      </w:r>
      <w:r w:rsidR="00C12CB2" w:rsidRPr="00220185">
        <w:rPr>
          <w:u w:val="single"/>
        </w:rPr>
        <w:t>Bernard</w:t>
      </w:r>
      <w:r w:rsidR="00C12CB2" w:rsidRPr="005508A1">
        <w:t xml:space="preserve"> </w:t>
      </w:r>
      <w:r>
        <w:t>to</w:t>
      </w:r>
      <w:r w:rsidR="00C12CB2" w:rsidRPr="005508A1">
        <w:t xml:space="preserve"> revert with a</w:t>
      </w:r>
      <w:r w:rsidR="0018271E">
        <w:t>n input</w:t>
      </w:r>
      <w:r w:rsidR="00C12CB2" w:rsidRPr="005508A1">
        <w:t xml:space="preserve"> document in time for the February call.</w:t>
      </w:r>
    </w:p>
    <w:p w:rsidR="00067C23" w:rsidRDefault="00067C23" w:rsidP="00067C23">
      <w:pPr>
        <w:pStyle w:val="Heading1"/>
      </w:pPr>
      <w:bookmarkStart w:id="11" w:name="_Toc317689219"/>
      <w:r>
        <w:t>CA 224 - MT 56X - New Event Type  INFO &amp; new INFO Indicator</w:t>
      </w:r>
      <w:bookmarkEnd w:id="11"/>
    </w:p>
    <w:p w:rsidR="00F0250C" w:rsidRPr="00EE1AC0" w:rsidRDefault="00786EE9" w:rsidP="00F0250C">
      <w:pPr>
        <w:rPr>
          <w:rFonts w:eastAsia="Helvetica"/>
        </w:rPr>
      </w:pPr>
      <w:r w:rsidRPr="00EE1AC0">
        <w:rPr>
          <w:rFonts w:eastAsia="Helvetica"/>
        </w:rPr>
        <w:t xml:space="preserve">Additional </w:t>
      </w:r>
      <w:r w:rsidR="00F0250C" w:rsidRPr="00EE1AC0">
        <w:rPr>
          <w:rFonts w:eastAsia="Helvetica"/>
        </w:rPr>
        <w:t>NMPG’s feedback provided at the meeting:</w:t>
      </w:r>
    </w:p>
    <w:p w:rsidR="008F2EED" w:rsidRPr="00EE1AC0" w:rsidRDefault="008F2EED" w:rsidP="008F2EED">
      <w:pPr>
        <w:rPr>
          <w:lang w:val="sv-SE"/>
        </w:rPr>
      </w:pPr>
      <w:r w:rsidRPr="00E15F9C">
        <w:rPr>
          <w:u w:val="single"/>
          <w:lang w:val="sv-SE"/>
        </w:rPr>
        <w:t>CH</w:t>
      </w:r>
      <w:r w:rsidRPr="00EE1AC0">
        <w:rPr>
          <w:lang w:val="sv-SE"/>
        </w:rPr>
        <w:t>: No</w:t>
      </w:r>
      <w:r w:rsidR="00EE1AC0">
        <w:rPr>
          <w:lang w:val="sv-SE"/>
        </w:rPr>
        <w:t>t applicable</w:t>
      </w:r>
      <w:r w:rsidRPr="00EE1AC0">
        <w:rPr>
          <w:lang w:val="sv-SE"/>
        </w:rPr>
        <w:t>.</w:t>
      </w:r>
    </w:p>
    <w:p w:rsidR="008F2EED" w:rsidRPr="00EE1AC0" w:rsidRDefault="008F2EED" w:rsidP="008F2EED">
      <w:pPr>
        <w:rPr>
          <w:lang w:val="sv-SE"/>
        </w:rPr>
      </w:pPr>
      <w:r w:rsidRPr="00E15F9C">
        <w:rPr>
          <w:u w:val="single"/>
          <w:lang w:val="sv-SE"/>
        </w:rPr>
        <w:t>FI</w:t>
      </w:r>
      <w:r w:rsidRPr="00EE1AC0">
        <w:rPr>
          <w:lang w:val="sv-SE"/>
        </w:rPr>
        <w:t>: No need for INFO.</w:t>
      </w:r>
    </w:p>
    <w:p w:rsidR="008F2EED" w:rsidRDefault="008F2EED" w:rsidP="008F2EED">
      <w:pPr>
        <w:rPr>
          <w:lang w:val="sv-SE"/>
        </w:rPr>
      </w:pPr>
      <w:r w:rsidRPr="00E15F9C">
        <w:rPr>
          <w:u w:val="single"/>
          <w:lang w:val="sv-SE"/>
        </w:rPr>
        <w:t>ISITC</w:t>
      </w:r>
      <w:r w:rsidRPr="00EE1AC0">
        <w:rPr>
          <w:lang w:val="sv-SE"/>
        </w:rPr>
        <w:t xml:space="preserve">: </w:t>
      </w:r>
      <w:r w:rsidR="00EE1AC0">
        <w:rPr>
          <w:lang w:val="sv-SE"/>
        </w:rPr>
        <w:t>O</w:t>
      </w:r>
      <w:r w:rsidRPr="00EE1AC0">
        <w:rPr>
          <w:lang w:val="sv-SE"/>
        </w:rPr>
        <w:t>ther case</w:t>
      </w:r>
      <w:r w:rsidR="00EE1AC0">
        <w:rPr>
          <w:lang w:val="sv-SE"/>
        </w:rPr>
        <w:t>s</w:t>
      </w:r>
      <w:r w:rsidRPr="00EE1AC0">
        <w:rPr>
          <w:lang w:val="sv-SE"/>
        </w:rPr>
        <w:t xml:space="preserve">: </w:t>
      </w:r>
      <w:r w:rsidR="00EE1AC0">
        <w:rPr>
          <w:lang w:val="sv-SE"/>
        </w:rPr>
        <w:t xml:space="preserve">scenario for ”quotation call” and </w:t>
      </w:r>
      <w:r w:rsidRPr="00EE1AC0">
        <w:rPr>
          <w:lang w:val="sv-SE"/>
        </w:rPr>
        <w:t xml:space="preserve">change of listing currency in the UK, when Irish securities become British or vice versa. </w:t>
      </w:r>
    </w:p>
    <w:p w:rsidR="00E15F9C" w:rsidRPr="00E15F9C" w:rsidRDefault="00E15F9C" w:rsidP="008F2EED">
      <w:pPr>
        <w:rPr>
          <w:lang w:val="sv-SE"/>
        </w:rPr>
      </w:pPr>
      <w:r w:rsidRPr="00E15F9C">
        <w:rPr>
          <w:u w:val="single"/>
          <w:lang w:val="sv-SE"/>
        </w:rPr>
        <w:t>NO</w:t>
      </w:r>
      <w:r w:rsidRPr="00E15F9C">
        <w:rPr>
          <w:lang w:val="sv-SE"/>
        </w:rPr>
        <w:t>: No, we do not see a need for INFO.</w:t>
      </w:r>
    </w:p>
    <w:p w:rsidR="008F2EED" w:rsidRDefault="008F2EED" w:rsidP="008F2EED">
      <w:pPr>
        <w:rPr>
          <w:lang w:val="sv-SE"/>
        </w:rPr>
      </w:pPr>
      <w:r w:rsidRPr="00EE1AC0">
        <w:rPr>
          <w:lang w:val="sv-SE"/>
        </w:rPr>
        <w:t>Postponed to next conf call.</w:t>
      </w:r>
    </w:p>
    <w:p w:rsidR="00214D22" w:rsidRPr="00EE1AC0" w:rsidRDefault="00214D22" w:rsidP="008F2EED">
      <w:pPr>
        <w:rPr>
          <w:lang w:val="sv-SE"/>
        </w:rPr>
      </w:pPr>
      <w:r w:rsidRPr="00214D22">
        <w:rPr>
          <w:u w:val="single"/>
          <w:lang w:val="sv-SE"/>
        </w:rPr>
        <w:t>ZA</w:t>
      </w:r>
      <w:r>
        <w:rPr>
          <w:lang w:val="sv-SE"/>
        </w:rPr>
        <w:t xml:space="preserve"> ( written feedback): </w:t>
      </w:r>
      <w:r>
        <w:t>the ZA NMPG submitted the CR on the premise that we were informed that there was a global trend towards effecting name changes without changing the ISIN. As there is no ISIN change there would be no security movement and we were of opinion that INFO event would be appropriate to communicate the change of name and possibly other events too, e.g. the convening of conference calls. We concur with some other NMPGs that caution is required as we do not want corporate actions to become information providers and therefore where there is a event code available to communicate an event then it should be used.</w:t>
      </w:r>
    </w:p>
    <w:p w:rsidR="00EE1AC0" w:rsidRDefault="006953DE" w:rsidP="006953DE">
      <w:pPr>
        <w:pStyle w:val="Actions"/>
        <w:rPr>
          <w:rFonts w:eastAsia="Helvetica"/>
        </w:rPr>
      </w:pPr>
      <w:r w:rsidRPr="00EE1AC0">
        <w:rPr>
          <w:rFonts w:eastAsia="Helvetica"/>
          <w:u w:val="single"/>
        </w:rPr>
        <w:t>Action</w:t>
      </w:r>
      <w:r w:rsidRPr="00EE1AC0">
        <w:rPr>
          <w:rFonts w:eastAsia="Helvetica"/>
        </w:rPr>
        <w:t xml:space="preserve">: </w:t>
      </w:r>
    </w:p>
    <w:p w:rsidR="00A90E85" w:rsidRDefault="00EE1AC0" w:rsidP="006953DE">
      <w:pPr>
        <w:pStyle w:val="Actions"/>
        <w:rPr>
          <w:rFonts w:eastAsia="Helvetica"/>
        </w:rPr>
      </w:pPr>
      <w:r w:rsidRPr="00EE1AC0">
        <w:rPr>
          <w:u w:val="single"/>
          <w:lang w:val="sv-SE"/>
        </w:rPr>
        <w:t>Sonda</w:t>
      </w:r>
      <w:r w:rsidRPr="00EE1AC0">
        <w:rPr>
          <w:lang w:val="sv-SE"/>
        </w:rPr>
        <w:t xml:space="preserve"> </w:t>
      </w:r>
      <w:r>
        <w:rPr>
          <w:lang w:val="sv-SE"/>
        </w:rPr>
        <w:t>to</w:t>
      </w:r>
      <w:r w:rsidRPr="00EE1AC0">
        <w:rPr>
          <w:lang w:val="sv-SE"/>
        </w:rPr>
        <w:t xml:space="preserve"> send a description</w:t>
      </w:r>
      <w:r>
        <w:rPr>
          <w:lang w:val="sv-SE"/>
        </w:rPr>
        <w:t xml:space="preserve"> of those new scenario </w:t>
      </w:r>
      <w:r w:rsidR="006953DE" w:rsidRPr="00EE1AC0">
        <w:rPr>
          <w:rFonts w:eastAsia="Helvetica"/>
        </w:rPr>
        <w:t>for next conference call</w:t>
      </w:r>
      <w:r w:rsidR="008F2EED" w:rsidRPr="00EE1AC0">
        <w:rPr>
          <w:rFonts w:eastAsia="Helvetica"/>
        </w:rPr>
        <w:t>.</w:t>
      </w:r>
    </w:p>
    <w:p w:rsidR="00EE1AC0" w:rsidRPr="00EE1AC0" w:rsidRDefault="00EE1AC0" w:rsidP="006953DE">
      <w:pPr>
        <w:pStyle w:val="Actions"/>
        <w:rPr>
          <w:rFonts w:eastAsia="Helvetica"/>
        </w:rPr>
      </w:pPr>
      <w:r>
        <w:rPr>
          <w:rFonts w:eastAsia="Helvetica"/>
        </w:rPr>
        <w:t xml:space="preserve">Other </w:t>
      </w:r>
      <w:r w:rsidRPr="00214D22">
        <w:rPr>
          <w:rFonts w:eastAsia="Helvetica"/>
          <w:u w:val="single"/>
        </w:rPr>
        <w:t>NMPGs</w:t>
      </w:r>
      <w:r>
        <w:rPr>
          <w:rFonts w:eastAsia="Helvetica"/>
        </w:rPr>
        <w:t xml:space="preserve"> feedback still requested for next call. </w:t>
      </w:r>
    </w:p>
    <w:p w:rsidR="008F2EED" w:rsidRDefault="008F2EED" w:rsidP="006E176D">
      <w:pPr>
        <w:pStyle w:val="Heading1"/>
      </w:pPr>
      <w:bookmarkStart w:id="12" w:name="_Toc317689220"/>
      <w:r>
        <w:t>CA 225 - MT 565 - Add Option Features, Rates and Narrative &amp; Remove OFF</w:t>
      </w:r>
      <w:r w:rsidR="006E176D">
        <w:t>R</w:t>
      </w:r>
      <w:bookmarkEnd w:id="12"/>
    </w:p>
    <w:p w:rsidR="00284921" w:rsidRDefault="006E176D" w:rsidP="009E69CA">
      <w:pPr>
        <w:rPr>
          <w:lang w:val="sv-SE"/>
        </w:rPr>
      </w:pPr>
      <w:r>
        <w:rPr>
          <w:lang w:val="sv-SE"/>
        </w:rPr>
        <w:t>Christine briefly d</w:t>
      </w:r>
      <w:r w:rsidR="009E69CA">
        <w:rPr>
          <w:lang w:val="sv-SE"/>
        </w:rPr>
        <w:t xml:space="preserve">escribed the </w:t>
      </w:r>
      <w:r w:rsidR="00284921">
        <w:rPr>
          <w:lang w:val="sv-SE"/>
        </w:rPr>
        <w:t>historical background behind the option number issue and then explain the p</w:t>
      </w:r>
      <w:r w:rsidR="009E69CA">
        <w:rPr>
          <w:lang w:val="sv-SE"/>
        </w:rPr>
        <w:t xml:space="preserve">roposed MP change </w:t>
      </w:r>
      <w:r w:rsidR="00284921">
        <w:rPr>
          <w:lang w:val="sv-SE"/>
        </w:rPr>
        <w:t>inspired by the nex ISITC MP on the topic</w:t>
      </w:r>
      <w:r w:rsidR="00A60514">
        <w:rPr>
          <w:lang w:val="sv-SE"/>
        </w:rPr>
        <w:t xml:space="preserve"> i.e. </w:t>
      </w:r>
      <w:r w:rsidR="00284921">
        <w:rPr>
          <w:lang w:val="sv-SE"/>
        </w:rPr>
        <w:t>:</w:t>
      </w:r>
      <w:r w:rsidR="00A60514">
        <w:rPr>
          <w:lang w:val="sv-SE"/>
        </w:rPr>
        <w:t xml:space="preserve"> </w:t>
      </w:r>
      <w:r w:rsidR="00A60514" w:rsidRPr="00A60514">
        <w:rPr>
          <w:i/>
          <w:lang w:val="sv-SE"/>
        </w:rPr>
        <w:t>for simple events (without multiple identical CAOP), use “UNS” in CAON and rely on the CAOP code only.</w:t>
      </w:r>
      <w:r w:rsidR="00284921">
        <w:rPr>
          <w:lang w:val="sv-SE"/>
        </w:rPr>
        <w:t xml:space="preserve"> </w:t>
      </w:r>
    </w:p>
    <w:p w:rsidR="006E176D" w:rsidRDefault="00284921" w:rsidP="009E69CA">
      <w:pPr>
        <w:rPr>
          <w:lang w:val="sv-SE"/>
        </w:rPr>
      </w:pPr>
      <w:r>
        <w:rPr>
          <w:lang w:val="sv-SE"/>
        </w:rPr>
        <w:t>The</w:t>
      </w:r>
      <w:r w:rsidR="009E69CA">
        <w:rPr>
          <w:lang w:val="sv-SE"/>
        </w:rPr>
        <w:t xml:space="preserve"> markets feedback</w:t>
      </w:r>
      <w:r w:rsidR="00F24713">
        <w:rPr>
          <w:lang w:val="sv-SE"/>
        </w:rPr>
        <w:t>s</w:t>
      </w:r>
      <w:r>
        <w:rPr>
          <w:lang w:val="sv-SE"/>
        </w:rPr>
        <w:t xml:space="preserve"> are as follows:</w:t>
      </w:r>
      <w:r w:rsidR="00F24713">
        <w:rPr>
          <w:lang w:val="sv-SE"/>
        </w:rPr>
        <w:t>:</w:t>
      </w:r>
    </w:p>
    <w:p w:rsidR="006E176D" w:rsidRDefault="006E176D" w:rsidP="009E69CA">
      <w:pPr>
        <w:rPr>
          <w:lang w:val="sv-SE"/>
        </w:rPr>
      </w:pPr>
      <w:r w:rsidRPr="00F43A0E">
        <w:rPr>
          <w:b/>
          <w:u w:val="single"/>
          <w:lang w:val="sv-SE"/>
        </w:rPr>
        <w:t>UK</w:t>
      </w:r>
      <w:r>
        <w:rPr>
          <w:lang w:val="sv-SE"/>
        </w:rPr>
        <w:t xml:space="preserve">: The UK NMPG has discussed it thoroughly. The IM community has a serious problem with the inconsistency of option numbers and codes between different account servicers. They would like to </w:t>
      </w:r>
      <w:r w:rsidR="00881A1D">
        <w:rPr>
          <w:lang w:val="sv-SE"/>
        </w:rPr>
        <w:t>eventually consider an</w:t>
      </w:r>
      <w:r>
        <w:rPr>
          <w:lang w:val="sv-SE"/>
        </w:rPr>
        <w:t xml:space="preserve"> algorithm again</w:t>
      </w:r>
      <w:r w:rsidR="00881A1D">
        <w:rPr>
          <w:lang w:val="sv-SE"/>
        </w:rPr>
        <w:t xml:space="preserve"> or consider sorting on alphabetical order. </w:t>
      </w:r>
      <w:r>
        <w:rPr>
          <w:lang w:val="sv-SE"/>
        </w:rPr>
        <w:t xml:space="preserve"> </w:t>
      </w:r>
      <w:r w:rsidR="00881A1D">
        <w:rPr>
          <w:lang w:val="sv-SE"/>
        </w:rPr>
        <w:t>T</w:t>
      </w:r>
      <w:r>
        <w:rPr>
          <w:lang w:val="sv-SE"/>
        </w:rPr>
        <w:t>hey are not comfortable with the current proposal</w:t>
      </w:r>
      <w:r w:rsidR="00881A1D">
        <w:rPr>
          <w:lang w:val="sv-SE"/>
        </w:rPr>
        <w:t xml:space="preserve"> from the US </w:t>
      </w:r>
      <w:r>
        <w:rPr>
          <w:lang w:val="sv-SE"/>
        </w:rPr>
        <w:t xml:space="preserve">since it implies </w:t>
      </w:r>
      <w:r w:rsidR="00881A1D">
        <w:rPr>
          <w:lang w:val="sv-SE"/>
        </w:rPr>
        <w:t xml:space="preserve">for them </w:t>
      </w:r>
      <w:r>
        <w:rPr>
          <w:lang w:val="sv-SE"/>
        </w:rPr>
        <w:t>a</w:t>
      </w:r>
      <w:r w:rsidR="00881A1D">
        <w:rPr>
          <w:lang w:val="sv-SE"/>
        </w:rPr>
        <w:t xml:space="preserve"> more complex</w:t>
      </w:r>
      <w:r>
        <w:rPr>
          <w:lang w:val="sv-SE"/>
        </w:rPr>
        <w:t xml:space="preserve"> logic in their </w:t>
      </w:r>
      <w:r>
        <w:rPr>
          <w:lang w:val="sv-SE"/>
        </w:rPr>
        <w:lastRenderedPageBreak/>
        <w:t>systems</w:t>
      </w:r>
      <w:r w:rsidR="00881A1D">
        <w:rPr>
          <w:lang w:val="sv-SE"/>
        </w:rPr>
        <w:t xml:space="preserve"> than what they have today (sometime using CAON and sometime not)</w:t>
      </w:r>
      <w:r>
        <w:rPr>
          <w:lang w:val="sv-SE"/>
        </w:rPr>
        <w:t>.</w:t>
      </w:r>
      <w:r w:rsidR="00881A1D">
        <w:rPr>
          <w:lang w:val="sv-SE"/>
        </w:rPr>
        <w:t xml:space="preserve"> </w:t>
      </w:r>
      <w:r>
        <w:rPr>
          <w:lang w:val="sv-SE"/>
        </w:rPr>
        <w:t>The custodians are concerned that the US MP will spread to the UK</w:t>
      </w:r>
      <w:r w:rsidR="00881A1D">
        <w:rPr>
          <w:lang w:val="sv-SE"/>
        </w:rPr>
        <w:t>/Europe forcing them to processs events with 2 completely different logics</w:t>
      </w:r>
      <w:r>
        <w:rPr>
          <w:lang w:val="sv-SE"/>
        </w:rPr>
        <w:t>.</w:t>
      </w:r>
    </w:p>
    <w:p w:rsidR="00F43A0E" w:rsidRDefault="006E176D" w:rsidP="009E69CA">
      <w:pPr>
        <w:rPr>
          <w:lang w:val="sv-SE"/>
        </w:rPr>
      </w:pPr>
      <w:r w:rsidRPr="00F43A0E">
        <w:rPr>
          <w:b/>
          <w:u w:val="single"/>
          <w:lang w:val="sv-SE"/>
        </w:rPr>
        <w:t>US</w:t>
      </w:r>
      <w:r>
        <w:rPr>
          <w:lang w:val="sv-SE"/>
        </w:rPr>
        <w:t xml:space="preserve">: </w:t>
      </w:r>
      <w:r w:rsidR="00F43A0E">
        <w:rPr>
          <w:lang w:val="sv-SE"/>
        </w:rPr>
        <w:t>The US t</w:t>
      </w:r>
      <w:r w:rsidR="00881A1D">
        <w:rPr>
          <w:lang w:val="sv-SE"/>
        </w:rPr>
        <w:t xml:space="preserve">hinks there is a misunderstanding </w:t>
      </w:r>
      <w:r w:rsidR="00F43A0E">
        <w:rPr>
          <w:lang w:val="sv-SE"/>
        </w:rPr>
        <w:t xml:space="preserve">about the new ISITC MP as </w:t>
      </w:r>
      <w:r w:rsidR="00881A1D">
        <w:rPr>
          <w:lang w:val="sv-SE"/>
        </w:rPr>
        <w:t xml:space="preserve">the purpose is not </w:t>
      </w:r>
      <w:r w:rsidR="00F43A0E">
        <w:rPr>
          <w:lang w:val="sv-SE"/>
        </w:rPr>
        <w:t xml:space="preserve">at all </w:t>
      </w:r>
      <w:r w:rsidR="00881A1D">
        <w:rPr>
          <w:lang w:val="sv-SE"/>
        </w:rPr>
        <w:t xml:space="preserve">to get rid of the CAON </w:t>
      </w:r>
      <w:r w:rsidR="00F43A0E">
        <w:rPr>
          <w:lang w:val="sv-SE"/>
        </w:rPr>
        <w:t>number but rather to no longer rely only on the single option number to identify the correct selected option and to have additional matching criteria for the options (eg.</w:t>
      </w:r>
      <w:r w:rsidR="00F24713">
        <w:rPr>
          <w:lang w:val="sv-SE"/>
        </w:rPr>
        <w:t xml:space="preserve"> on parameters like</w:t>
      </w:r>
      <w:r w:rsidR="00F43A0E">
        <w:rPr>
          <w:lang w:val="sv-SE"/>
        </w:rPr>
        <w:t xml:space="preserve"> CAOP, currency,...). </w:t>
      </w:r>
    </w:p>
    <w:p w:rsidR="006E176D" w:rsidRDefault="006E176D" w:rsidP="009E69CA">
      <w:pPr>
        <w:rPr>
          <w:lang w:val="sv-SE"/>
        </w:rPr>
      </w:pPr>
      <w:r>
        <w:rPr>
          <w:lang w:val="sv-SE"/>
        </w:rPr>
        <w:t xml:space="preserve">This </w:t>
      </w:r>
      <w:r w:rsidR="00881A1D">
        <w:rPr>
          <w:lang w:val="sv-SE"/>
        </w:rPr>
        <w:t xml:space="preserve">new ISITC </w:t>
      </w:r>
      <w:r>
        <w:rPr>
          <w:lang w:val="sv-SE"/>
        </w:rPr>
        <w:t>MP was implemented since the options numbers hav</w:t>
      </w:r>
      <w:r w:rsidR="00F43A0E">
        <w:rPr>
          <w:lang w:val="sv-SE"/>
        </w:rPr>
        <w:t>e to be provided in the MT564 and</w:t>
      </w:r>
      <w:r>
        <w:rPr>
          <w:lang w:val="sv-SE"/>
        </w:rPr>
        <w:t xml:space="preserve"> are basically proprietary information. Everyone wants consistency, but it is very difficult – if not impossible – to achieve.</w:t>
      </w:r>
    </w:p>
    <w:p w:rsidR="00F43A0E" w:rsidRDefault="00F43A0E" w:rsidP="009E69CA">
      <w:pPr>
        <w:rPr>
          <w:lang w:val="sv-SE"/>
        </w:rPr>
      </w:pPr>
      <w:r>
        <w:rPr>
          <w:lang w:val="sv-SE"/>
        </w:rPr>
        <w:t xml:space="preserve">The US thinks this is rather going to increase STP </w:t>
      </w:r>
      <w:r w:rsidR="003F34C2">
        <w:rPr>
          <w:lang w:val="sv-SE"/>
        </w:rPr>
        <w:t xml:space="preserve">when option types are all different </w:t>
      </w:r>
      <w:r>
        <w:rPr>
          <w:lang w:val="sv-SE"/>
        </w:rPr>
        <w:t xml:space="preserve">as </w:t>
      </w:r>
      <w:r w:rsidR="003F34C2">
        <w:rPr>
          <w:lang w:val="sv-SE"/>
        </w:rPr>
        <w:t xml:space="preserve">a wrong </w:t>
      </w:r>
      <w:r>
        <w:rPr>
          <w:lang w:val="sv-SE"/>
        </w:rPr>
        <w:t>CAON is no longer a reason of reject</w:t>
      </w:r>
      <w:r w:rsidR="003F34C2">
        <w:rPr>
          <w:lang w:val="sv-SE"/>
        </w:rPr>
        <w:t>. The reliance on the CAON number only seems almso to be a reason why some IMs are not on SWIFT.</w:t>
      </w:r>
    </w:p>
    <w:p w:rsidR="00F43A0E" w:rsidRDefault="00F24713" w:rsidP="009E69CA">
      <w:pPr>
        <w:rPr>
          <w:lang w:val="sv-SE"/>
        </w:rPr>
      </w:pPr>
      <w:r w:rsidRPr="00F24713">
        <w:rPr>
          <w:u w:val="single"/>
          <w:lang w:val="sv-SE"/>
        </w:rPr>
        <w:t>LU</w:t>
      </w:r>
      <w:r>
        <w:rPr>
          <w:lang w:val="sv-SE"/>
        </w:rPr>
        <w:t xml:space="preserve">: It is mainly a system issue and this new MP proposal would force to change the current processing logic which is working generally well. It would have quite a high cost top enhance/change the current logic. </w:t>
      </w:r>
    </w:p>
    <w:p w:rsidR="003F34C2" w:rsidRDefault="00F24713" w:rsidP="009E69CA">
      <w:pPr>
        <w:rPr>
          <w:lang w:val="sv-SE"/>
        </w:rPr>
      </w:pPr>
      <w:r w:rsidRPr="00F24713">
        <w:rPr>
          <w:u w:val="single"/>
          <w:lang w:val="sv-SE"/>
        </w:rPr>
        <w:t>FR</w:t>
      </w:r>
      <w:r>
        <w:rPr>
          <w:lang w:val="sv-SE"/>
        </w:rPr>
        <w:t xml:space="preserve">: Trying to find and implement yet an other algorithm for the sorting of the options will have a high cost too.  </w:t>
      </w:r>
    </w:p>
    <w:p w:rsidR="00E15F9C" w:rsidRPr="00E15F9C" w:rsidRDefault="00E15F9C" w:rsidP="00E15F9C">
      <w:pPr>
        <w:rPr>
          <w:lang w:val="sv-SE"/>
        </w:rPr>
      </w:pPr>
      <w:r w:rsidRPr="00E15F9C">
        <w:rPr>
          <w:u w:val="single"/>
          <w:lang w:val="sv-SE"/>
        </w:rPr>
        <w:t>NO</w:t>
      </w:r>
      <w:r w:rsidRPr="00E15F9C">
        <w:rPr>
          <w:lang w:val="sv-SE"/>
        </w:rPr>
        <w:t>:.In the event that the current option numbering is changed, we would prefer that options are still numbered as current practise. Our main concern by removing option numbers is in the event that there is one option code which occurs twice, it is an advantage if one can differentiate these two options by allocating them separate option numbers.</w:t>
      </w:r>
    </w:p>
    <w:p w:rsidR="00E15F9C" w:rsidRDefault="00E15F9C" w:rsidP="009E69CA">
      <w:pPr>
        <w:rPr>
          <w:lang w:val="sv-SE"/>
        </w:rPr>
      </w:pPr>
    </w:p>
    <w:p w:rsidR="006E176D" w:rsidRDefault="00F24713" w:rsidP="009E69CA">
      <w:pPr>
        <w:rPr>
          <w:lang w:val="sv-SE"/>
        </w:rPr>
      </w:pPr>
      <w:r>
        <w:rPr>
          <w:lang w:val="sv-SE"/>
        </w:rPr>
        <w:t>The above</w:t>
      </w:r>
      <w:r w:rsidR="006E176D">
        <w:rPr>
          <w:lang w:val="sv-SE"/>
        </w:rPr>
        <w:t xml:space="preserve"> was discussed but the WG </w:t>
      </w:r>
      <w:r>
        <w:rPr>
          <w:lang w:val="sv-SE"/>
        </w:rPr>
        <w:t xml:space="preserve">but we </w:t>
      </w:r>
      <w:r w:rsidR="006E176D">
        <w:rPr>
          <w:lang w:val="sv-SE"/>
        </w:rPr>
        <w:t>did not come to a conclusion.</w:t>
      </w:r>
    </w:p>
    <w:p w:rsidR="006E176D" w:rsidRDefault="00F24713" w:rsidP="009E69CA">
      <w:pPr>
        <w:rPr>
          <w:lang w:val="sv-SE"/>
        </w:rPr>
      </w:pPr>
      <w:r>
        <w:rPr>
          <w:lang w:val="sv-SE"/>
        </w:rPr>
        <w:t xml:space="preserve">The </w:t>
      </w:r>
      <w:r w:rsidR="006E176D">
        <w:rPr>
          <w:lang w:val="sv-SE"/>
        </w:rPr>
        <w:t xml:space="preserve">UK and US NMPGs </w:t>
      </w:r>
      <w:r>
        <w:rPr>
          <w:lang w:val="sv-SE"/>
        </w:rPr>
        <w:t xml:space="preserve">will schedule a </w:t>
      </w:r>
      <w:r w:rsidR="006E176D">
        <w:rPr>
          <w:lang w:val="sv-SE"/>
        </w:rPr>
        <w:t xml:space="preserve">joint call </w:t>
      </w:r>
      <w:r w:rsidR="00284921">
        <w:rPr>
          <w:lang w:val="sv-SE"/>
        </w:rPr>
        <w:t>in March on this issue</w:t>
      </w:r>
      <w:r>
        <w:rPr>
          <w:lang w:val="sv-SE"/>
        </w:rPr>
        <w:t xml:space="preserve"> </w:t>
      </w:r>
      <w:r w:rsidR="00284921">
        <w:rPr>
          <w:lang w:val="sv-SE"/>
        </w:rPr>
        <w:t xml:space="preserve">so as to confront </w:t>
      </w:r>
      <w:r>
        <w:rPr>
          <w:lang w:val="sv-SE"/>
        </w:rPr>
        <w:t xml:space="preserve">the </w:t>
      </w:r>
      <w:r w:rsidR="00284921">
        <w:rPr>
          <w:lang w:val="sv-SE"/>
        </w:rPr>
        <w:t>difference of views on this sometime within the same firms (custodians, IMs,..) on both sides of the Atlantic</w:t>
      </w:r>
      <w:r w:rsidR="006E176D">
        <w:rPr>
          <w:lang w:val="sv-SE"/>
        </w:rPr>
        <w:t>.</w:t>
      </w:r>
    </w:p>
    <w:p w:rsidR="008E3463" w:rsidRDefault="008E3463" w:rsidP="009E69CA">
      <w:pPr>
        <w:rPr>
          <w:lang w:val="sv-SE"/>
        </w:rPr>
      </w:pPr>
      <w:r>
        <w:rPr>
          <w:lang w:val="sv-SE"/>
        </w:rPr>
        <w:t>The topic will be addressed again at the Athens meeting in April. The feedback from other NMPGs is requested considering only the current proposal for the April meeting in Athens. Reminders of this at the February and March calls</w:t>
      </w:r>
    </w:p>
    <w:p w:rsidR="008E3463" w:rsidRDefault="008E3463" w:rsidP="008E3463">
      <w:pPr>
        <w:pStyle w:val="Actions"/>
      </w:pPr>
      <w:r w:rsidRPr="008E3463">
        <w:rPr>
          <w:u w:val="single"/>
        </w:rPr>
        <w:t>Actions</w:t>
      </w:r>
      <w:r>
        <w:t>:</w:t>
      </w:r>
    </w:p>
    <w:p w:rsidR="008E3463" w:rsidRDefault="006E176D" w:rsidP="008E3463">
      <w:pPr>
        <w:pStyle w:val="Actions"/>
      </w:pPr>
      <w:r>
        <w:t xml:space="preserve">NMPGs are requested to </w:t>
      </w:r>
      <w:r w:rsidR="008E3463">
        <w:t xml:space="preserve">provide their feedback at the Athens meeting in </w:t>
      </w:r>
      <w:r>
        <w:t>April</w:t>
      </w:r>
      <w:r w:rsidR="008E3463">
        <w:t xml:space="preserve"> on the following question</w:t>
      </w:r>
      <w:r>
        <w:t>:</w:t>
      </w:r>
    </w:p>
    <w:p w:rsidR="006E176D" w:rsidRPr="006E176D" w:rsidRDefault="008E3463" w:rsidP="008E3463">
      <w:pPr>
        <w:pStyle w:val="Actions"/>
      </w:pPr>
      <w:r>
        <w:t>Do they agree</w:t>
      </w:r>
      <w:r w:rsidR="006E176D">
        <w:t xml:space="preserve"> to </w:t>
      </w:r>
      <w:r>
        <w:t>address</w:t>
      </w:r>
      <w:r w:rsidR="006E176D">
        <w:t xml:space="preserve"> </w:t>
      </w:r>
      <w:r>
        <w:t xml:space="preserve">the issue with an alternative </w:t>
      </w:r>
      <w:r w:rsidR="006E176D">
        <w:t>algo</w:t>
      </w:r>
      <w:r>
        <w:t xml:space="preserve">rithm </w:t>
      </w:r>
      <w:r w:rsidR="006E176D">
        <w:t>/</w:t>
      </w:r>
      <w:r>
        <w:t xml:space="preserve"> </w:t>
      </w:r>
      <w:r w:rsidR="006E176D">
        <w:t>logic</w:t>
      </w:r>
      <w:r>
        <w:t xml:space="preserve"> approach still to be found knowing that we</w:t>
      </w:r>
      <w:r w:rsidR="006E176D">
        <w:t xml:space="preserve"> will never be able to create something that will work for all events, </w:t>
      </w:r>
      <w:r>
        <w:t xml:space="preserve">at </w:t>
      </w:r>
      <w:r w:rsidR="006E176D">
        <w:t>all levels of the intermediary chain</w:t>
      </w:r>
      <w:r>
        <w:t>.</w:t>
      </w:r>
    </w:p>
    <w:p w:rsidR="008F2EED" w:rsidRDefault="008F2EED" w:rsidP="006E176D">
      <w:pPr>
        <w:pStyle w:val="Heading1"/>
      </w:pPr>
      <w:bookmarkStart w:id="13" w:name="_Toc317689221"/>
      <w:r>
        <w:t>CA 226 - Disclosure (DSCL) event - Clarify usage / market practice</w:t>
      </w:r>
      <w:bookmarkEnd w:id="13"/>
    </w:p>
    <w:p w:rsidR="002E55C2" w:rsidRDefault="002E55C2" w:rsidP="006E176D">
      <w:pPr>
        <w:rPr>
          <w:lang w:val="sv-SE"/>
        </w:rPr>
      </w:pPr>
      <w:r>
        <w:rPr>
          <w:lang w:val="sv-SE"/>
        </w:rPr>
        <w:t>DSCL template is part of the sample document. The discussion is p</w:t>
      </w:r>
      <w:r w:rsidR="006E176D" w:rsidRPr="002E55C2">
        <w:rPr>
          <w:lang w:val="sv-SE"/>
        </w:rPr>
        <w:t xml:space="preserve">ostponed until February call. </w:t>
      </w:r>
    </w:p>
    <w:p w:rsidR="006E176D" w:rsidRDefault="002E55C2" w:rsidP="002E55C2">
      <w:pPr>
        <w:pStyle w:val="Actions"/>
      </w:pPr>
      <w:r w:rsidRPr="002E55C2">
        <w:rPr>
          <w:u w:val="single"/>
        </w:rPr>
        <w:t>Action</w:t>
      </w:r>
      <w:r>
        <w:t xml:space="preserve">: </w:t>
      </w:r>
      <w:r w:rsidR="006E176D" w:rsidRPr="002E55C2">
        <w:rPr>
          <w:u w:val="single"/>
        </w:rPr>
        <w:t>Jacques</w:t>
      </w:r>
      <w:r w:rsidR="006E176D" w:rsidRPr="002E55C2">
        <w:t xml:space="preserve"> to remove PAYD from DSCL in GG since it is incorrect.</w:t>
      </w:r>
    </w:p>
    <w:p w:rsidR="00E15F9C" w:rsidRDefault="00E15F9C" w:rsidP="002E55C2">
      <w:pPr>
        <w:pStyle w:val="Actions"/>
      </w:pPr>
    </w:p>
    <w:p w:rsidR="00E15F9C" w:rsidRPr="00E15F9C" w:rsidRDefault="00E15F9C" w:rsidP="002E55C2">
      <w:pPr>
        <w:pStyle w:val="Actions"/>
        <w:rPr>
          <w:i/>
          <w:color w:val="0000FF"/>
        </w:rPr>
      </w:pPr>
      <w:r w:rsidRPr="00E15F9C">
        <w:rPr>
          <w:i/>
          <w:color w:val="0000FF"/>
        </w:rPr>
        <w:t>Written NMPG’s Inputs provided before or after the meeting:</w:t>
      </w:r>
    </w:p>
    <w:p w:rsidR="00E15F9C" w:rsidRPr="00E15F9C" w:rsidRDefault="00E15F9C" w:rsidP="002E55C2">
      <w:pPr>
        <w:pStyle w:val="Actions"/>
        <w:rPr>
          <w:i/>
          <w:color w:val="0000FF"/>
          <w:u w:val="single"/>
        </w:rPr>
      </w:pPr>
      <w:r w:rsidRPr="00E15F9C">
        <w:rPr>
          <w:i/>
          <w:color w:val="0000FF"/>
          <w:u w:val="single"/>
        </w:rPr>
        <w:t>From NL:</w:t>
      </w:r>
    </w:p>
    <w:p w:rsidR="00E15F9C" w:rsidRPr="00E15F9C" w:rsidRDefault="00E15F9C" w:rsidP="002E55C2">
      <w:pPr>
        <w:pStyle w:val="Actions"/>
        <w:rPr>
          <w:rFonts w:ascii="MS Mincho" w:eastAsia="MS Mincho" w:hAnsi="MS Mincho" w:cs="MS Mincho"/>
          <w:i/>
          <w:color w:val="0000FF"/>
        </w:rPr>
      </w:pPr>
      <w:r w:rsidRPr="00E15F9C">
        <w:rPr>
          <w:i/>
          <w:color w:val="0000FF"/>
        </w:rPr>
        <w:t xml:space="preserve">this 'event' should be treated as a request to holders to disclose in a certain formatted way, to which holders have to reply with an MT565 </w:t>
      </w:r>
      <w:r w:rsidR="000B0127" w:rsidRPr="00E15F9C">
        <w:rPr>
          <w:i/>
          <w:color w:val="0000FF"/>
        </w:rPr>
        <w:t>including</w:t>
      </w:r>
      <w:r w:rsidRPr="00E15F9C">
        <w:rPr>
          <w:i/>
          <w:color w:val="0000FF"/>
        </w:rPr>
        <w:t xml:space="preserve"> for instance, type of holding, quantity, nationality of holder, birth date etc.</w:t>
      </w:r>
      <w:r w:rsidRPr="00E15F9C">
        <w:rPr>
          <w:rFonts w:ascii="MS Mincho" w:eastAsia="MS Mincho" w:hAnsi="MS Mincho" w:cs="MS Mincho" w:hint="eastAsia"/>
          <w:i/>
          <w:color w:val="0000FF"/>
        </w:rPr>
        <w:t>‪</w:t>
      </w:r>
      <w:r w:rsidRPr="00E15F9C">
        <w:rPr>
          <w:rFonts w:cs="Consolas"/>
          <w:i/>
          <w:color w:val="0000FF"/>
        </w:rPr>
        <w:t>For this sequence th</w:t>
      </w:r>
      <w:r w:rsidRPr="00E15F9C">
        <w:rPr>
          <w:i/>
          <w:color w:val="0000FF"/>
        </w:rPr>
        <w:t>e event type DSCL can be used already and it can link to the primary event (by quoting the other CORP reference in the linkage sequence).</w:t>
      </w:r>
      <w:r w:rsidRPr="00E15F9C">
        <w:rPr>
          <w:rFonts w:ascii="MS Mincho" w:eastAsia="MS Mincho" w:hAnsi="MS Mincho" w:cs="MS Mincho" w:hint="eastAsia"/>
          <w:i/>
          <w:color w:val="0000FF"/>
        </w:rPr>
        <w:t>‪</w:t>
      </w:r>
    </w:p>
    <w:p w:rsidR="00E15F9C" w:rsidRPr="00E15F9C" w:rsidRDefault="00E15F9C" w:rsidP="002E55C2">
      <w:pPr>
        <w:pStyle w:val="Actions"/>
        <w:rPr>
          <w:rFonts w:eastAsia="MS Mincho"/>
          <w:i/>
          <w:color w:val="0000FF"/>
          <w:u w:val="single"/>
        </w:rPr>
      </w:pPr>
      <w:r w:rsidRPr="00E15F9C">
        <w:rPr>
          <w:rFonts w:eastAsia="MS Mincho"/>
          <w:i/>
          <w:color w:val="0000FF"/>
          <w:u w:val="single"/>
        </w:rPr>
        <w:t>From RU</w:t>
      </w:r>
    </w:p>
    <w:p w:rsidR="00E15F9C" w:rsidRPr="00E15F9C" w:rsidRDefault="00E15F9C" w:rsidP="00E15F9C">
      <w:pPr>
        <w:rPr>
          <w:i/>
          <w:color w:val="0000FF"/>
        </w:rPr>
      </w:pPr>
      <w:r w:rsidRPr="00E15F9C">
        <w:rPr>
          <w:i/>
          <w:color w:val="0000FF"/>
        </w:rPr>
        <w:t xml:space="preserve">In Russia we have corporate events for which we establish for the issuer a List of beneficial ownership (LSE)  and we prepare full disclosure of beneficial owners. This is done usually by an entity which is </w:t>
      </w:r>
      <w:r w:rsidRPr="00E15F9C">
        <w:rPr>
          <w:i/>
          <w:color w:val="0000FF"/>
        </w:rPr>
        <w:lastRenderedPageBreak/>
        <w:t>responsible for maintaining full registry of owners (Registrar). But we do not have a special procedure of re-registration from street names before corporate action similar to used in other countries..</w:t>
      </w:r>
    </w:p>
    <w:p w:rsidR="00E15F9C" w:rsidRPr="00E15F9C" w:rsidRDefault="00E15F9C" w:rsidP="00E15F9C">
      <w:pPr>
        <w:rPr>
          <w:i/>
          <w:color w:val="0000FF"/>
        </w:rPr>
      </w:pPr>
      <w:r w:rsidRPr="00E15F9C">
        <w:rPr>
          <w:i/>
          <w:color w:val="0000FF"/>
        </w:rPr>
        <w:t>We have a special procedure of establishing LSE – List of beneficial owners (for equities additionally bank details for dividend payments are collected for each owner).</w:t>
      </w:r>
    </w:p>
    <w:p w:rsidR="00E15F9C" w:rsidRPr="00E15F9C" w:rsidRDefault="00E15F9C" w:rsidP="00E15F9C">
      <w:pPr>
        <w:rPr>
          <w:i/>
          <w:color w:val="0000FF"/>
        </w:rPr>
      </w:pPr>
      <w:r w:rsidRPr="00E15F9C">
        <w:rPr>
          <w:i/>
          <w:color w:val="0000FF"/>
        </w:rPr>
        <w:t xml:space="preserve">As we </w:t>
      </w:r>
      <w:r w:rsidR="000B0127" w:rsidRPr="00E15F9C">
        <w:rPr>
          <w:i/>
          <w:color w:val="0000FF"/>
        </w:rPr>
        <w:t>mentioned</w:t>
      </w:r>
      <w:r w:rsidRPr="00E15F9C">
        <w:rPr>
          <w:i/>
          <w:color w:val="0000FF"/>
        </w:rPr>
        <w:t xml:space="preserve"> in EIG disclosure usually is mandatory (for corporate actions like meeting or dividend payments) but it may be also in some cases voluntary.</w:t>
      </w:r>
    </w:p>
    <w:p w:rsidR="00E15F9C" w:rsidRPr="00E15F9C" w:rsidRDefault="00E15F9C" w:rsidP="00E15F9C">
      <w:pPr>
        <w:rPr>
          <w:i/>
          <w:color w:val="0000FF"/>
        </w:rPr>
      </w:pPr>
      <w:r w:rsidRPr="00E15F9C">
        <w:rPr>
          <w:i/>
          <w:color w:val="0000FF"/>
        </w:rPr>
        <w:t xml:space="preserve">For example, we collect full information of beneficial owners for general meeting (equities) and for dividend payments (equities) and it is mandatory to disclose the </w:t>
      </w:r>
      <w:r w:rsidR="000B0127" w:rsidRPr="00E15F9C">
        <w:rPr>
          <w:i/>
          <w:color w:val="0000FF"/>
        </w:rPr>
        <w:t>information</w:t>
      </w:r>
      <w:r w:rsidRPr="00E15F9C">
        <w:rPr>
          <w:i/>
          <w:color w:val="0000FF"/>
        </w:rPr>
        <w:t xml:space="preserve"> </w:t>
      </w:r>
      <w:r w:rsidR="000B0127" w:rsidRPr="00E15F9C">
        <w:rPr>
          <w:i/>
          <w:color w:val="0000FF"/>
        </w:rPr>
        <w:t>about</w:t>
      </w:r>
      <w:r w:rsidRPr="00E15F9C">
        <w:rPr>
          <w:i/>
          <w:color w:val="0000FF"/>
        </w:rPr>
        <w:t xml:space="preserve"> final owner as dividends are paid by Issuer according the data given in the List of beneficial owners. This list may be used to verify presence at the meeting.</w:t>
      </w:r>
    </w:p>
    <w:p w:rsidR="00E15F9C" w:rsidRPr="00E15F9C" w:rsidRDefault="00E15F9C" w:rsidP="00E15F9C">
      <w:pPr>
        <w:rPr>
          <w:i/>
          <w:color w:val="0000FF"/>
        </w:rPr>
      </w:pPr>
      <w:r w:rsidRPr="00E15F9C">
        <w:rPr>
          <w:i/>
          <w:color w:val="0000FF"/>
        </w:rPr>
        <w:t>The chain of participants is as follow</w:t>
      </w:r>
    </w:p>
    <w:p w:rsidR="00E15F9C" w:rsidRPr="00E15F9C" w:rsidRDefault="00E15F9C" w:rsidP="00E15F9C">
      <w:pPr>
        <w:rPr>
          <w:i/>
          <w:color w:val="0000FF"/>
        </w:rPr>
      </w:pPr>
      <w:r w:rsidRPr="00E15F9C">
        <w:rPr>
          <w:i/>
          <w:color w:val="0000FF"/>
        </w:rPr>
        <w:t>Issuer – Registrar – Nominee 1 level – Nominees 2</w:t>
      </w:r>
      <w:r w:rsidRPr="00E15F9C">
        <w:rPr>
          <w:i/>
          <w:color w:val="0000FF"/>
          <w:vertAlign w:val="superscript"/>
        </w:rPr>
        <w:t>nd</w:t>
      </w:r>
      <w:r w:rsidRPr="00E15F9C">
        <w:rPr>
          <w:i/>
          <w:color w:val="0000FF"/>
        </w:rPr>
        <w:t xml:space="preserve"> level etc</w:t>
      </w:r>
    </w:p>
    <w:p w:rsidR="00E15F9C" w:rsidRPr="00E15F9C" w:rsidRDefault="00E15F9C" w:rsidP="00E15F9C">
      <w:pPr>
        <w:rPr>
          <w:i/>
          <w:color w:val="0000FF"/>
        </w:rPr>
      </w:pPr>
      <w:r w:rsidRPr="00E15F9C">
        <w:rPr>
          <w:i/>
          <w:color w:val="0000FF"/>
        </w:rPr>
        <w:t xml:space="preserve">The full list is established by Registrar but Nominees of one level send their </w:t>
      </w:r>
      <w:r w:rsidR="000B0127" w:rsidRPr="00E15F9C">
        <w:rPr>
          <w:i/>
          <w:color w:val="0000FF"/>
        </w:rPr>
        <w:t>official</w:t>
      </w:r>
      <w:r w:rsidRPr="00E15F9C">
        <w:rPr>
          <w:i/>
          <w:color w:val="0000FF"/>
        </w:rPr>
        <w:t xml:space="preserve"> requests to Nominees of the down level and they in turn send their  requests to Nominees of the next down level</w:t>
      </w:r>
    </w:p>
    <w:p w:rsidR="00E15F9C" w:rsidRPr="00E15F9C" w:rsidRDefault="00E15F9C" w:rsidP="00E15F9C">
      <w:pPr>
        <w:rPr>
          <w:i/>
          <w:color w:val="0000FF"/>
        </w:rPr>
      </w:pPr>
      <w:r w:rsidRPr="00E15F9C">
        <w:rPr>
          <w:i/>
          <w:color w:val="0000FF"/>
        </w:rPr>
        <w:t>Each nominee may disclose (without additional requests) all benefi</w:t>
      </w:r>
      <w:r w:rsidR="000B0127">
        <w:rPr>
          <w:i/>
          <w:color w:val="0000FF"/>
        </w:rPr>
        <w:t>ci</w:t>
      </w:r>
      <w:r w:rsidRPr="00E15F9C">
        <w:rPr>
          <w:i/>
          <w:color w:val="0000FF"/>
        </w:rPr>
        <w:t>al owners having owners accounts in the books of that Nominee but it need to receive disclosure information for  nominees accounts opened in his books. That is why this Nominee sends request to all Nominees of the next level having nominee accounts in his books.</w:t>
      </w:r>
    </w:p>
    <w:p w:rsidR="00E15F9C" w:rsidRPr="00E15F9C" w:rsidRDefault="00E15F9C" w:rsidP="00E15F9C">
      <w:pPr>
        <w:rPr>
          <w:i/>
          <w:color w:val="0000FF"/>
        </w:rPr>
      </w:pPr>
      <w:r w:rsidRPr="00E15F9C">
        <w:rPr>
          <w:i/>
          <w:color w:val="0000FF"/>
        </w:rPr>
        <w:t xml:space="preserve">And list of beneficial owners is returned to the next party up  in the chain (NOT DIRECTLY TO THE ISSUER  or REGISTRAR) the </w:t>
      </w:r>
      <w:r w:rsidR="000B0127" w:rsidRPr="00E15F9C">
        <w:rPr>
          <w:i/>
          <w:color w:val="0000FF"/>
        </w:rPr>
        <w:t>balance in</w:t>
      </w:r>
      <w:r w:rsidRPr="00E15F9C">
        <w:rPr>
          <w:i/>
          <w:color w:val="0000FF"/>
        </w:rPr>
        <w:t xml:space="preserve"> the list must be equal to the balance in the corresponding nominee account.</w:t>
      </w:r>
    </w:p>
    <w:p w:rsidR="00E15F9C" w:rsidRPr="00E15F9C" w:rsidRDefault="00E15F9C" w:rsidP="00E15F9C">
      <w:pPr>
        <w:rPr>
          <w:i/>
          <w:color w:val="0000FF"/>
        </w:rPr>
      </w:pPr>
      <w:r w:rsidRPr="00E15F9C">
        <w:rPr>
          <w:i/>
          <w:color w:val="0000FF"/>
        </w:rPr>
        <w:t>It mean that Issuer and Registrar do not address their request to all nominees but only to  Nominees of the 1</w:t>
      </w:r>
      <w:r w:rsidRPr="00E15F9C">
        <w:rPr>
          <w:i/>
          <w:color w:val="0000FF"/>
          <w:vertAlign w:val="superscript"/>
        </w:rPr>
        <w:t>st</w:t>
      </w:r>
      <w:r w:rsidRPr="00E15F9C">
        <w:rPr>
          <w:i/>
          <w:color w:val="0000FF"/>
        </w:rPr>
        <w:t xml:space="preserve"> level having nominee accounts at the Registrar.</w:t>
      </w:r>
    </w:p>
    <w:p w:rsidR="00E15F9C" w:rsidRPr="00E15F9C" w:rsidRDefault="00E15F9C" w:rsidP="00E15F9C">
      <w:pPr>
        <w:rPr>
          <w:i/>
          <w:color w:val="0000FF"/>
        </w:rPr>
      </w:pPr>
      <w:r w:rsidRPr="00E15F9C">
        <w:rPr>
          <w:i/>
          <w:color w:val="0000FF"/>
        </w:rPr>
        <w:t>According current legislation the full list of beneficial owners is to be collected in 5 working days from the date of the request of the Issuer to the Registrar</w:t>
      </w:r>
    </w:p>
    <w:p w:rsidR="00E15F9C" w:rsidRPr="00E15F9C" w:rsidRDefault="00E15F9C" w:rsidP="00E15F9C">
      <w:pPr>
        <w:rPr>
          <w:i/>
          <w:color w:val="0000FF"/>
        </w:rPr>
      </w:pPr>
      <w:r w:rsidRPr="00E15F9C">
        <w:rPr>
          <w:i/>
          <w:color w:val="0000FF"/>
        </w:rPr>
        <w:t>This differs from the document which we received from Matthieu de Heering  (prepared by  T2STaskforce Shareholders Transparency) – in Russia Issuer or Issuer Agent do not address their request to the next levels themselves but it is transmitted via chain of Nominees until the last level of nominees. The number of levels is not restricted by laws. It may be 2, 3, 5 etc.</w:t>
      </w:r>
    </w:p>
    <w:p w:rsidR="00E15F9C" w:rsidRPr="00E15F9C" w:rsidRDefault="00E15F9C" w:rsidP="00E15F9C">
      <w:pPr>
        <w:rPr>
          <w:i/>
          <w:color w:val="0000FF"/>
        </w:rPr>
      </w:pPr>
      <w:r w:rsidRPr="00E15F9C">
        <w:rPr>
          <w:i/>
          <w:color w:val="0000FF"/>
        </w:rPr>
        <w:t>In Russian market we use MT564 for request to disclose and present list of beneficial owners and it is sent from nominees of the 1</w:t>
      </w:r>
      <w:r w:rsidRPr="00E15F9C">
        <w:rPr>
          <w:i/>
          <w:color w:val="0000FF"/>
          <w:vertAlign w:val="superscript"/>
        </w:rPr>
        <w:t>st</w:t>
      </w:r>
      <w:r w:rsidRPr="00E15F9C">
        <w:rPr>
          <w:i/>
          <w:color w:val="0000FF"/>
        </w:rPr>
        <w:t xml:space="preserve"> level to the next one etc </w:t>
      </w:r>
    </w:p>
    <w:p w:rsidR="00E15F9C" w:rsidRPr="00E15F9C" w:rsidRDefault="00E15F9C" w:rsidP="00E15F9C">
      <w:pPr>
        <w:rPr>
          <w:i/>
          <w:color w:val="0000FF"/>
        </w:rPr>
      </w:pPr>
      <w:r w:rsidRPr="00E15F9C">
        <w:rPr>
          <w:i/>
          <w:color w:val="0000FF"/>
        </w:rPr>
        <w:t>Issuer – Registrar (usually request is in paper form)</w:t>
      </w:r>
    </w:p>
    <w:p w:rsidR="00E15F9C" w:rsidRPr="00E15F9C" w:rsidRDefault="00E15F9C" w:rsidP="00E15F9C">
      <w:pPr>
        <w:rPr>
          <w:i/>
          <w:color w:val="0000FF"/>
        </w:rPr>
      </w:pPr>
      <w:r w:rsidRPr="00E15F9C">
        <w:rPr>
          <w:i/>
          <w:color w:val="0000FF"/>
        </w:rPr>
        <w:t>Registrar – Nominees 1</w:t>
      </w:r>
      <w:r w:rsidRPr="00E15F9C">
        <w:rPr>
          <w:i/>
          <w:color w:val="0000FF"/>
          <w:vertAlign w:val="superscript"/>
        </w:rPr>
        <w:t>st</w:t>
      </w:r>
      <w:r w:rsidRPr="00E15F9C">
        <w:rPr>
          <w:i/>
          <w:color w:val="0000FF"/>
        </w:rPr>
        <w:t xml:space="preserve"> level (electronic or paper format)</w:t>
      </w:r>
    </w:p>
    <w:p w:rsidR="00E15F9C" w:rsidRPr="00E15F9C" w:rsidRDefault="00E15F9C" w:rsidP="00E15F9C">
      <w:pPr>
        <w:rPr>
          <w:i/>
          <w:color w:val="0000FF"/>
        </w:rPr>
      </w:pPr>
      <w:r w:rsidRPr="00E15F9C">
        <w:rPr>
          <w:i/>
          <w:color w:val="0000FF"/>
        </w:rPr>
        <w:t>Nominees 1st level – Nominees 2</w:t>
      </w:r>
      <w:r w:rsidRPr="00E15F9C">
        <w:rPr>
          <w:i/>
          <w:color w:val="0000FF"/>
          <w:vertAlign w:val="superscript"/>
        </w:rPr>
        <w:t>nd</w:t>
      </w:r>
      <w:r w:rsidRPr="00E15F9C">
        <w:rPr>
          <w:i/>
          <w:color w:val="0000FF"/>
        </w:rPr>
        <w:t xml:space="preserve"> level (paper, electronically using local format or SWIFT MT564) </w:t>
      </w:r>
    </w:p>
    <w:p w:rsidR="00E15F9C" w:rsidRPr="00E15F9C" w:rsidRDefault="00E15F9C" w:rsidP="00E15F9C">
      <w:pPr>
        <w:rPr>
          <w:i/>
          <w:color w:val="0000FF"/>
        </w:rPr>
      </w:pPr>
      <w:r w:rsidRPr="00E15F9C">
        <w:rPr>
          <w:i/>
          <w:color w:val="0000FF"/>
        </w:rPr>
        <w:t>Nominees 2</w:t>
      </w:r>
      <w:r w:rsidRPr="00E15F9C">
        <w:rPr>
          <w:i/>
          <w:color w:val="0000FF"/>
          <w:vertAlign w:val="superscript"/>
        </w:rPr>
        <w:t>nd</w:t>
      </w:r>
      <w:r w:rsidRPr="00E15F9C">
        <w:rPr>
          <w:i/>
          <w:color w:val="0000FF"/>
        </w:rPr>
        <w:t xml:space="preserve"> level – nominees 3</w:t>
      </w:r>
      <w:r w:rsidRPr="00E15F9C">
        <w:rPr>
          <w:i/>
          <w:color w:val="0000FF"/>
          <w:vertAlign w:val="superscript"/>
        </w:rPr>
        <w:t>rd</w:t>
      </w:r>
      <w:r w:rsidRPr="00E15F9C">
        <w:rPr>
          <w:i/>
          <w:color w:val="0000FF"/>
        </w:rPr>
        <w:t xml:space="preserve"> level and so on (paper, electronically using local format or SWIFT MT564)</w:t>
      </w:r>
    </w:p>
    <w:p w:rsidR="00E15F9C" w:rsidRPr="00E15F9C" w:rsidRDefault="00E15F9C" w:rsidP="00E15F9C">
      <w:pPr>
        <w:rPr>
          <w:i/>
          <w:color w:val="0000FF"/>
        </w:rPr>
      </w:pPr>
      <w:r w:rsidRPr="00E15F9C">
        <w:rPr>
          <w:i/>
          <w:color w:val="0000FF"/>
        </w:rPr>
        <w:t>List of beneficial owners is usually established in electronic format</w:t>
      </w:r>
    </w:p>
    <w:p w:rsidR="00E15F9C" w:rsidRPr="00E15F9C" w:rsidRDefault="00E15F9C" w:rsidP="00E15F9C">
      <w:pPr>
        <w:rPr>
          <w:i/>
          <w:color w:val="0000FF"/>
        </w:rPr>
      </w:pPr>
      <w:r w:rsidRPr="00E15F9C">
        <w:rPr>
          <w:i/>
          <w:color w:val="0000FF"/>
        </w:rPr>
        <w:t>Small LSE may be done in paper form</w:t>
      </w:r>
    </w:p>
    <w:p w:rsidR="00E15F9C" w:rsidRPr="00E15F9C" w:rsidRDefault="00E15F9C" w:rsidP="00E15F9C">
      <w:pPr>
        <w:rPr>
          <w:i/>
          <w:color w:val="0000FF"/>
        </w:rPr>
      </w:pPr>
      <w:r w:rsidRPr="00E15F9C">
        <w:rPr>
          <w:i/>
          <w:color w:val="0000FF"/>
        </w:rPr>
        <w:t>It mean that for CA Notification we send two separate MT564 for general meeting  (the same LSE is used for payment of dividends)</w:t>
      </w:r>
    </w:p>
    <w:p w:rsidR="00E15F9C" w:rsidRPr="00E15F9C" w:rsidRDefault="00E15F9C" w:rsidP="00E15F9C">
      <w:pPr>
        <w:pStyle w:val="ListParagraph"/>
        <w:numPr>
          <w:ilvl w:val="0"/>
          <w:numId w:val="22"/>
        </w:numPr>
        <w:rPr>
          <w:rFonts w:cs="Arial"/>
          <w:i/>
          <w:color w:val="0000FF"/>
          <w:sz w:val="20"/>
          <w:lang w:val="en-US"/>
        </w:rPr>
      </w:pPr>
      <w:r w:rsidRPr="00E15F9C">
        <w:rPr>
          <w:rFonts w:cs="Arial"/>
          <w:i/>
          <w:color w:val="0000FF"/>
          <w:sz w:val="20"/>
          <w:lang w:val="en-US"/>
        </w:rPr>
        <w:t>One to all account owners informing about general meeting</w:t>
      </w:r>
    </w:p>
    <w:p w:rsidR="00E15F9C" w:rsidRPr="00E15F9C" w:rsidRDefault="00E15F9C" w:rsidP="00E15F9C">
      <w:pPr>
        <w:pStyle w:val="ListParagraph"/>
        <w:numPr>
          <w:ilvl w:val="0"/>
          <w:numId w:val="22"/>
        </w:numPr>
        <w:rPr>
          <w:rFonts w:cs="Arial"/>
          <w:i/>
          <w:color w:val="0000FF"/>
          <w:sz w:val="20"/>
          <w:lang w:val="en-US"/>
        </w:rPr>
      </w:pPr>
      <w:r w:rsidRPr="00E15F9C">
        <w:rPr>
          <w:rFonts w:cs="Arial"/>
          <w:i/>
          <w:color w:val="0000FF"/>
          <w:sz w:val="20"/>
          <w:lang w:val="en-US"/>
        </w:rPr>
        <w:t xml:space="preserve">And second one is sent only to nominees and link to the previous message is indicated as we need to indicated the reason for collecting the List of BO  (the scope of receivers is rather small – 5-10% </w:t>
      </w:r>
      <w:r w:rsidR="000B0127" w:rsidRPr="00E15F9C">
        <w:rPr>
          <w:rFonts w:cs="Arial"/>
          <w:i/>
          <w:color w:val="0000FF"/>
          <w:sz w:val="20"/>
          <w:lang w:val="en-US"/>
        </w:rPr>
        <w:t>of</w:t>
      </w:r>
      <w:r w:rsidRPr="00E15F9C">
        <w:rPr>
          <w:rFonts w:cs="Arial"/>
          <w:i/>
          <w:color w:val="0000FF"/>
          <w:sz w:val="20"/>
          <w:lang w:val="en-US"/>
        </w:rPr>
        <w:t xml:space="preserve"> the full list of account </w:t>
      </w:r>
      <w:r w:rsidR="000B0127" w:rsidRPr="00E15F9C">
        <w:rPr>
          <w:rFonts w:cs="Arial"/>
          <w:i/>
          <w:color w:val="0000FF"/>
          <w:sz w:val="20"/>
          <w:lang w:val="en-US"/>
        </w:rPr>
        <w:t>holding</w:t>
      </w:r>
      <w:r w:rsidRPr="00E15F9C">
        <w:rPr>
          <w:rFonts w:cs="Arial"/>
          <w:i/>
          <w:color w:val="0000FF"/>
          <w:sz w:val="20"/>
          <w:lang w:val="en-US"/>
        </w:rPr>
        <w:t xml:space="preserve"> securities in question </w:t>
      </w:r>
    </w:p>
    <w:p w:rsidR="00E15F9C" w:rsidRPr="00E15F9C" w:rsidRDefault="00E15F9C" w:rsidP="00E15F9C">
      <w:pPr>
        <w:rPr>
          <w:i/>
          <w:color w:val="0000FF"/>
        </w:rPr>
      </w:pPr>
      <w:r w:rsidRPr="00E15F9C">
        <w:rPr>
          <w:i/>
          <w:color w:val="0000FF"/>
        </w:rPr>
        <w:t>It is very convenient to have a special code DSCL – as this give the possibility to automatically process the request (to send request to the next level down). To attract the attention of the receiver (however we agree that it is not pure CA, but it is part of the whole corporate event MEET or DVCA)</w:t>
      </w:r>
    </w:p>
    <w:p w:rsidR="00067C23" w:rsidRDefault="00067C23" w:rsidP="00067C23">
      <w:pPr>
        <w:pStyle w:val="Heading1"/>
      </w:pPr>
      <w:bookmarkStart w:id="14" w:name="_Toc317689222"/>
      <w:r>
        <w:lastRenderedPageBreak/>
        <w:t>Tax Subgroup Update</w:t>
      </w:r>
      <w:bookmarkEnd w:id="14"/>
    </w:p>
    <w:p w:rsidR="006E176D" w:rsidRPr="002E55C2" w:rsidRDefault="006E176D" w:rsidP="006E176D">
      <w:pPr>
        <w:rPr>
          <w:lang w:val="sv-SE"/>
        </w:rPr>
      </w:pPr>
      <w:r w:rsidRPr="002E55C2">
        <w:rPr>
          <w:lang w:val="sv-SE"/>
        </w:rPr>
        <w:t>The tax subgroup had a call last week. Regular calls will be held every six weeks</w:t>
      </w:r>
      <w:r w:rsidR="002E55C2" w:rsidRPr="002E55C2">
        <w:rPr>
          <w:lang w:val="sv-SE"/>
        </w:rPr>
        <w:t xml:space="preserve"> from now on</w:t>
      </w:r>
      <w:r w:rsidRPr="002E55C2">
        <w:rPr>
          <w:lang w:val="sv-SE"/>
        </w:rPr>
        <w:t xml:space="preserve">. The subgroup has started to create a </w:t>
      </w:r>
      <w:r w:rsidR="002E55C2" w:rsidRPr="002E55C2">
        <w:rPr>
          <w:lang w:val="sv-SE"/>
        </w:rPr>
        <w:t xml:space="preserve">workflow / </w:t>
      </w:r>
      <w:r w:rsidRPr="002E55C2">
        <w:rPr>
          <w:lang w:val="sv-SE"/>
        </w:rPr>
        <w:t>process document</w:t>
      </w:r>
      <w:r w:rsidR="002E55C2" w:rsidRPr="002E55C2">
        <w:rPr>
          <w:lang w:val="sv-SE"/>
        </w:rPr>
        <w:t xml:space="preserve"> as well as a table of tax qualifiers accross all CA messages</w:t>
      </w:r>
      <w:r w:rsidRPr="002E55C2">
        <w:rPr>
          <w:lang w:val="sv-SE"/>
        </w:rPr>
        <w:t>.</w:t>
      </w:r>
    </w:p>
    <w:p w:rsidR="00067C23" w:rsidRDefault="00067C23" w:rsidP="00067C23">
      <w:pPr>
        <w:pStyle w:val="Heading1"/>
      </w:pPr>
      <w:bookmarkStart w:id="15" w:name="_Toc317689223"/>
      <w:r>
        <w:t>PV Subgroup Update</w:t>
      </w:r>
      <w:bookmarkEnd w:id="15"/>
    </w:p>
    <w:p w:rsidR="006E176D" w:rsidRPr="002E55C2" w:rsidRDefault="006E176D" w:rsidP="006E176D">
      <w:pPr>
        <w:rPr>
          <w:lang w:val="sv-SE"/>
        </w:rPr>
      </w:pPr>
      <w:bookmarkStart w:id="16" w:name="OLE_LINK5"/>
      <w:bookmarkStart w:id="17" w:name="OLE_LINK8"/>
      <w:r w:rsidRPr="002E55C2">
        <w:rPr>
          <w:lang w:val="sv-SE"/>
        </w:rPr>
        <w:t>Jacques, Matthew and Christine had a call with the possible chair, George Harris, a couple of weeks ago. Christine has sent George some background documentation. George to review, and a new call will be held to discuss</w:t>
      </w:r>
      <w:r w:rsidR="002E55C2" w:rsidRPr="002E55C2">
        <w:rPr>
          <w:lang w:val="sv-SE"/>
        </w:rPr>
        <w:t xml:space="preserve"> with him way forward</w:t>
      </w:r>
      <w:r w:rsidRPr="002E55C2">
        <w:rPr>
          <w:lang w:val="sv-SE"/>
        </w:rPr>
        <w:t>. Revert at next conf call.</w:t>
      </w:r>
    </w:p>
    <w:p w:rsidR="006E176D" w:rsidRPr="004E455A" w:rsidRDefault="006E176D" w:rsidP="002E55C2">
      <w:pPr>
        <w:pStyle w:val="Heading1"/>
        <w:rPr>
          <w:lang w:val="sv-SE"/>
        </w:rPr>
      </w:pPr>
      <w:bookmarkStart w:id="18" w:name="_Toc317689224"/>
      <w:r w:rsidRPr="004E455A">
        <w:rPr>
          <w:lang w:val="sv-SE"/>
        </w:rPr>
        <w:t>AOB</w:t>
      </w:r>
      <w:r w:rsidR="002E55C2">
        <w:rPr>
          <w:lang w:val="sv-SE"/>
        </w:rPr>
        <w:t xml:space="preserve"> (Interim and Final Dividend)</w:t>
      </w:r>
      <w:bookmarkEnd w:id="18"/>
    </w:p>
    <w:p w:rsidR="002E55C2" w:rsidRPr="00E15F9C" w:rsidRDefault="006E176D" w:rsidP="006E176D">
      <w:pPr>
        <w:rPr>
          <w:lang w:val="sv-SE"/>
        </w:rPr>
      </w:pPr>
      <w:r w:rsidRPr="00E15F9C">
        <w:rPr>
          <w:lang w:val="sv-SE"/>
        </w:rPr>
        <w:t xml:space="preserve">Bernard raised an issue regarding interim and final dividends. Are these separate events or not? </w:t>
      </w:r>
    </w:p>
    <w:p w:rsidR="002E55C2" w:rsidRPr="00B95938" w:rsidRDefault="002E55C2" w:rsidP="00B95938">
      <w:pPr>
        <w:pStyle w:val="Actions"/>
      </w:pPr>
      <w:r w:rsidRPr="00B95938">
        <w:rPr>
          <w:u w:val="single"/>
        </w:rPr>
        <w:t>Actions</w:t>
      </w:r>
      <w:r w:rsidRPr="00B95938">
        <w:t>:</w:t>
      </w:r>
    </w:p>
    <w:p w:rsidR="002E55C2" w:rsidRPr="00B95938" w:rsidRDefault="00B95938" w:rsidP="00B95938">
      <w:pPr>
        <w:pStyle w:val="Actions"/>
      </w:pPr>
      <w:r>
        <w:t xml:space="preserve">1. </w:t>
      </w:r>
      <w:r w:rsidR="002E55C2" w:rsidRPr="009F5BF7">
        <w:rPr>
          <w:u w:val="single"/>
        </w:rPr>
        <w:t>Jacques</w:t>
      </w:r>
      <w:r w:rsidR="002E55C2" w:rsidRPr="00B95938">
        <w:t xml:space="preserve"> to add an new open items on this (with a potential CR as outcome)</w:t>
      </w:r>
      <w:r w:rsidR="006E176D" w:rsidRPr="00B95938">
        <w:t xml:space="preserve">. </w:t>
      </w:r>
    </w:p>
    <w:p w:rsidR="006E176D" w:rsidRPr="00B95938" w:rsidRDefault="00B95938" w:rsidP="00B95938">
      <w:pPr>
        <w:pStyle w:val="Actions"/>
      </w:pPr>
      <w:r>
        <w:t xml:space="preserve">2. </w:t>
      </w:r>
      <w:r w:rsidR="000B0127" w:rsidRPr="009F5BF7">
        <w:rPr>
          <w:u w:val="single"/>
        </w:rPr>
        <w:t>Sonda, Mari and Kim</w:t>
      </w:r>
      <w:r w:rsidR="000B0127">
        <w:t xml:space="preserve"> to</w:t>
      </w:r>
      <w:r w:rsidR="006E176D" w:rsidRPr="00B95938">
        <w:t xml:space="preserve"> provide </w:t>
      </w:r>
      <w:r w:rsidR="000B0127">
        <w:t xml:space="preserve">via email to Jacques </w:t>
      </w:r>
      <w:r w:rsidR="006E176D" w:rsidRPr="00B95938">
        <w:t xml:space="preserve">feedback </w:t>
      </w:r>
      <w:r w:rsidR="000B0127">
        <w:t>on their respective current market practice</w:t>
      </w:r>
      <w:r w:rsidR="006E176D" w:rsidRPr="00B95938">
        <w:t xml:space="preserve">. </w:t>
      </w:r>
    </w:p>
    <w:p w:rsidR="001E4357" w:rsidRDefault="001E4357" w:rsidP="006A3C3D">
      <w:pPr>
        <w:pStyle w:val="Heading1"/>
      </w:pPr>
      <w:bookmarkStart w:id="19" w:name="_Toc317689225"/>
      <w:r>
        <w:t xml:space="preserve">Next </w:t>
      </w:r>
      <w:r w:rsidR="00E45CE2">
        <w:t>Meeting</w:t>
      </w:r>
      <w:bookmarkEnd w:id="19"/>
    </w:p>
    <w:p w:rsidR="00644288" w:rsidRDefault="006E176D" w:rsidP="009E1B4F">
      <w:r>
        <w:t>February 29</w:t>
      </w:r>
      <w:r w:rsidR="00EB4AFC">
        <w:t>, 2012</w:t>
      </w:r>
      <w:r w:rsidR="00BA1789">
        <w:t xml:space="preserve"> from 2 to 4 PM CET</w:t>
      </w:r>
      <w:r w:rsidR="00E45CE2">
        <w:t>.</w:t>
      </w:r>
    </w:p>
    <w:p w:rsidR="006E176D" w:rsidRDefault="006E176D" w:rsidP="009E1B4F"/>
    <w:p w:rsidR="006E176D" w:rsidRDefault="006E176D" w:rsidP="009E1B4F"/>
    <w:bookmarkEnd w:id="16"/>
    <w:bookmarkEnd w:id="17"/>
    <w:p w:rsidR="006E176D" w:rsidRDefault="003C599B" w:rsidP="0085019F">
      <w:pPr>
        <w:pStyle w:val="BlockText"/>
        <w:rPr>
          <w:b/>
        </w:rPr>
      </w:pPr>
      <w:r>
        <w:rPr>
          <w:b/>
        </w:rPr>
        <w:t xml:space="preserve">------------------------ </w:t>
      </w:r>
      <w:r w:rsidRPr="003C599B">
        <w:rPr>
          <w:b/>
        </w:rPr>
        <w:t xml:space="preserve">End of the </w:t>
      </w:r>
      <w:r w:rsidR="007A08A5">
        <w:rPr>
          <w:b/>
        </w:rPr>
        <w:t>Meeting</w:t>
      </w:r>
      <w:r>
        <w:rPr>
          <w:b/>
        </w:rPr>
        <w:t xml:space="preserve"> </w:t>
      </w:r>
      <w:r w:rsidR="0085019F">
        <w:rPr>
          <w:b/>
        </w:rPr>
        <w:t xml:space="preserve">Minutes </w:t>
      </w:r>
      <w:r>
        <w:rPr>
          <w:b/>
        </w:rPr>
        <w:t>-----------------</w:t>
      </w:r>
    </w:p>
    <w:p w:rsidR="006E176D" w:rsidRPr="0085019F" w:rsidRDefault="006E176D" w:rsidP="0085019F">
      <w:pPr>
        <w:pStyle w:val="BlockText"/>
        <w:rPr>
          <w:b/>
        </w:rPr>
      </w:pPr>
    </w:p>
    <w:sectPr w:rsidR="006E176D" w:rsidRPr="0085019F" w:rsidSect="002322DE">
      <w:headerReference w:type="even" r:id="rId15"/>
      <w:headerReference w:type="default" r:id="rId16"/>
      <w:headerReference w:type="first" r:id="rId17"/>
      <w:pgSz w:w="12240" w:h="15840"/>
      <w:pgMar w:top="1296" w:right="1350"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2E9" w:rsidRDefault="00A622E9" w:rsidP="00592037">
      <w:r>
        <w:separator/>
      </w:r>
    </w:p>
    <w:p w:rsidR="00A622E9" w:rsidRDefault="00A622E9" w:rsidP="00592037"/>
  </w:endnote>
  <w:endnote w:type="continuationSeparator" w:id="0">
    <w:p w:rsidR="00A622E9" w:rsidRDefault="00A622E9" w:rsidP="00592037">
      <w:r>
        <w:continuationSeparator/>
      </w:r>
    </w:p>
    <w:p w:rsidR="00A622E9" w:rsidRDefault="00A622E9" w:rsidP="005920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E9" w:rsidRDefault="00A622E9"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22E9" w:rsidRDefault="00A622E9" w:rsidP="00592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E9" w:rsidRPr="00F23DA7" w:rsidRDefault="00A622E9" w:rsidP="00592037">
    <w:pPr>
      <w:pStyle w:val="Footer"/>
      <w:rPr>
        <w:lang w:val="fr-BE"/>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214D22">
      <w:rPr>
        <w:noProof/>
        <w:sz w:val="16"/>
        <w:szCs w:val="16"/>
        <w:lang w:val="sv-SE"/>
      </w:rPr>
      <w:t>Draft mins SMPG CA telco_20120125_v0_1.docx</w:t>
    </w:r>
    <w:r w:rsidRPr="008C30B6">
      <w:rPr>
        <w:sz w:val="16"/>
        <w:szCs w:val="16"/>
      </w:rPr>
      <w:fldChar w:fldCharType="end"/>
    </w:r>
    <w:r w:rsidRPr="00F23DA7">
      <w:rPr>
        <w:lang w:val="fr-BE"/>
      </w:rPr>
      <w:tab/>
      <w:t xml:space="preserve">Page </w:t>
    </w:r>
    <w:r w:rsidRPr="00D53847">
      <w:rPr>
        <w:lang w:val="fr-BE"/>
      </w:rPr>
      <w:fldChar w:fldCharType="begin"/>
    </w:r>
    <w:r w:rsidRPr="00D53847">
      <w:rPr>
        <w:lang w:val="fr-BE"/>
      </w:rPr>
      <w:instrText xml:space="preserve"> PAGE   \* MERGEFORMAT </w:instrText>
    </w:r>
    <w:r w:rsidRPr="00D53847">
      <w:rPr>
        <w:lang w:val="fr-BE"/>
      </w:rPr>
      <w:fldChar w:fldCharType="separate"/>
    </w:r>
    <w:r w:rsidR="006C0150">
      <w:rPr>
        <w:noProof/>
        <w:lang w:val="fr-BE"/>
      </w:rPr>
      <w:t>1</w:t>
    </w:r>
    <w:r w:rsidRPr="00D53847">
      <w:rPr>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2E9" w:rsidRDefault="00A622E9" w:rsidP="00592037">
      <w:r>
        <w:separator/>
      </w:r>
    </w:p>
    <w:p w:rsidR="00A622E9" w:rsidRDefault="00A622E9" w:rsidP="00592037"/>
  </w:footnote>
  <w:footnote w:type="continuationSeparator" w:id="0">
    <w:p w:rsidR="00A622E9" w:rsidRDefault="00A622E9" w:rsidP="00592037">
      <w:r>
        <w:continuationSeparator/>
      </w:r>
    </w:p>
    <w:p w:rsidR="00A622E9" w:rsidRDefault="00A622E9" w:rsidP="005920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E9" w:rsidRDefault="00A622E9" w:rsidP="00592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E9" w:rsidRPr="00284B42" w:rsidRDefault="00A622E9" w:rsidP="00652BA8">
    <w:pPr>
      <w:jc w:val="center"/>
      <w:rPr>
        <w:b/>
      </w:rPr>
    </w:pPr>
    <w:r w:rsidRPr="00CD36A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67.8pt;margin-top:-29.5pt;width:137.65pt;height:93.35pt;z-index:251657728;visibility:visible;mso-wrap-edited:f" o:allowincell="f">
          <v:imagedata r:id="rId1" o:title=""/>
        </v:shape>
        <o:OLEObject Type="Embed" ProgID="Word.Picture.8" ShapeID="_x0000_s2056" DrawAspect="Content" ObjectID="_1391431358" r:id="rId2"/>
      </w:pict>
    </w:r>
    <w:r w:rsidRPr="00284B42">
      <w:rPr>
        <w:b/>
      </w:rPr>
      <w:t xml:space="preserve">CA SMPG </w:t>
    </w:r>
    <w:r>
      <w:rPr>
        <w:b/>
      </w:rPr>
      <w:t>25 January, 2012 Conference Call Minutes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E9" w:rsidRDefault="00A622E9" w:rsidP="00592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47116"/>
    <w:multiLevelType w:val="hybridMultilevel"/>
    <w:tmpl w:val="2CFA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A03B0"/>
    <w:multiLevelType w:val="hybridMultilevel"/>
    <w:tmpl w:val="84288BF6"/>
    <w:lvl w:ilvl="0" w:tplc="624C84B4">
      <w:numFmt w:val="bullet"/>
      <w:lvlText w:val="-"/>
      <w:lvlJc w:val="left"/>
      <w:pPr>
        <w:ind w:left="720" w:hanging="360"/>
      </w:pPr>
      <w:rPr>
        <w:rFonts w:ascii="Calibri" w:eastAsia="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3F3B18"/>
    <w:multiLevelType w:val="hybridMultilevel"/>
    <w:tmpl w:val="253CC17C"/>
    <w:lvl w:ilvl="0" w:tplc="5FE8AD7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4A2484"/>
    <w:multiLevelType w:val="hybridMultilevel"/>
    <w:tmpl w:val="2A9E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7B0DAF"/>
    <w:multiLevelType w:val="hybridMultilevel"/>
    <w:tmpl w:val="4DA0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B6797"/>
    <w:multiLevelType w:val="hybridMultilevel"/>
    <w:tmpl w:val="2E92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453CF7"/>
    <w:multiLevelType w:val="hybridMultilevel"/>
    <w:tmpl w:val="1FD8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0">
    <w:nsid w:val="49EA5A94"/>
    <w:multiLevelType w:val="hybridMultilevel"/>
    <w:tmpl w:val="694A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5409D8"/>
    <w:multiLevelType w:val="hybridMultilevel"/>
    <w:tmpl w:val="AE4C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CE2058"/>
    <w:multiLevelType w:val="hybridMultilevel"/>
    <w:tmpl w:val="A26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CE57A89"/>
    <w:multiLevelType w:val="hybridMultilevel"/>
    <w:tmpl w:val="3340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905074"/>
    <w:multiLevelType w:val="hybridMultilevel"/>
    <w:tmpl w:val="F8AEC412"/>
    <w:lvl w:ilvl="0" w:tplc="6F56AB4E">
      <w:start w:val="1"/>
      <w:numFmt w:val="decimal"/>
      <w:lvlText w:val="%1."/>
      <w:lvlJc w:val="left"/>
      <w:pPr>
        <w:ind w:left="9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233622E"/>
    <w:multiLevelType w:val="hybridMultilevel"/>
    <w:tmpl w:val="8EF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F54EDD"/>
    <w:multiLevelType w:val="hybridMultilevel"/>
    <w:tmpl w:val="8BD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8E2F33"/>
    <w:multiLevelType w:val="hybridMultilevel"/>
    <w:tmpl w:val="C47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5"/>
  </w:num>
  <w:num w:numId="5">
    <w:abstractNumId w:val="3"/>
  </w:num>
  <w:num w:numId="6">
    <w:abstractNumId w:val="17"/>
  </w:num>
  <w:num w:numId="7">
    <w:abstractNumId w:val="16"/>
  </w:num>
  <w:num w:numId="8">
    <w:abstractNumId w:val="13"/>
  </w:num>
  <w:num w:numId="9">
    <w:abstractNumId w:val="10"/>
  </w:num>
  <w:num w:numId="10">
    <w:abstractNumId w:val="15"/>
  </w:num>
  <w:num w:numId="11">
    <w:abstractNumId w:val="7"/>
  </w:num>
  <w:num w:numId="12">
    <w:abstractNumId w:val="1"/>
  </w:num>
  <w:num w:numId="13">
    <w:abstractNumId w:val="6"/>
  </w:num>
  <w:num w:numId="14">
    <w:abstractNumId w:val="12"/>
  </w:num>
  <w:num w:numId="15">
    <w:abstractNumId w:val="20"/>
  </w:num>
  <w:num w:numId="16">
    <w:abstractNumId w:val="8"/>
  </w:num>
  <w:num w:numId="17">
    <w:abstractNumId w:val="21"/>
  </w:num>
  <w:num w:numId="18">
    <w:abstractNumId w:val="11"/>
  </w:num>
  <w:num w:numId="19">
    <w:abstractNumId w:val="19"/>
  </w:num>
  <w:num w:numId="20">
    <w:abstractNumId w:val="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2057">
      <o:colormenu v:ext="edit" fillcolor="none" strokecolor="#33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9B4"/>
    <w:rsid w:val="0000073F"/>
    <w:rsid w:val="0000241A"/>
    <w:rsid w:val="00002D65"/>
    <w:rsid w:val="000051B3"/>
    <w:rsid w:val="00005A1F"/>
    <w:rsid w:val="00005B96"/>
    <w:rsid w:val="00006049"/>
    <w:rsid w:val="0001004E"/>
    <w:rsid w:val="00010813"/>
    <w:rsid w:val="00012B6C"/>
    <w:rsid w:val="000152DC"/>
    <w:rsid w:val="000157C2"/>
    <w:rsid w:val="00015AA5"/>
    <w:rsid w:val="00015FFC"/>
    <w:rsid w:val="000238B1"/>
    <w:rsid w:val="00023C98"/>
    <w:rsid w:val="000250CC"/>
    <w:rsid w:val="000265A9"/>
    <w:rsid w:val="00026FE7"/>
    <w:rsid w:val="00027143"/>
    <w:rsid w:val="00027503"/>
    <w:rsid w:val="00030760"/>
    <w:rsid w:val="00030CC6"/>
    <w:rsid w:val="000357FF"/>
    <w:rsid w:val="0003700F"/>
    <w:rsid w:val="00037351"/>
    <w:rsid w:val="0004321D"/>
    <w:rsid w:val="00043978"/>
    <w:rsid w:val="00043D75"/>
    <w:rsid w:val="00044AD0"/>
    <w:rsid w:val="00045E01"/>
    <w:rsid w:val="00046B58"/>
    <w:rsid w:val="00046E03"/>
    <w:rsid w:val="00047EB2"/>
    <w:rsid w:val="0005309A"/>
    <w:rsid w:val="00057AD3"/>
    <w:rsid w:val="00057B4E"/>
    <w:rsid w:val="00063494"/>
    <w:rsid w:val="00063E96"/>
    <w:rsid w:val="00064ABF"/>
    <w:rsid w:val="00066415"/>
    <w:rsid w:val="0006676A"/>
    <w:rsid w:val="000669C7"/>
    <w:rsid w:val="000676D0"/>
    <w:rsid w:val="00067901"/>
    <w:rsid w:val="00067C23"/>
    <w:rsid w:val="00071DDE"/>
    <w:rsid w:val="00071ED9"/>
    <w:rsid w:val="00072DAB"/>
    <w:rsid w:val="000739DF"/>
    <w:rsid w:val="000745EC"/>
    <w:rsid w:val="00075D3E"/>
    <w:rsid w:val="000768FB"/>
    <w:rsid w:val="00081263"/>
    <w:rsid w:val="00081B28"/>
    <w:rsid w:val="00083D8B"/>
    <w:rsid w:val="0009050D"/>
    <w:rsid w:val="0009483B"/>
    <w:rsid w:val="00095B6F"/>
    <w:rsid w:val="00095F57"/>
    <w:rsid w:val="00096171"/>
    <w:rsid w:val="00096CBE"/>
    <w:rsid w:val="000971AD"/>
    <w:rsid w:val="0009749E"/>
    <w:rsid w:val="000A020C"/>
    <w:rsid w:val="000A0465"/>
    <w:rsid w:val="000A07A2"/>
    <w:rsid w:val="000A0FAC"/>
    <w:rsid w:val="000A0FFC"/>
    <w:rsid w:val="000A198A"/>
    <w:rsid w:val="000A2DA8"/>
    <w:rsid w:val="000A4E72"/>
    <w:rsid w:val="000A641E"/>
    <w:rsid w:val="000A6633"/>
    <w:rsid w:val="000A785A"/>
    <w:rsid w:val="000B0127"/>
    <w:rsid w:val="000B1811"/>
    <w:rsid w:val="000B1929"/>
    <w:rsid w:val="000B4025"/>
    <w:rsid w:val="000B557A"/>
    <w:rsid w:val="000B5831"/>
    <w:rsid w:val="000B5DFD"/>
    <w:rsid w:val="000B7094"/>
    <w:rsid w:val="000B70C1"/>
    <w:rsid w:val="000B7388"/>
    <w:rsid w:val="000C0868"/>
    <w:rsid w:val="000C103C"/>
    <w:rsid w:val="000C29FB"/>
    <w:rsid w:val="000C5A2C"/>
    <w:rsid w:val="000D04FB"/>
    <w:rsid w:val="000D1EB3"/>
    <w:rsid w:val="000D3879"/>
    <w:rsid w:val="000D3E94"/>
    <w:rsid w:val="000D46A6"/>
    <w:rsid w:val="000D493E"/>
    <w:rsid w:val="000D4C85"/>
    <w:rsid w:val="000D4E57"/>
    <w:rsid w:val="000D5B98"/>
    <w:rsid w:val="000D7A8E"/>
    <w:rsid w:val="000D7B6D"/>
    <w:rsid w:val="000E0ADE"/>
    <w:rsid w:val="000E20CE"/>
    <w:rsid w:val="000E2A55"/>
    <w:rsid w:val="000E2F7A"/>
    <w:rsid w:val="000E38B8"/>
    <w:rsid w:val="000E4C23"/>
    <w:rsid w:val="000E5ACC"/>
    <w:rsid w:val="000E6378"/>
    <w:rsid w:val="000E6687"/>
    <w:rsid w:val="000E7A30"/>
    <w:rsid w:val="000F07A5"/>
    <w:rsid w:val="000F360E"/>
    <w:rsid w:val="000F39A6"/>
    <w:rsid w:val="000F4705"/>
    <w:rsid w:val="001006E9"/>
    <w:rsid w:val="0010148B"/>
    <w:rsid w:val="00104342"/>
    <w:rsid w:val="00104E0B"/>
    <w:rsid w:val="00106021"/>
    <w:rsid w:val="00107248"/>
    <w:rsid w:val="00111B6A"/>
    <w:rsid w:val="00112883"/>
    <w:rsid w:val="00114286"/>
    <w:rsid w:val="001146D2"/>
    <w:rsid w:val="001147AD"/>
    <w:rsid w:val="00115141"/>
    <w:rsid w:val="00116E13"/>
    <w:rsid w:val="001170FE"/>
    <w:rsid w:val="00120940"/>
    <w:rsid w:val="00120B68"/>
    <w:rsid w:val="001210F0"/>
    <w:rsid w:val="0012291D"/>
    <w:rsid w:val="00123412"/>
    <w:rsid w:val="001252D0"/>
    <w:rsid w:val="00125819"/>
    <w:rsid w:val="00125C14"/>
    <w:rsid w:val="0013330E"/>
    <w:rsid w:val="00133F85"/>
    <w:rsid w:val="0013486A"/>
    <w:rsid w:val="0013566B"/>
    <w:rsid w:val="001358D5"/>
    <w:rsid w:val="00136796"/>
    <w:rsid w:val="001368E8"/>
    <w:rsid w:val="001379EC"/>
    <w:rsid w:val="00137E29"/>
    <w:rsid w:val="00140D10"/>
    <w:rsid w:val="00141100"/>
    <w:rsid w:val="0014123C"/>
    <w:rsid w:val="001418F7"/>
    <w:rsid w:val="00143146"/>
    <w:rsid w:val="001438E0"/>
    <w:rsid w:val="00143CD5"/>
    <w:rsid w:val="0014506F"/>
    <w:rsid w:val="00147115"/>
    <w:rsid w:val="00147C1D"/>
    <w:rsid w:val="00152168"/>
    <w:rsid w:val="00152AFF"/>
    <w:rsid w:val="00155B4B"/>
    <w:rsid w:val="00156EF0"/>
    <w:rsid w:val="0015716F"/>
    <w:rsid w:val="00157457"/>
    <w:rsid w:val="001577B5"/>
    <w:rsid w:val="001661A6"/>
    <w:rsid w:val="001676C8"/>
    <w:rsid w:val="001724A7"/>
    <w:rsid w:val="0017306F"/>
    <w:rsid w:val="00173FAC"/>
    <w:rsid w:val="001753F9"/>
    <w:rsid w:val="00177C7D"/>
    <w:rsid w:val="001803DE"/>
    <w:rsid w:val="0018271E"/>
    <w:rsid w:val="0018324D"/>
    <w:rsid w:val="001865D5"/>
    <w:rsid w:val="001868D6"/>
    <w:rsid w:val="001869F3"/>
    <w:rsid w:val="00187EB0"/>
    <w:rsid w:val="00190D5F"/>
    <w:rsid w:val="00191E31"/>
    <w:rsid w:val="00193B1C"/>
    <w:rsid w:val="00193C6C"/>
    <w:rsid w:val="00196DC2"/>
    <w:rsid w:val="001A07E2"/>
    <w:rsid w:val="001A0FFD"/>
    <w:rsid w:val="001A13AA"/>
    <w:rsid w:val="001A2F9A"/>
    <w:rsid w:val="001A5A33"/>
    <w:rsid w:val="001B0406"/>
    <w:rsid w:val="001B1DAD"/>
    <w:rsid w:val="001B1E86"/>
    <w:rsid w:val="001B2789"/>
    <w:rsid w:val="001B3103"/>
    <w:rsid w:val="001B5E2D"/>
    <w:rsid w:val="001B65D2"/>
    <w:rsid w:val="001B7D5A"/>
    <w:rsid w:val="001C1436"/>
    <w:rsid w:val="001C16D3"/>
    <w:rsid w:val="001C2AB4"/>
    <w:rsid w:val="001C2F37"/>
    <w:rsid w:val="001C3DAA"/>
    <w:rsid w:val="001C50FA"/>
    <w:rsid w:val="001C5442"/>
    <w:rsid w:val="001C5824"/>
    <w:rsid w:val="001C6483"/>
    <w:rsid w:val="001C7F55"/>
    <w:rsid w:val="001D0007"/>
    <w:rsid w:val="001D0D2F"/>
    <w:rsid w:val="001D0D7A"/>
    <w:rsid w:val="001D0FDF"/>
    <w:rsid w:val="001D1050"/>
    <w:rsid w:val="001D1633"/>
    <w:rsid w:val="001D1FD6"/>
    <w:rsid w:val="001D2505"/>
    <w:rsid w:val="001D2EE1"/>
    <w:rsid w:val="001D7F34"/>
    <w:rsid w:val="001E3E8E"/>
    <w:rsid w:val="001E4357"/>
    <w:rsid w:val="001E4780"/>
    <w:rsid w:val="001E5AAA"/>
    <w:rsid w:val="001E774B"/>
    <w:rsid w:val="001E78CC"/>
    <w:rsid w:val="001F2C65"/>
    <w:rsid w:val="001F3F45"/>
    <w:rsid w:val="001F70B4"/>
    <w:rsid w:val="001F7791"/>
    <w:rsid w:val="0020115E"/>
    <w:rsid w:val="00201BDB"/>
    <w:rsid w:val="00202058"/>
    <w:rsid w:val="0020323F"/>
    <w:rsid w:val="0020391C"/>
    <w:rsid w:val="002055C7"/>
    <w:rsid w:val="00206DF5"/>
    <w:rsid w:val="00211C67"/>
    <w:rsid w:val="00212BFF"/>
    <w:rsid w:val="002131AF"/>
    <w:rsid w:val="00214D22"/>
    <w:rsid w:val="00215780"/>
    <w:rsid w:val="00216A0C"/>
    <w:rsid w:val="00217002"/>
    <w:rsid w:val="002178B6"/>
    <w:rsid w:val="002200F0"/>
    <w:rsid w:val="00220185"/>
    <w:rsid w:val="00220F3C"/>
    <w:rsid w:val="00221837"/>
    <w:rsid w:val="00222412"/>
    <w:rsid w:val="002251B0"/>
    <w:rsid w:val="0022784C"/>
    <w:rsid w:val="00230996"/>
    <w:rsid w:val="00231917"/>
    <w:rsid w:val="002321F8"/>
    <w:rsid w:val="002322DE"/>
    <w:rsid w:val="00236BA7"/>
    <w:rsid w:val="00236F14"/>
    <w:rsid w:val="0023774C"/>
    <w:rsid w:val="00240BD1"/>
    <w:rsid w:val="00240FD7"/>
    <w:rsid w:val="002423C3"/>
    <w:rsid w:val="002454FF"/>
    <w:rsid w:val="002456C7"/>
    <w:rsid w:val="00245BAF"/>
    <w:rsid w:val="00246A6A"/>
    <w:rsid w:val="00246C2F"/>
    <w:rsid w:val="002508BC"/>
    <w:rsid w:val="00251E0B"/>
    <w:rsid w:val="0025223A"/>
    <w:rsid w:val="00254E98"/>
    <w:rsid w:val="00257190"/>
    <w:rsid w:val="0025798E"/>
    <w:rsid w:val="00260B07"/>
    <w:rsid w:val="00262529"/>
    <w:rsid w:val="00262E44"/>
    <w:rsid w:val="00262F75"/>
    <w:rsid w:val="00265B60"/>
    <w:rsid w:val="00266341"/>
    <w:rsid w:val="00266950"/>
    <w:rsid w:val="00266BEE"/>
    <w:rsid w:val="00270080"/>
    <w:rsid w:val="00270330"/>
    <w:rsid w:val="00272B37"/>
    <w:rsid w:val="00275165"/>
    <w:rsid w:val="00275317"/>
    <w:rsid w:val="00276C1F"/>
    <w:rsid w:val="00277BC7"/>
    <w:rsid w:val="00281FE5"/>
    <w:rsid w:val="002825D2"/>
    <w:rsid w:val="00284921"/>
    <w:rsid w:val="00284B42"/>
    <w:rsid w:val="00285001"/>
    <w:rsid w:val="0028574A"/>
    <w:rsid w:val="0028678C"/>
    <w:rsid w:val="0029301A"/>
    <w:rsid w:val="00293BD3"/>
    <w:rsid w:val="00293EC3"/>
    <w:rsid w:val="0029519D"/>
    <w:rsid w:val="00297D5D"/>
    <w:rsid w:val="002A0A67"/>
    <w:rsid w:val="002A1D00"/>
    <w:rsid w:val="002A1D10"/>
    <w:rsid w:val="002A4CC2"/>
    <w:rsid w:val="002A54C7"/>
    <w:rsid w:val="002A63CB"/>
    <w:rsid w:val="002A7995"/>
    <w:rsid w:val="002B0D84"/>
    <w:rsid w:val="002B2602"/>
    <w:rsid w:val="002B289A"/>
    <w:rsid w:val="002B3AA8"/>
    <w:rsid w:val="002B5469"/>
    <w:rsid w:val="002B5AA2"/>
    <w:rsid w:val="002B6054"/>
    <w:rsid w:val="002B659F"/>
    <w:rsid w:val="002B66CE"/>
    <w:rsid w:val="002C140D"/>
    <w:rsid w:val="002C4E0C"/>
    <w:rsid w:val="002C5EF2"/>
    <w:rsid w:val="002C666D"/>
    <w:rsid w:val="002D13AB"/>
    <w:rsid w:val="002D15BA"/>
    <w:rsid w:val="002D20A6"/>
    <w:rsid w:val="002D26F6"/>
    <w:rsid w:val="002D33B9"/>
    <w:rsid w:val="002D4171"/>
    <w:rsid w:val="002D5A70"/>
    <w:rsid w:val="002E08BB"/>
    <w:rsid w:val="002E55C2"/>
    <w:rsid w:val="002F0EA9"/>
    <w:rsid w:val="002F1879"/>
    <w:rsid w:val="002F18DE"/>
    <w:rsid w:val="002F3775"/>
    <w:rsid w:val="002F7332"/>
    <w:rsid w:val="002F79AF"/>
    <w:rsid w:val="0030375D"/>
    <w:rsid w:val="00304516"/>
    <w:rsid w:val="00305A21"/>
    <w:rsid w:val="00305B81"/>
    <w:rsid w:val="00305BD1"/>
    <w:rsid w:val="003119EC"/>
    <w:rsid w:val="00312E97"/>
    <w:rsid w:val="00313942"/>
    <w:rsid w:val="00315877"/>
    <w:rsid w:val="003158F8"/>
    <w:rsid w:val="00315F00"/>
    <w:rsid w:val="00316C4E"/>
    <w:rsid w:val="00321229"/>
    <w:rsid w:val="0032197A"/>
    <w:rsid w:val="00321F52"/>
    <w:rsid w:val="00322089"/>
    <w:rsid w:val="00322BE1"/>
    <w:rsid w:val="00324805"/>
    <w:rsid w:val="0032483E"/>
    <w:rsid w:val="003248BE"/>
    <w:rsid w:val="003261CF"/>
    <w:rsid w:val="00327C15"/>
    <w:rsid w:val="00330C7E"/>
    <w:rsid w:val="00332F91"/>
    <w:rsid w:val="00333A87"/>
    <w:rsid w:val="003439BE"/>
    <w:rsid w:val="00346AA9"/>
    <w:rsid w:val="00346BFF"/>
    <w:rsid w:val="00347CFB"/>
    <w:rsid w:val="0035195E"/>
    <w:rsid w:val="003524FD"/>
    <w:rsid w:val="003525AE"/>
    <w:rsid w:val="0035412E"/>
    <w:rsid w:val="003549AC"/>
    <w:rsid w:val="003559F3"/>
    <w:rsid w:val="003569DA"/>
    <w:rsid w:val="003611AC"/>
    <w:rsid w:val="00363C0E"/>
    <w:rsid w:val="003657AB"/>
    <w:rsid w:val="0037101D"/>
    <w:rsid w:val="00371B50"/>
    <w:rsid w:val="00371D8F"/>
    <w:rsid w:val="003750EA"/>
    <w:rsid w:val="00376698"/>
    <w:rsid w:val="0037670C"/>
    <w:rsid w:val="00376A6D"/>
    <w:rsid w:val="00381A23"/>
    <w:rsid w:val="00383BD5"/>
    <w:rsid w:val="00384B04"/>
    <w:rsid w:val="00385E1E"/>
    <w:rsid w:val="0039065D"/>
    <w:rsid w:val="0039109C"/>
    <w:rsid w:val="00392112"/>
    <w:rsid w:val="00394970"/>
    <w:rsid w:val="0039522C"/>
    <w:rsid w:val="003979EC"/>
    <w:rsid w:val="003A0493"/>
    <w:rsid w:val="003A50DC"/>
    <w:rsid w:val="003A548A"/>
    <w:rsid w:val="003A630B"/>
    <w:rsid w:val="003A66B0"/>
    <w:rsid w:val="003A694B"/>
    <w:rsid w:val="003B0CD2"/>
    <w:rsid w:val="003B0CEF"/>
    <w:rsid w:val="003B1348"/>
    <w:rsid w:val="003B250E"/>
    <w:rsid w:val="003B28EF"/>
    <w:rsid w:val="003B43BF"/>
    <w:rsid w:val="003B46C6"/>
    <w:rsid w:val="003B4992"/>
    <w:rsid w:val="003B54B2"/>
    <w:rsid w:val="003B5D70"/>
    <w:rsid w:val="003B7A76"/>
    <w:rsid w:val="003C292A"/>
    <w:rsid w:val="003C3076"/>
    <w:rsid w:val="003C3419"/>
    <w:rsid w:val="003C44DF"/>
    <w:rsid w:val="003C4F1E"/>
    <w:rsid w:val="003C599B"/>
    <w:rsid w:val="003C762F"/>
    <w:rsid w:val="003D01B3"/>
    <w:rsid w:val="003D07F5"/>
    <w:rsid w:val="003D0F10"/>
    <w:rsid w:val="003D1B5C"/>
    <w:rsid w:val="003D2B29"/>
    <w:rsid w:val="003D2B4D"/>
    <w:rsid w:val="003D3B56"/>
    <w:rsid w:val="003E05AF"/>
    <w:rsid w:val="003E0A22"/>
    <w:rsid w:val="003E0ABF"/>
    <w:rsid w:val="003E458D"/>
    <w:rsid w:val="003E58A3"/>
    <w:rsid w:val="003E5EFD"/>
    <w:rsid w:val="003E6B0C"/>
    <w:rsid w:val="003F1217"/>
    <w:rsid w:val="003F1787"/>
    <w:rsid w:val="003F34C2"/>
    <w:rsid w:val="003F5926"/>
    <w:rsid w:val="003F79E6"/>
    <w:rsid w:val="0040048C"/>
    <w:rsid w:val="0040244E"/>
    <w:rsid w:val="00403047"/>
    <w:rsid w:val="00403D4A"/>
    <w:rsid w:val="00404C0C"/>
    <w:rsid w:val="00404D4D"/>
    <w:rsid w:val="00404FF3"/>
    <w:rsid w:val="004059D7"/>
    <w:rsid w:val="0040750A"/>
    <w:rsid w:val="004078BD"/>
    <w:rsid w:val="00410935"/>
    <w:rsid w:val="00410D38"/>
    <w:rsid w:val="00411EF0"/>
    <w:rsid w:val="0041228B"/>
    <w:rsid w:val="0041398D"/>
    <w:rsid w:val="00413A6E"/>
    <w:rsid w:val="00413DCF"/>
    <w:rsid w:val="0041445A"/>
    <w:rsid w:val="0041468C"/>
    <w:rsid w:val="004151F3"/>
    <w:rsid w:val="00415DB0"/>
    <w:rsid w:val="004168D8"/>
    <w:rsid w:val="00420FBB"/>
    <w:rsid w:val="00421049"/>
    <w:rsid w:val="00421714"/>
    <w:rsid w:val="0042300C"/>
    <w:rsid w:val="00425162"/>
    <w:rsid w:val="00425220"/>
    <w:rsid w:val="00425AED"/>
    <w:rsid w:val="00432190"/>
    <w:rsid w:val="0043250A"/>
    <w:rsid w:val="0043409F"/>
    <w:rsid w:val="004343EB"/>
    <w:rsid w:val="00434952"/>
    <w:rsid w:val="004367E8"/>
    <w:rsid w:val="00436BB0"/>
    <w:rsid w:val="00437051"/>
    <w:rsid w:val="004378C7"/>
    <w:rsid w:val="0044105F"/>
    <w:rsid w:val="0044227C"/>
    <w:rsid w:val="0044610D"/>
    <w:rsid w:val="004466C3"/>
    <w:rsid w:val="00450EBE"/>
    <w:rsid w:val="00451AAA"/>
    <w:rsid w:val="00454A63"/>
    <w:rsid w:val="00456E82"/>
    <w:rsid w:val="00457903"/>
    <w:rsid w:val="00457BF4"/>
    <w:rsid w:val="0046643B"/>
    <w:rsid w:val="0046661C"/>
    <w:rsid w:val="00467FE4"/>
    <w:rsid w:val="004738C4"/>
    <w:rsid w:val="00475B64"/>
    <w:rsid w:val="0047788F"/>
    <w:rsid w:val="004809B4"/>
    <w:rsid w:val="00480BDE"/>
    <w:rsid w:val="00480DE4"/>
    <w:rsid w:val="00480F54"/>
    <w:rsid w:val="004812E8"/>
    <w:rsid w:val="00481582"/>
    <w:rsid w:val="00482E4C"/>
    <w:rsid w:val="00483126"/>
    <w:rsid w:val="00483131"/>
    <w:rsid w:val="00484F3D"/>
    <w:rsid w:val="00490BD1"/>
    <w:rsid w:val="00490FC6"/>
    <w:rsid w:val="00494C4C"/>
    <w:rsid w:val="004A0F2B"/>
    <w:rsid w:val="004A17C2"/>
    <w:rsid w:val="004A3256"/>
    <w:rsid w:val="004A355B"/>
    <w:rsid w:val="004A37EF"/>
    <w:rsid w:val="004A3833"/>
    <w:rsid w:val="004A56C8"/>
    <w:rsid w:val="004B070C"/>
    <w:rsid w:val="004B12EF"/>
    <w:rsid w:val="004B1735"/>
    <w:rsid w:val="004B1DE9"/>
    <w:rsid w:val="004B2026"/>
    <w:rsid w:val="004B410C"/>
    <w:rsid w:val="004B449F"/>
    <w:rsid w:val="004B4AE0"/>
    <w:rsid w:val="004B5DE4"/>
    <w:rsid w:val="004B68CC"/>
    <w:rsid w:val="004B7E5A"/>
    <w:rsid w:val="004C058A"/>
    <w:rsid w:val="004C1D25"/>
    <w:rsid w:val="004C2926"/>
    <w:rsid w:val="004C4A2E"/>
    <w:rsid w:val="004C4CE2"/>
    <w:rsid w:val="004C4DB3"/>
    <w:rsid w:val="004C4DFA"/>
    <w:rsid w:val="004D04FF"/>
    <w:rsid w:val="004D0EDD"/>
    <w:rsid w:val="004D26FC"/>
    <w:rsid w:val="004D2C5C"/>
    <w:rsid w:val="004D2E16"/>
    <w:rsid w:val="004D4937"/>
    <w:rsid w:val="004D6532"/>
    <w:rsid w:val="004D7FD6"/>
    <w:rsid w:val="004E0F76"/>
    <w:rsid w:val="004E210B"/>
    <w:rsid w:val="004E4BA3"/>
    <w:rsid w:val="004E62F4"/>
    <w:rsid w:val="004E7310"/>
    <w:rsid w:val="004F19E7"/>
    <w:rsid w:val="004F1F1E"/>
    <w:rsid w:val="004F4B63"/>
    <w:rsid w:val="004F4DA3"/>
    <w:rsid w:val="004F506B"/>
    <w:rsid w:val="004F6152"/>
    <w:rsid w:val="004F76FA"/>
    <w:rsid w:val="005023A2"/>
    <w:rsid w:val="005028FD"/>
    <w:rsid w:val="00506869"/>
    <w:rsid w:val="00510058"/>
    <w:rsid w:val="00510BCA"/>
    <w:rsid w:val="00513624"/>
    <w:rsid w:val="00514138"/>
    <w:rsid w:val="00514E75"/>
    <w:rsid w:val="00515DFE"/>
    <w:rsid w:val="00515E18"/>
    <w:rsid w:val="00516819"/>
    <w:rsid w:val="00517028"/>
    <w:rsid w:val="00520473"/>
    <w:rsid w:val="0052413A"/>
    <w:rsid w:val="0052689B"/>
    <w:rsid w:val="0052715F"/>
    <w:rsid w:val="00534622"/>
    <w:rsid w:val="00534E47"/>
    <w:rsid w:val="00534F9F"/>
    <w:rsid w:val="00536C9B"/>
    <w:rsid w:val="0054022C"/>
    <w:rsid w:val="005405BF"/>
    <w:rsid w:val="0054102E"/>
    <w:rsid w:val="00541706"/>
    <w:rsid w:val="00544027"/>
    <w:rsid w:val="005453F8"/>
    <w:rsid w:val="005467BF"/>
    <w:rsid w:val="0054728E"/>
    <w:rsid w:val="00547E78"/>
    <w:rsid w:val="0055015B"/>
    <w:rsid w:val="005507A9"/>
    <w:rsid w:val="005508A1"/>
    <w:rsid w:val="00550DDB"/>
    <w:rsid w:val="0055138B"/>
    <w:rsid w:val="00551882"/>
    <w:rsid w:val="00551C03"/>
    <w:rsid w:val="00552A54"/>
    <w:rsid w:val="005549B2"/>
    <w:rsid w:val="00555748"/>
    <w:rsid w:val="005558D8"/>
    <w:rsid w:val="00561321"/>
    <w:rsid w:val="00562084"/>
    <w:rsid w:val="00562151"/>
    <w:rsid w:val="0056364D"/>
    <w:rsid w:val="00563E5D"/>
    <w:rsid w:val="005645A7"/>
    <w:rsid w:val="005649EE"/>
    <w:rsid w:val="00565C71"/>
    <w:rsid w:val="005664EC"/>
    <w:rsid w:val="005666C7"/>
    <w:rsid w:val="00566C2D"/>
    <w:rsid w:val="00566EA5"/>
    <w:rsid w:val="00567EB8"/>
    <w:rsid w:val="00567F34"/>
    <w:rsid w:val="00570FF5"/>
    <w:rsid w:val="00571D18"/>
    <w:rsid w:val="005729B0"/>
    <w:rsid w:val="0057492E"/>
    <w:rsid w:val="00574E2C"/>
    <w:rsid w:val="0057519C"/>
    <w:rsid w:val="0057626E"/>
    <w:rsid w:val="005764E6"/>
    <w:rsid w:val="005764ED"/>
    <w:rsid w:val="00577A1B"/>
    <w:rsid w:val="00577DA2"/>
    <w:rsid w:val="00581D77"/>
    <w:rsid w:val="00583B21"/>
    <w:rsid w:val="005850FF"/>
    <w:rsid w:val="00585DE9"/>
    <w:rsid w:val="00590E39"/>
    <w:rsid w:val="00591424"/>
    <w:rsid w:val="00592037"/>
    <w:rsid w:val="00592B90"/>
    <w:rsid w:val="00595174"/>
    <w:rsid w:val="00595EA8"/>
    <w:rsid w:val="005973B7"/>
    <w:rsid w:val="00597D5A"/>
    <w:rsid w:val="005A076E"/>
    <w:rsid w:val="005A1A6C"/>
    <w:rsid w:val="005A29B7"/>
    <w:rsid w:val="005A3C11"/>
    <w:rsid w:val="005A4507"/>
    <w:rsid w:val="005A46BD"/>
    <w:rsid w:val="005A4948"/>
    <w:rsid w:val="005A5198"/>
    <w:rsid w:val="005B0264"/>
    <w:rsid w:val="005C033A"/>
    <w:rsid w:val="005C066C"/>
    <w:rsid w:val="005C0760"/>
    <w:rsid w:val="005C2A8B"/>
    <w:rsid w:val="005C3E37"/>
    <w:rsid w:val="005C3FCB"/>
    <w:rsid w:val="005C410F"/>
    <w:rsid w:val="005C7169"/>
    <w:rsid w:val="005D082A"/>
    <w:rsid w:val="005D1D53"/>
    <w:rsid w:val="005D495D"/>
    <w:rsid w:val="005E0B6F"/>
    <w:rsid w:val="005E2A81"/>
    <w:rsid w:val="005E337F"/>
    <w:rsid w:val="005E4A0B"/>
    <w:rsid w:val="005E64E7"/>
    <w:rsid w:val="005E6846"/>
    <w:rsid w:val="005E6B80"/>
    <w:rsid w:val="005E74B2"/>
    <w:rsid w:val="005E7C94"/>
    <w:rsid w:val="005F4089"/>
    <w:rsid w:val="005F4BB5"/>
    <w:rsid w:val="005F76A1"/>
    <w:rsid w:val="00601B63"/>
    <w:rsid w:val="006047A2"/>
    <w:rsid w:val="00604BBF"/>
    <w:rsid w:val="00604CE5"/>
    <w:rsid w:val="006100A7"/>
    <w:rsid w:val="00610609"/>
    <w:rsid w:val="00612A33"/>
    <w:rsid w:val="00612C6C"/>
    <w:rsid w:val="006136A6"/>
    <w:rsid w:val="00613994"/>
    <w:rsid w:val="00613B4F"/>
    <w:rsid w:val="0061750F"/>
    <w:rsid w:val="00622B75"/>
    <w:rsid w:val="00622C6C"/>
    <w:rsid w:val="00625958"/>
    <w:rsid w:val="00626143"/>
    <w:rsid w:val="00631595"/>
    <w:rsid w:val="00634CFC"/>
    <w:rsid w:val="0063519F"/>
    <w:rsid w:val="00635ECA"/>
    <w:rsid w:val="006366E2"/>
    <w:rsid w:val="00636A0D"/>
    <w:rsid w:val="0064140F"/>
    <w:rsid w:val="00644288"/>
    <w:rsid w:val="00645735"/>
    <w:rsid w:val="006477E1"/>
    <w:rsid w:val="00650969"/>
    <w:rsid w:val="00652BA8"/>
    <w:rsid w:val="00652BDD"/>
    <w:rsid w:val="00653B37"/>
    <w:rsid w:val="006547EA"/>
    <w:rsid w:val="00654BC1"/>
    <w:rsid w:val="006559FF"/>
    <w:rsid w:val="00656EEB"/>
    <w:rsid w:val="0065719E"/>
    <w:rsid w:val="0065757D"/>
    <w:rsid w:val="00657EA2"/>
    <w:rsid w:val="006631D6"/>
    <w:rsid w:val="00663C8B"/>
    <w:rsid w:val="00665A6E"/>
    <w:rsid w:val="00667717"/>
    <w:rsid w:val="0066790E"/>
    <w:rsid w:val="00667989"/>
    <w:rsid w:val="00671693"/>
    <w:rsid w:val="0067632B"/>
    <w:rsid w:val="00676523"/>
    <w:rsid w:val="00676727"/>
    <w:rsid w:val="00676EF9"/>
    <w:rsid w:val="00677719"/>
    <w:rsid w:val="00681363"/>
    <w:rsid w:val="006830D0"/>
    <w:rsid w:val="0068361F"/>
    <w:rsid w:val="0068464B"/>
    <w:rsid w:val="006846A1"/>
    <w:rsid w:val="006863FE"/>
    <w:rsid w:val="006877D0"/>
    <w:rsid w:val="0069126A"/>
    <w:rsid w:val="0069148C"/>
    <w:rsid w:val="0069319A"/>
    <w:rsid w:val="00693638"/>
    <w:rsid w:val="00693DB0"/>
    <w:rsid w:val="00694DC4"/>
    <w:rsid w:val="0069503C"/>
    <w:rsid w:val="006952D9"/>
    <w:rsid w:val="006953DE"/>
    <w:rsid w:val="006953FC"/>
    <w:rsid w:val="006969B5"/>
    <w:rsid w:val="0069722F"/>
    <w:rsid w:val="006A0B98"/>
    <w:rsid w:val="006A19D2"/>
    <w:rsid w:val="006A1E17"/>
    <w:rsid w:val="006A2185"/>
    <w:rsid w:val="006A3C3D"/>
    <w:rsid w:val="006A442B"/>
    <w:rsid w:val="006A4887"/>
    <w:rsid w:val="006B13A7"/>
    <w:rsid w:val="006B2D15"/>
    <w:rsid w:val="006B60FA"/>
    <w:rsid w:val="006C0150"/>
    <w:rsid w:val="006C1A33"/>
    <w:rsid w:val="006C216A"/>
    <w:rsid w:val="006C2ADA"/>
    <w:rsid w:val="006C3D94"/>
    <w:rsid w:val="006C4331"/>
    <w:rsid w:val="006C51D9"/>
    <w:rsid w:val="006C5C86"/>
    <w:rsid w:val="006C7749"/>
    <w:rsid w:val="006D1DE0"/>
    <w:rsid w:val="006D290F"/>
    <w:rsid w:val="006D397E"/>
    <w:rsid w:val="006D3A23"/>
    <w:rsid w:val="006D4E80"/>
    <w:rsid w:val="006E1767"/>
    <w:rsid w:val="006E176D"/>
    <w:rsid w:val="006E1BB8"/>
    <w:rsid w:val="006E6E56"/>
    <w:rsid w:val="006E6F68"/>
    <w:rsid w:val="006F1F52"/>
    <w:rsid w:val="006F1F8A"/>
    <w:rsid w:val="006F2337"/>
    <w:rsid w:val="006F309F"/>
    <w:rsid w:val="006F57D1"/>
    <w:rsid w:val="006F5EB8"/>
    <w:rsid w:val="006F680E"/>
    <w:rsid w:val="006F7AC1"/>
    <w:rsid w:val="006F7DC5"/>
    <w:rsid w:val="00700C78"/>
    <w:rsid w:val="00701ECD"/>
    <w:rsid w:val="00702EE0"/>
    <w:rsid w:val="00704B63"/>
    <w:rsid w:val="00707108"/>
    <w:rsid w:val="0070770C"/>
    <w:rsid w:val="007107F2"/>
    <w:rsid w:val="00715D9E"/>
    <w:rsid w:val="0071665F"/>
    <w:rsid w:val="007166AA"/>
    <w:rsid w:val="00722447"/>
    <w:rsid w:val="00724382"/>
    <w:rsid w:val="00725070"/>
    <w:rsid w:val="00725EDA"/>
    <w:rsid w:val="00726F6D"/>
    <w:rsid w:val="00730782"/>
    <w:rsid w:val="00730F3D"/>
    <w:rsid w:val="00730F5D"/>
    <w:rsid w:val="0073105B"/>
    <w:rsid w:val="007311A0"/>
    <w:rsid w:val="00731E9E"/>
    <w:rsid w:val="0073240B"/>
    <w:rsid w:val="00732F53"/>
    <w:rsid w:val="00733125"/>
    <w:rsid w:val="00734DE6"/>
    <w:rsid w:val="007359F5"/>
    <w:rsid w:val="0073772C"/>
    <w:rsid w:val="00737BF1"/>
    <w:rsid w:val="007416D5"/>
    <w:rsid w:val="0074191F"/>
    <w:rsid w:val="00746488"/>
    <w:rsid w:val="00746C2E"/>
    <w:rsid w:val="00747E32"/>
    <w:rsid w:val="0075032C"/>
    <w:rsid w:val="0075046F"/>
    <w:rsid w:val="00752489"/>
    <w:rsid w:val="007530F5"/>
    <w:rsid w:val="00754448"/>
    <w:rsid w:val="0075504C"/>
    <w:rsid w:val="00756700"/>
    <w:rsid w:val="00756959"/>
    <w:rsid w:val="00757308"/>
    <w:rsid w:val="007647F8"/>
    <w:rsid w:val="00764C15"/>
    <w:rsid w:val="0076568D"/>
    <w:rsid w:val="00766046"/>
    <w:rsid w:val="0076639E"/>
    <w:rsid w:val="00766510"/>
    <w:rsid w:val="0077339B"/>
    <w:rsid w:val="00774BF3"/>
    <w:rsid w:val="00775A74"/>
    <w:rsid w:val="00776E2D"/>
    <w:rsid w:val="0078177E"/>
    <w:rsid w:val="007817DB"/>
    <w:rsid w:val="0078318E"/>
    <w:rsid w:val="007862E3"/>
    <w:rsid w:val="00786EE9"/>
    <w:rsid w:val="00787ECD"/>
    <w:rsid w:val="00791240"/>
    <w:rsid w:val="00791DDD"/>
    <w:rsid w:val="00791DFC"/>
    <w:rsid w:val="00792630"/>
    <w:rsid w:val="00793A2D"/>
    <w:rsid w:val="007943BE"/>
    <w:rsid w:val="00795A51"/>
    <w:rsid w:val="00797286"/>
    <w:rsid w:val="007972D3"/>
    <w:rsid w:val="0079798E"/>
    <w:rsid w:val="00797D9A"/>
    <w:rsid w:val="00797FD5"/>
    <w:rsid w:val="007A08A5"/>
    <w:rsid w:val="007A26AC"/>
    <w:rsid w:val="007A3D8D"/>
    <w:rsid w:val="007A3E2D"/>
    <w:rsid w:val="007A507A"/>
    <w:rsid w:val="007A509A"/>
    <w:rsid w:val="007A53C5"/>
    <w:rsid w:val="007A558E"/>
    <w:rsid w:val="007A69C8"/>
    <w:rsid w:val="007A7D84"/>
    <w:rsid w:val="007B01F8"/>
    <w:rsid w:val="007B02CB"/>
    <w:rsid w:val="007B090B"/>
    <w:rsid w:val="007B210D"/>
    <w:rsid w:val="007B3BE6"/>
    <w:rsid w:val="007B4569"/>
    <w:rsid w:val="007B5AB3"/>
    <w:rsid w:val="007B6EDE"/>
    <w:rsid w:val="007C0797"/>
    <w:rsid w:val="007C092F"/>
    <w:rsid w:val="007C30D3"/>
    <w:rsid w:val="007C4752"/>
    <w:rsid w:val="007C5359"/>
    <w:rsid w:val="007D0957"/>
    <w:rsid w:val="007D1E41"/>
    <w:rsid w:val="007D37F0"/>
    <w:rsid w:val="007D3AE3"/>
    <w:rsid w:val="007D42AD"/>
    <w:rsid w:val="007D4C2F"/>
    <w:rsid w:val="007D629A"/>
    <w:rsid w:val="007D7448"/>
    <w:rsid w:val="007E104F"/>
    <w:rsid w:val="007E15A6"/>
    <w:rsid w:val="007E1EDC"/>
    <w:rsid w:val="007E1FD3"/>
    <w:rsid w:val="007E2082"/>
    <w:rsid w:val="007E2A46"/>
    <w:rsid w:val="007E3DD9"/>
    <w:rsid w:val="007E3F24"/>
    <w:rsid w:val="007E4DA1"/>
    <w:rsid w:val="007F0338"/>
    <w:rsid w:val="007F0AA6"/>
    <w:rsid w:val="007F328A"/>
    <w:rsid w:val="007F73FB"/>
    <w:rsid w:val="007F7D7A"/>
    <w:rsid w:val="008000C6"/>
    <w:rsid w:val="00800138"/>
    <w:rsid w:val="0080314A"/>
    <w:rsid w:val="008045BD"/>
    <w:rsid w:val="00805EC4"/>
    <w:rsid w:val="00806EB5"/>
    <w:rsid w:val="008120D1"/>
    <w:rsid w:val="00812EAF"/>
    <w:rsid w:val="0081358D"/>
    <w:rsid w:val="00813DB8"/>
    <w:rsid w:val="0081429D"/>
    <w:rsid w:val="00814542"/>
    <w:rsid w:val="00815369"/>
    <w:rsid w:val="00815724"/>
    <w:rsid w:val="0081662E"/>
    <w:rsid w:val="0081704F"/>
    <w:rsid w:val="008179FB"/>
    <w:rsid w:val="00822653"/>
    <w:rsid w:val="00825C96"/>
    <w:rsid w:val="0082601B"/>
    <w:rsid w:val="00826A29"/>
    <w:rsid w:val="00827AC4"/>
    <w:rsid w:val="00830077"/>
    <w:rsid w:val="00830D90"/>
    <w:rsid w:val="00831676"/>
    <w:rsid w:val="008330D8"/>
    <w:rsid w:val="00834A4D"/>
    <w:rsid w:val="008354AD"/>
    <w:rsid w:val="008365E2"/>
    <w:rsid w:val="008410A0"/>
    <w:rsid w:val="00842E6E"/>
    <w:rsid w:val="0084372E"/>
    <w:rsid w:val="008458A6"/>
    <w:rsid w:val="00845AB7"/>
    <w:rsid w:val="0085019F"/>
    <w:rsid w:val="00850250"/>
    <w:rsid w:val="0085065A"/>
    <w:rsid w:val="00851DC6"/>
    <w:rsid w:val="008527D7"/>
    <w:rsid w:val="00853B0A"/>
    <w:rsid w:val="008545D1"/>
    <w:rsid w:val="0085557C"/>
    <w:rsid w:val="008568A0"/>
    <w:rsid w:val="00857A7F"/>
    <w:rsid w:val="00857B69"/>
    <w:rsid w:val="008604BA"/>
    <w:rsid w:val="00862CD5"/>
    <w:rsid w:val="0086577B"/>
    <w:rsid w:val="00866279"/>
    <w:rsid w:val="008676D0"/>
    <w:rsid w:val="008708D6"/>
    <w:rsid w:val="00870ACC"/>
    <w:rsid w:val="00870D88"/>
    <w:rsid w:val="00871A1E"/>
    <w:rsid w:val="00873B07"/>
    <w:rsid w:val="00873E0F"/>
    <w:rsid w:val="00875E99"/>
    <w:rsid w:val="0088093C"/>
    <w:rsid w:val="00880977"/>
    <w:rsid w:val="00881A1D"/>
    <w:rsid w:val="00881F16"/>
    <w:rsid w:val="00882CA0"/>
    <w:rsid w:val="00882FB3"/>
    <w:rsid w:val="00882FBE"/>
    <w:rsid w:val="00883904"/>
    <w:rsid w:val="0088496F"/>
    <w:rsid w:val="008860F3"/>
    <w:rsid w:val="00886677"/>
    <w:rsid w:val="00890F1B"/>
    <w:rsid w:val="00891F36"/>
    <w:rsid w:val="008932C0"/>
    <w:rsid w:val="00895F7D"/>
    <w:rsid w:val="008A0E84"/>
    <w:rsid w:val="008A2391"/>
    <w:rsid w:val="008A2D39"/>
    <w:rsid w:val="008A52EA"/>
    <w:rsid w:val="008A574C"/>
    <w:rsid w:val="008A6521"/>
    <w:rsid w:val="008B014F"/>
    <w:rsid w:val="008B0FD7"/>
    <w:rsid w:val="008B1ADB"/>
    <w:rsid w:val="008B1C4C"/>
    <w:rsid w:val="008B2018"/>
    <w:rsid w:val="008B2480"/>
    <w:rsid w:val="008B566B"/>
    <w:rsid w:val="008B5B2B"/>
    <w:rsid w:val="008B656D"/>
    <w:rsid w:val="008B681D"/>
    <w:rsid w:val="008B7113"/>
    <w:rsid w:val="008C2942"/>
    <w:rsid w:val="008C30B6"/>
    <w:rsid w:val="008C3632"/>
    <w:rsid w:val="008C5CD0"/>
    <w:rsid w:val="008C69F4"/>
    <w:rsid w:val="008C6AA1"/>
    <w:rsid w:val="008C6AEA"/>
    <w:rsid w:val="008C7D05"/>
    <w:rsid w:val="008D0E2B"/>
    <w:rsid w:val="008D2310"/>
    <w:rsid w:val="008D3D9E"/>
    <w:rsid w:val="008D4920"/>
    <w:rsid w:val="008D53D2"/>
    <w:rsid w:val="008D5D5C"/>
    <w:rsid w:val="008E0464"/>
    <w:rsid w:val="008E19E4"/>
    <w:rsid w:val="008E28E4"/>
    <w:rsid w:val="008E3463"/>
    <w:rsid w:val="008E4A3D"/>
    <w:rsid w:val="008E56BD"/>
    <w:rsid w:val="008E586A"/>
    <w:rsid w:val="008E75F5"/>
    <w:rsid w:val="008E7B70"/>
    <w:rsid w:val="008F2EED"/>
    <w:rsid w:val="008F36BC"/>
    <w:rsid w:val="008F3C1E"/>
    <w:rsid w:val="008F41D6"/>
    <w:rsid w:val="008F5670"/>
    <w:rsid w:val="008F5AA8"/>
    <w:rsid w:val="008F5ACE"/>
    <w:rsid w:val="008F5B0A"/>
    <w:rsid w:val="008F62CE"/>
    <w:rsid w:val="008F62F4"/>
    <w:rsid w:val="008F6B18"/>
    <w:rsid w:val="008F6EE0"/>
    <w:rsid w:val="00900196"/>
    <w:rsid w:val="0090062B"/>
    <w:rsid w:val="00900D25"/>
    <w:rsid w:val="009041CF"/>
    <w:rsid w:val="009064AF"/>
    <w:rsid w:val="0091181A"/>
    <w:rsid w:val="009122A6"/>
    <w:rsid w:val="009168ED"/>
    <w:rsid w:val="0092242F"/>
    <w:rsid w:val="00922496"/>
    <w:rsid w:val="009226E9"/>
    <w:rsid w:val="00922E14"/>
    <w:rsid w:val="009233A3"/>
    <w:rsid w:val="00923DAB"/>
    <w:rsid w:val="009241B1"/>
    <w:rsid w:val="00924B99"/>
    <w:rsid w:val="009250D6"/>
    <w:rsid w:val="009263F0"/>
    <w:rsid w:val="009276D6"/>
    <w:rsid w:val="00927AB1"/>
    <w:rsid w:val="0093143C"/>
    <w:rsid w:val="00932DA3"/>
    <w:rsid w:val="0093345E"/>
    <w:rsid w:val="009370FE"/>
    <w:rsid w:val="00941E29"/>
    <w:rsid w:val="009427AE"/>
    <w:rsid w:val="009441F5"/>
    <w:rsid w:val="009459FF"/>
    <w:rsid w:val="00945F80"/>
    <w:rsid w:val="009471C6"/>
    <w:rsid w:val="00951975"/>
    <w:rsid w:val="0095244B"/>
    <w:rsid w:val="0095397C"/>
    <w:rsid w:val="009552B5"/>
    <w:rsid w:val="00956E2E"/>
    <w:rsid w:val="00956FC1"/>
    <w:rsid w:val="00957449"/>
    <w:rsid w:val="00961CB4"/>
    <w:rsid w:val="0096213C"/>
    <w:rsid w:val="00964834"/>
    <w:rsid w:val="009660AE"/>
    <w:rsid w:val="00966710"/>
    <w:rsid w:val="00970323"/>
    <w:rsid w:val="00973196"/>
    <w:rsid w:val="009756BB"/>
    <w:rsid w:val="00976C40"/>
    <w:rsid w:val="00977073"/>
    <w:rsid w:val="009809A7"/>
    <w:rsid w:val="00980BD1"/>
    <w:rsid w:val="0098101C"/>
    <w:rsid w:val="009834C7"/>
    <w:rsid w:val="00984A9D"/>
    <w:rsid w:val="00985475"/>
    <w:rsid w:val="009877EF"/>
    <w:rsid w:val="00987877"/>
    <w:rsid w:val="00990EA3"/>
    <w:rsid w:val="009914EF"/>
    <w:rsid w:val="009919CC"/>
    <w:rsid w:val="00991DD7"/>
    <w:rsid w:val="0099255F"/>
    <w:rsid w:val="00993839"/>
    <w:rsid w:val="0099768F"/>
    <w:rsid w:val="009A3539"/>
    <w:rsid w:val="009A4375"/>
    <w:rsid w:val="009A5647"/>
    <w:rsid w:val="009A5877"/>
    <w:rsid w:val="009A667B"/>
    <w:rsid w:val="009B05F4"/>
    <w:rsid w:val="009B34B5"/>
    <w:rsid w:val="009B38E8"/>
    <w:rsid w:val="009B54E3"/>
    <w:rsid w:val="009B552C"/>
    <w:rsid w:val="009B75D7"/>
    <w:rsid w:val="009B7AD7"/>
    <w:rsid w:val="009C056F"/>
    <w:rsid w:val="009C08E7"/>
    <w:rsid w:val="009C4DD3"/>
    <w:rsid w:val="009C61EE"/>
    <w:rsid w:val="009D14D0"/>
    <w:rsid w:val="009D3AA0"/>
    <w:rsid w:val="009D3B68"/>
    <w:rsid w:val="009D4249"/>
    <w:rsid w:val="009D4BFD"/>
    <w:rsid w:val="009D5345"/>
    <w:rsid w:val="009D55F5"/>
    <w:rsid w:val="009E074F"/>
    <w:rsid w:val="009E154A"/>
    <w:rsid w:val="009E1B4F"/>
    <w:rsid w:val="009E1F2B"/>
    <w:rsid w:val="009E4332"/>
    <w:rsid w:val="009E464C"/>
    <w:rsid w:val="009E475C"/>
    <w:rsid w:val="009E69CA"/>
    <w:rsid w:val="009E7051"/>
    <w:rsid w:val="009E73E7"/>
    <w:rsid w:val="009E76A5"/>
    <w:rsid w:val="009E7703"/>
    <w:rsid w:val="009E786F"/>
    <w:rsid w:val="009E7B6E"/>
    <w:rsid w:val="009F156D"/>
    <w:rsid w:val="009F26B9"/>
    <w:rsid w:val="009F415C"/>
    <w:rsid w:val="009F5040"/>
    <w:rsid w:val="009F533D"/>
    <w:rsid w:val="009F5BF7"/>
    <w:rsid w:val="009F68F2"/>
    <w:rsid w:val="009F6E7E"/>
    <w:rsid w:val="00A02367"/>
    <w:rsid w:val="00A0635A"/>
    <w:rsid w:val="00A06EE5"/>
    <w:rsid w:val="00A11D42"/>
    <w:rsid w:val="00A129A4"/>
    <w:rsid w:val="00A13549"/>
    <w:rsid w:val="00A155C1"/>
    <w:rsid w:val="00A208AD"/>
    <w:rsid w:val="00A22B3A"/>
    <w:rsid w:val="00A232E0"/>
    <w:rsid w:val="00A25A07"/>
    <w:rsid w:val="00A2628E"/>
    <w:rsid w:val="00A26E9B"/>
    <w:rsid w:val="00A27342"/>
    <w:rsid w:val="00A27D39"/>
    <w:rsid w:val="00A27D75"/>
    <w:rsid w:val="00A27E5E"/>
    <w:rsid w:val="00A31D13"/>
    <w:rsid w:val="00A32526"/>
    <w:rsid w:val="00A332BC"/>
    <w:rsid w:val="00A3342F"/>
    <w:rsid w:val="00A35DE2"/>
    <w:rsid w:val="00A4048E"/>
    <w:rsid w:val="00A40575"/>
    <w:rsid w:val="00A42B8B"/>
    <w:rsid w:val="00A42D4E"/>
    <w:rsid w:val="00A43511"/>
    <w:rsid w:val="00A44B2A"/>
    <w:rsid w:val="00A459B3"/>
    <w:rsid w:val="00A46158"/>
    <w:rsid w:val="00A50D47"/>
    <w:rsid w:val="00A51A7F"/>
    <w:rsid w:val="00A51F5A"/>
    <w:rsid w:val="00A55A24"/>
    <w:rsid w:val="00A57665"/>
    <w:rsid w:val="00A60514"/>
    <w:rsid w:val="00A622E9"/>
    <w:rsid w:val="00A62AFB"/>
    <w:rsid w:val="00A646EE"/>
    <w:rsid w:val="00A66A0F"/>
    <w:rsid w:val="00A710AA"/>
    <w:rsid w:val="00A71F9F"/>
    <w:rsid w:val="00A726EC"/>
    <w:rsid w:val="00A73404"/>
    <w:rsid w:val="00A7609A"/>
    <w:rsid w:val="00A76B2B"/>
    <w:rsid w:val="00A83FB6"/>
    <w:rsid w:val="00A84A31"/>
    <w:rsid w:val="00A861D2"/>
    <w:rsid w:val="00A876AD"/>
    <w:rsid w:val="00A90BE6"/>
    <w:rsid w:val="00A90E85"/>
    <w:rsid w:val="00A91CE4"/>
    <w:rsid w:val="00A96743"/>
    <w:rsid w:val="00AA01E3"/>
    <w:rsid w:val="00AA117C"/>
    <w:rsid w:val="00AA1C41"/>
    <w:rsid w:val="00AA2BF4"/>
    <w:rsid w:val="00AA31D8"/>
    <w:rsid w:val="00AA53B9"/>
    <w:rsid w:val="00AA581D"/>
    <w:rsid w:val="00AA6CFD"/>
    <w:rsid w:val="00AB0264"/>
    <w:rsid w:val="00AB1F6E"/>
    <w:rsid w:val="00AB25AC"/>
    <w:rsid w:val="00AB5229"/>
    <w:rsid w:val="00AB5D12"/>
    <w:rsid w:val="00AB6103"/>
    <w:rsid w:val="00AB6283"/>
    <w:rsid w:val="00AB7794"/>
    <w:rsid w:val="00AC03B4"/>
    <w:rsid w:val="00AC0752"/>
    <w:rsid w:val="00AC1347"/>
    <w:rsid w:val="00AC1EC3"/>
    <w:rsid w:val="00AC27D4"/>
    <w:rsid w:val="00AC33D2"/>
    <w:rsid w:val="00AC3C92"/>
    <w:rsid w:val="00AC51B8"/>
    <w:rsid w:val="00AC564B"/>
    <w:rsid w:val="00AC639A"/>
    <w:rsid w:val="00AD0A2E"/>
    <w:rsid w:val="00AD2210"/>
    <w:rsid w:val="00AD28BB"/>
    <w:rsid w:val="00AD6414"/>
    <w:rsid w:val="00AD7FAD"/>
    <w:rsid w:val="00AE045E"/>
    <w:rsid w:val="00AE053C"/>
    <w:rsid w:val="00AE295B"/>
    <w:rsid w:val="00AE5261"/>
    <w:rsid w:val="00AE679C"/>
    <w:rsid w:val="00AF2227"/>
    <w:rsid w:val="00AF4BD8"/>
    <w:rsid w:val="00AF4C0B"/>
    <w:rsid w:val="00AF6404"/>
    <w:rsid w:val="00B0133D"/>
    <w:rsid w:val="00B0227F"/>
    <w:rsid w:val="00B02FFF"/>
    <w:rsid w:val="00B03B5C"/>
    <w:rsid w:val="00B04CD7"/>
    <w:rsid w:val="00B0526E"/>
    <w:rsid w:val="00B1091C"/>
    <w:rsid w:val="00B10A9C"/>
    <w:rsid w:val="00B11B60"/>
    <w:rsid w:val="00B11EF3"/>
    <w:rsid w:val="00B125DF"/>
    <w:rsid w:val="00B13EA8"/>
    <w:rsid w:val="00B15953"/>
    <w:rsid w:val="00B161D0"/>
    <w:rsid w:val="00B1654C"/>
    <w:rsid w:val="00B16734"/>
    <w:rsid w:val="00B17E30"/>
    <w:rsid w:val="00B20795"/>
    <w:rsid w:val="00B21C7B"/>
    <w:rsid w:val="00B22916"/>
    <w:rsid w:val="00B23997"/>
    <w:rsid w:val="00B24A50"/>
    <w:rsid w:val="00B27043"/>
    <w:rsid w:val="00B2719B"/>
    <w:rsid w:val="00B31430"/>
    <w:rsid w:val="00B322DA"/>
    <w:rsid w:val="00B3301A"/>
    <w:rsid w:val="00B3425D"/>
    <w:rsid w:val="00B3578C"/>
    <w:rsid w:val="00B40C8B"/>
    <w:rsid w:val="00B41238"/>
    <w:rsid w:val="00B416F4"/>
    <w:rsid w:val="00B417B4"/>
    <w:rsid w:val="00B4281A"/>
    <w:rsid w:val="00B443EF"/>
    <w:rsid w:val="00B44667"/>
    <w:rsid w:val="00B4667C"/>
    <w:rsid w:val="00B51AF6"/>
    <w:rsid w:val="00B579A1"/>
    <w:rsid w:val="00B61679"/>
    <w:rsid w:val="00B61AA7"/>
    <w:rsid w:val="00B61F76"/>
    <w:rsid w:val="00B62B81"/>
    <w:rsid w:val="00B63937"/>
    <w:rsid w:val="00B64004"/>
    <w:rsid w:val="00B64798"/>
    <w:rsid w:val="00B664A4"/>
    <w:rsid w:val="00B67AAF"/>
    <w:rsid w:val="00B7066F"/>
    <w:rsid w:val="00B70C91"/>
    <w:rsid w:val="00B7164C"/>
    <w:rsid w:val="00B72DBD"/>
    <w:rsid w:val="00B72FEB"/>
    <w:rsid w:val="00B73176"/>
    <w:rsid w:val="00B73257"/>
    <w:rsid w:val="00B7493D"/>
    <w:rsid w:val="00B7498F"/>
    <w:rsid w:val="00B74A77"/>
    <w:rsid w:val="00B74BFA"/>
    <w:rsid w:val="00B7717D"/>
    <w:rsid w:val="00B80712"/>
    <w:rsid w:val="00B80D6D"/>
    <w:rsid w:val="00B819D8"/>
    <w:rsid w:val="00B833F1"/>
    <w:rsid w:val="00B83851"/>
    <w:rsid w:val="00B8655C"/>
    <w:rsid w:val="00B9125A"/>
    <w:rsid w:val="00B91AC1"/>
    <w:rsid w:val="00B9308F"/>
    <w:rsid w:val="00B9361F"/>
    <w:rsid w:val="00B93A7E"/>
    <w:rsid w:val="00B95938"/>
    <w:rsid w:val="00BA1789"/>
    <w:rsid w:val="00BA2779"/>
    <w:rsid w:val="00BA2B97"/>
    <w:rsid w:val="00BA4818"/>
    <w:rsid w:val="00BB1E11"/>
    <w:rsid w:val="00BB3601"/>
    <w:rsid w:val="00BB376E"/>
    <w:rsid w:val="00BB3A09"/>
    <w:rsid w:val="00BB4508"/>
    <w:rsid w:val="00BB5EFD"/>
    <w:rsid w:val="00BB6349"/>
    <w:rsid w:val="00BB670F"/>
    <w:rsid w:val="00BB7156"/>
    <w:rsid w:val="00BC1BB6"/>
    <w:rsid w:val="00BC26E2"/>
    <w:rsid w:val="00BC3B99"/>
    <w:rsid w:val="00BC3DC0"/>
    <w:rsid w:val="00BC599F"/>
    <w:rsid w:val="00BC5B0E"/>
    <w:rsid w:val="00BC669F"/>
    <w:rsid w:val="00BC713B"/>
    <w:rsid w:val="00BC7210"/>
    <w:rsid w:val="00BD034B"/>
    <w:rsid w:val="00BD0BFB"/>
    <w:rsid w:val="00BD19FD"/>
    <w:rsid w:val="00BD28DE"/>
    <w:rsid w:val="00BD2DFA"/>
    <w:rsid w:val="00BD32B9"/>
    <w:rsid w:val="00BD3A65"/>
    <w:rsid w:val="00BD51B9"/>
    <w:rsid w:val="00BD7966"/>
    <w:rsid w:val="00BD7A1E"/>
    <w:rsid w:val="00BD7F20"/>
    <w:rsid w:val="00BE0210"/>
    <w:rsid w:val="00BE07EB"/>
    <w:rsid w:val="00BE199C"/>
    <w:rsid w:val="00BE28FF"/>
    <w:rsid w:val="00BE412F"/>
    <w:rsid w:val="00BE7812"/>
    <w:rsid w:val="00BF0D72"/>
    <w:rsid w:val="00BF3939"/>
    <w:rsid w:val="00BF6C43"/>
    <w:rsid w:val="00C0057E"/>
    <w:rsid w:val="00C01FCF"/>
    <w:rsid w:val="00C02036"/>
    <w:rsid w:val="00C032FD"/>
    <w:rsid w:val="00C050EC"/>
    <w:rsid w:val="00C06B13"/>
    <w:rsid w:val="00C06EFA"/>
    <w:rsid w:val="00C118AB"/>
    <w:rsid w:val="00C11FA9"/>
    <w:rsid w:val="00C12CB2"/>
    <w:rsid w:val="00C17ED7"/>
    <w:rsid w:val="00C230F9"/>
    <w:rsid w:val="00C23891"/>
    <w:rsid w:val="00C252BD"/>
    <w:rsid w:val="00C26716"/>
    <w:rsid w:val="00C26857"/>
    <w:rsid w:val="00C26D0D"/>
    <w:rsid w:val="00C3024F"/>
    <w:rsid w:val="00C323B6"/>
    <w:rsid w:val="00C337C5"/>
    <w:rsid w:val="00C34956"/>
    <w:rsid w:val="00C34962"/>
    <w:rsid w:val="00C41889"/>
    <w:rsid w:val="00C43199"/>
    <w:rsid w:val="00C44808"/>
    <w:rsid w:val="00C46006"/>
    <w:rsid w:val="00C50009"/>
    <w:rsid w:val="00C5015F"/>
    <w:rsid w:val="00C50C30"/>
    <w:rsid w:val="00C524E7"/>
    <w:rsid w:val="00C5298F"/>
    <w:rsid w:val="00C52D77"/>
    <w:rsid w:val="00C53023"/>
    <w:rsid w:val="00C55C9D"/>
    <w:rsid w:val="00C57624"/>
    <w:rsid w:val="00C61167"/>
    <w:rsid w:val="00C615ED"/>
    <w:rsid w:val="00C61E26"/>
    <w:rsid w:val="00C62872"/>
    <w:rsid w:val="00C6697D"/>
    <w:rsid w:val="00C675A5"/>
    <w:rsid w:val="00C67D2C"/>
    <w:rsid w:val="00C70CF3"/>
    <w:rsid w:val="00C72082"/>
    <w:rsid w:val="00C7276D"/>
    <w:rsid w:val="00C733E2"/>
    <w:rsid w:val="00C73A6C"/>
    <w:rsid w:val="00C74054"/>
    <w:rsid w:val="00C75D8D"/>
    <w:rsid w:val="00C7630D"/>
    <w:rsid w:val="00C7660C"/>
    <w:rsid w:val="00C77060"/>
    <w:rsid w:val="00C80CB9"/>
    <w:rsid w:val="00C81103"/>
    <w:rsid w:val="00C825D5"/>
    <w:rsid w:val="00C825FB"/>
    <w:rsid w:val="00C850D2"/>
    <w:rsid w:val="00C8662D"/>
    <w:rsid w:val="00C92B71"/>
    <w:rsid w:val="00C956D5"/>
    <w:rsid w:val="00C96065"/>
    <w:rsid w:val="00CA002C"/>
    <w:rsid w:val="00CA0C4D"/>
    <w:rsid w:val="00CA182B"/>
    <w:rsid w:val="00CA1CF7"/>
    <w:rsid w:val="00CA43E2"/>
    <w:rsid w:val="00CA58A2"/>
    <w:rsid w:val="00CA58E8"/>
    <w:rsid w:val="00CA7E4F"/>
    <w:rsid w:val="00CB16B8"/>
    <w:rsid w:val="00CB3613"/>
    <w:rsid w:val="00CB43B0"/>
    <w:rsid w:val="00CC01AE"/>
    <w:rsid w:val="00CC1238"/>
    <w:rsid w:val="00CC18E1"/>
    <w:rsid w:val="00CC231A"/>
    <w:rsid w:val="00CC2989"/>
    <w:rsid w:val="00CC363D"/>
    <w:rsid w:val="00CC59EA"/>
    <w:rsid w:val="00CC60B6"/>
    <w:rsid w:val="00CC6678"/>
    <w:rsid w:val="00CC6ACE"/>
    <w:rsid w:val="00CC6C0F"/>
    <w:rsid w:val="00CC7B13"/>
    <w:rsid w:val="00CC7DDD"/>
    <w:rsid w:val="00CD36A7"/>
    <w:rsid w:val="00CD5021"/>
    <w:rsid w:val="00CE078B"/>
    <w:rsid w:val="00CE2177"/>
    <w:rsid w:val="00CE2B3D"/>
    <w:rsid w:val="00CE3C8B"/>
    <w:rsid w:val="00CE4500"/>
    <w:rsid w:val="00CE7EFD"/>
    <w:rsid w:val="00CF08B4"/>
    <w:rsid w:val="00CF0A4F"/>
    <w:rsid w:val="00CF3D5E"/>
    <w:rsid w:val="00D0031E"/>
    <w:rsid w:val="00D0145A"/>
    <w:rsid w:val="00D021DA"/>
    <w:rsid w:val="00D02CE4"/>
    <w:rsid w:val="00D051DE"/>
    <w:rsid w:val="00D056D6"/>
    <w:rsid w:val="00D06B44"/>
    <w:rsid w:val="00D075AB"/>
    <w:rsid w:val="00D07C0F"/>
    <w:rsid w:val="00D10EC8"/>
    <w:rsid w:val="00D130A4"/>
    <w:rsid w:val="00D1455A"/>
    <w:rsid w:val="00D14680"/>
    <w:rsid w:val="00D14AB7"/>
    <w:rsid w:val="00D223C8"/>
    <w:rsid w:val="00D225BD"/>
    <w:rsid w:val="00D25E7E"/>
    <w:rsid w:val="00D26FEA"/>
    <w:rsid w:val="00D271A6"/>
    <w:rsid w:val="00D27715"/>
    <w:rsid w:val="00D31BC8"/>
    <w:rsid w:val="00D32277"/>
    <w:rsid w:val="00D32471"/>
    <w:rsid w:val="00D343DB"/>
    <w:rsid w:val="00D34985"/>
    <w:rsid w:val="00D35353"/>
    <w:rsid w:val="00D3589C"/>
    <w:rsid w:val="00D35C28"/>
    <w:rsid w:val="00D35E2D"/>
    <w:rsid w:val="00D35FA2"/>
    <w:rsid w:val="00D37F4C"/>
    <w:rsid w:val="00D410EB"/>
    <w:rsid w:val="00D41A77"/>
    <w:rsid w:val="00D42C55"/>
    <w:rsid w:val="00D44D0B"/>
    <w:rsid w:val="00D46E82"/>
    <w:rsid w:val="00D50AA7"/>
    <w:rsid w:val="00D52833"/>
    <w:rsid w:val="00D53847"/>
    <w:rsid w:val="00D5465F"/>
    <w:rsid w:val="00D57315"/>
    <w:rsid w:val="00D57A4C"/>
    <w:rsid w:val="00D6145B"/>
    <w:rsid w:val="00D61B38"/>
    <w:rsid w:val="00D61B83"/>
    <w:rsid w:val="00D6252F"/>
    <w:rsid w:val="00D626D9"/>
    <w:rsid w:val="00D6388E"/>
    <w:rsid w:val="00D63D10"/>
    <w:rsid w:val="00D63EC3"/>
    <w:rsid w:val="00D64624"/>
    <w:rsid w:val="00D64DE9"/>
    <w:rsid w:val="00D65DA3"/>
    <w:rsid w:val="00D662A8"/>
    <w:rsid w:val="00D7076A"/>
    <w:rsid w:val="00D72173"/>
    <w:rsid w:val="00D747F6"/>
    <w:rsid w:val="00D75CB5"/>
    <w:rsid w:val="00D76F5E"/>
    <w:rsid w:val="00D83D31"/>
    <w:rsid w:val="00D86196"/>
    <w:rsid w:val="00D86B65"/>
    <w:rsid w:val="00D87F0D"/>
    <w:rsid w:val="00D91336"/>
    <w:rsid w:val="00D938FC"/>
    <w:rsid w:val="00D940B0"/>
    <w:rsid w:val="00D9422E"/>
    <w:rsid w:val="00D94FAA"/>
    <w:rsid w:val="00DA06B7"/>
    <w:rsid w:val="00DA1312"/>
    <w:rsid w:val="00DA1629"/>
    <w:rsid w:val="00DA206B"/>
    <w:rsid w:val="00DA3F50"/>
    <w:rsid w:val="00DA662E"/>
    <w:rsid w:val="00DA7CED"/>
    <w:rsid w:val="00DB1325"/>
    <w:rsid w:val="00DB1963"/>
    <w:rsid w:val="00DB25AA"/>
    <w:rsid w:val="00DB2F02"/>
    <w:rsid w:val="00DB6416"/>
    <w:rsid w:val="00DB7FAD"/>
    <w:rsid w:val="00DC0806"/>
    <w:rsid w:val="00DC2B7F"/>
    <w:rsid w:val="00DC3831"/>
    <w:rsid w:val="00DC57E4"/>
    <w:rsid w:val="00DC6614"/>
    <w:rsid w:val="00DD0404"/>
    <w:rsid w:val="00DD08AD"/>
    <w:rsid w:val="00DD137B"/>
    <w:rsid w:val="00DD1568"/>
    <w:rsid w:val="00DD15DF"/>
    <w:rsid w:val="00DD36DE"/>
    <w:rsid w:val="00DD3DB9"/>
    <w:rsid w:val="00DD6244"/>
    <w:rsid w:val="00DE36E5"/>
    <w:rsid w:val="00DE631F"/>
    <w:rsid w:val="00DE706A"/>
    <w:rsid w:val="00DF0644"/>
    <w:rsid w:val="00DF3302"/>
    <w:rsid w:val="00DF3878"/>
    <w:rsid w:val="00DF3E97"/>
    <w:rsid w:val="00DF7A95"/>
    <w:rsid w:val="00E00C01"/>
    <w:rsid w:val="00E01386"/>
    <w:rsid w:val="00E01E13"/>
    <w:rsid w:val="00E01F24"/>
    <w:rsid w:val="00E05479"/>
    <w:rsid w:val="00E0556B"/>
    <w:rsid w:val="00E07780"/>
    <w:rsid w:val="00E07A86"/>
    <w:rsid w:val="00E07E9C"/>
    <w:rsid w:val="00E109D2"/>
    <w:rsid w:val="00E12934"/>
    <w:rsid w:val="00E13C6D"/>
    <w:rsid w:val="00E14015"/>
    <w:rsid w:val="00E14873"/>
    <w:rsid w:val="00E148D8"/>
    <w:rsid w:val="00E14BD4"/>
    <w:rsid w:val="00E15F9C"/>
    <w:rsid w:val="00E16CB7"/>
    <w:rsid w:val="00E16EA5"/>
    <w:rsid w:val="00E1730E"/>
    <w:rsid w:val="00E200A9"/>
    <w:rsid w:val="00E235E2"/>
    <w:rsid w:val="00E241BE"/>
    <w:rsid w:val="00E2633D"/>
    <w:rsid w:val="00E26694"/>
    <w:rsid w:val="00E26F96"/>
    <w:rsid w:val="00E30F1F"/>
    <w:rsid w:val="00E32023"/>
    <w:rsid w:val="00E33DAB"/>
    <w:rsid w:val="00E342D1"/>
    <w:rsid w:val="00E3672C"/>
    <w:rsid w:val="00E4042B"/>
    <w:rsid w:val="00E43EE6"/>
    <w:rsid w:val="00E4455A"/>
    <w:rsid w:val="00E45CE2"/>
    <w:rsid w:val="00E472D9"/>
    <w:rsid w:val="00E47BFA"/>
    <w:rsid w:val="00E47EAE"/>
    <w:rsid w:val="00E51CF6"/>
    <w:rsid w:val="00E561B8"/>
    <w:rsid w:val="00E606F9"/>
    <w:rsid w:val="00E63496"/>
    <w:rsid w:val="00E63695"/>
    <w:rsid w:val="00E6740D"/>
    <w:rsid w:val="00E80485"/>
    <w:rsid w:val="00E81D81"/>
    <w:rsid w:val="00E82007"/>
    <w:rsid w:val="00E82056"/>
    <w:rsid w:val="00E83286"/>
    <w:rsid w:val="00E843F9"/>
    <w:rsid w:val="00E8461C"/>
    <w:rsid w:val="00E85094"/>
    <w:rsid w:val="00E85593"/>
    <w:rsid w:val="00E86556"/>
    <w:rsid w:val="00E878D9"/>
    <w:rsid w:val="00E901D4"/>
    <w:rsid w:val="00E91225"/>
    <w:rsid w:val="00E9136D"/>
    <w:rsid w:val="00E92AA9"/>
    <w:rsid w:val="00E92F26"/>
    <w:rsid w:val="00E935C4"/>
    <w:rsid w:val="00E93ABC"/>
    <w:rsid w:val="00E9435C"/>
    <w:rsid w:val="00E9790D"/>
    <w:rsid w:val="00E97B0E"/>
    <w:rsid w:val="00EA1A12"/>
    <w:rsid w:val="00EA20CA"/>
    <w:rsid w:val="00EA2AC6"/>
    <w:rsid w:val="00EA399D"/>
    <w:rsid w:val="00EA5AAA"/>
    <w:rsid w:val="00EA7601"/>
    <w:rsid w:val="00EA773B"/>
    <w:rsid w:val="00EA7C39"/>
    <w:rsid w:val="00EA7D8C"/>
    <w:rsid w:val="00EB4378"/>
    <w:rsid w:val="00EB44E7"/>
    <w:rsid w:val="00EB4797"/>
    <w:rsid w:val="00EB4AFC"/>
    <w:rsid w:val="00EC15E6"/>
    <w:rsid w:val="00EC23D0"/>
    <w:rsid w:val="00EC2D10"/>
    <w:rsid w:val="00EC3DAA"/>
    <w:rsid w:val="00EC42A6"/>
    <w:rsid w:val="00EC5E73"/>
    <w:rsid w:val="00EC6C1F"/>
    <w:rsid w:val="00EC7D34"/>
    <w:rsid w:val="00ED3466"/>
    <w:rsid w:val="00ED7C2B"/>
    <w:rsid w:val="00EE005E"/>
    <w:rsid w:val="00EE0F6B"/>
    <w:rsid w:val="00EE16B7"/>
    <w:rsid w:val="00EE1AC0"/>
    <w:rsid w:val="00EE2914"/>
    <w:rsid w:val="00EE3180"/>
    <w:rsid w:val="00EE7143"/>
    <w:rsid w:val="00EE78FB"/>
    <w:rsid w:val="00EE7D21"/>
    <w:rsid w:val="00EF214B"/>
    <w:rsid w:val="00EF5101"/>
    <w:rsid w:val="00EF5D5E"/>
    <w:rsid w:val="00EF627A"/>
    <w:rsid w:val="00EF70D1"/>
    <w:rsid w:val="00EF7F4C"/>
    <w:rsid w:val="00F00515"/>
    <w:rsid w:val="00F01E63"/>
    <w:rsid w:val="00F0250C"/>
    <w:rsid w:val="00F042EE"/>
    <w:rsid w:val="00F048F8"/>
    <w:rsid w:val="00F055BA"/>
    <w:rsid w:val="00F06297"/>
    <w:rsid w:val="00F067F4"/>
    <w:rsid w:val="00F06C5C"/>
    <w:rsid w:val="00F06D4A"/>
    <w:rsid w:val="00F07E3C"/>
    <w:rsid w:val="00F135E1"/>
    <w:rsid w:val="00F14CB6"/>
    <w:rsid w:val="00F167E2"/>
    <w:rsid w:val="00F223B8"/>
    <w:rsid w:val="00F22EFA"/>
    <w:rsid w:val="00F237C3"/>
    <w:rsid w:val="00F23DA7"/>
    <w:rsid w:val="00F24713"/>
    <w:rsid w:val="00F24FB4"/>
    <w:rsid w:val="00F25E46"/>
    <w:rsid w:val="00F25E4D"/>
    <w:rsid w:val="00F27589"/>
    <w:rsid w:val="00F27D2A"/>
    <w:rsid w:val="00F3088A"/>
    <w:rsid w:val="00F3131F"/>
    <w:rsid w:val="00F32CC6"/>
    <w:rsid w:val="00F32FF6"/>
    <w:rsid w:val="00F334EA"/>
    <w:rsid w:val="00F348F5"/>
    <w:rsid w:val="00F4133C"/>
    <w:rsid w:val="00F413AB"/>
    <w:rsid w:val="00F42F2A"/>
    <w:rsid w:val="00F43A0E"/>
    <w:rsid w:val="00F44F8D"/>
    <w:rsid w:val="00F47BEC"/>
    <w:rsid w:val="00F47E59"/>
    <w:rsid w:val="00F50375"/>
    <w:rsid w:val="00F5056F"/>
    <w:rsid w:val="00F51E15"/>
    <w:rsid w:val="00F5219B"/>
    <w:rsid w:val="00F52C72"/>
    <w:rsid w:val="00F53971"/>
    <w:rsid w:val="00F5476A"/>
    <w:rsid w:val="00F547A6"/>
    <w:rsid w:val="00F56280"/>
    <w:rsid w:val="00F56DB8"/>
    <w:rsid w:val="00F57226"/>
    <w:rsid w:val="00F6196D"/>
    <w:rsid w:val="00F619DF"/>
    <w:rsid w:val="00F627D2"/>
    <w:rsid w:val="00F6334C"/>
    <w:rsid w:val="00F63C91"/>
    <w:rsid w:val="00F66436"/>
    <w:rsid w:val="00F671DF"/>
    <w:rsid w:val="00F76537"/>
    <w:rsid w:val="00F76A92"/>
    <w:rsid w:val="00F772EA"/>
    <w:rsid w:val="00F80AA8"/>
    <w:rsid w:val="00F80FF6"/>
    <w:rsid w:val="00F81EA1"/>
    <w:rsid w:val="00F822C3"/>
    <w:rsid w:val="00F84714"/>
    <w:rsid w:val="00F86477"/>
    <w:rsid w:val="00F86902"/>
    <w:rsid w:val="00F87360"/>
    <w:rsid w:val="00F87C7D"/>
    <w:rsid w:val="00F87D49"/>
    <w:rsid w:val="00F91BF9"/>
    <w:rsid w:val="00F91FD1"/>
    <w:rsid w:val="00F9413E"/>
    <w:rsid w:val="00F958BE"/>
    <w:rsid w:val="00F960AE"/>
    <w:rsid w:val="00F96A82"/>
    <w:rsid w:val="00FA0802"/>
    <w:rsid w:val="00FA2C90"/>
    <w:rsid w:val="00FA39DA"/>
    <w:rsid w:val="00FA3B6B"/>
    <w:rsid w:val="00FA4211"/>
    <w:rsid w:val="00FA446E"/>
    <w:rsid w:val="00FA4EA2"/>
    <w:rsid w:val="00FA5127"/>
    <w:rsid w:val="00FA5AF9"/>
    <w:rsid w:val="00FA5CDB"/>
    <w:rsid w:val="00FA5E8B"/>
    <w:rsid w:val="00FA6ABD"/>
    <w:rsid w:val="00FB090F"/>
    <w:rsid w:val="00FB2254"/>
    <w:rsid w:val="00FB514E"/>
    <w:rsid w:val="00FB5506"/>
    <w:rsid w:val="00FB6C3C"/>
    <w:rsid w:val="00FC07A8"/>
    <w:rsid w:val="00FC1070"/>
    <w:rsid w:val="00FC3358"/>
    <w:rsid w:val="00FC5AFB"/>
    <w:rsid w:val="00FC6E03"/>
    <w:rsid w:val="00FD0083"/>
    <w:rsid w:val="00FD00B4"/>
    <w:rsid w:val="00FD01D5"/>
    <w:rsid w:val="00FD04B9"/>
    <w:rsid w:val="00FD06EE"/>
    <w:rsid w:val="00FD0943"/>
    <w:rsid w:val="00FD2972"/>
    <w:rsid w:val="00FD415B"/>
    <w:rsid w:val="00FD4673"/>
    <w:rsid w:val="00FD5CA2"/>
    <w:rsid w:val="00FE14AF"/>
    <w:rsid w:val="00FE2A44"/>
    <w:rsid w:val="00FE2CBE"/>
    <w:rsid w:val="00FE3AB7"/>
    <w:rsid w:val="00FE431E"/>
    <w:rsid w:val="00FE55CF"/>
    <w:rsid w:val="00FE5F32"/>
    <w:rsid w:val="00FE7BF6"/>
    <w:rsid w:val="00FF0069"/>
    <w:rsid w:val="00FF0B77"/>
    <w:rsid w:val="00FF1B67"/>
    <w:rsid w:val="00FF2320"/>
    <w:rsid w:val="00FF6C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fillcolor="none" stroke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6A3C3D"/>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7A3E2D"/>
    <w:pPr>
      <w:keepNext/>
      <w:spacing w:before="120" w:after="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AA31D8"/>
    <w:pPr>
      <w:tabs>
        <w:tab w:val="left" w:pos="45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0A0FAC"/>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color w:val="008000"/>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0A0FAC"/>
    <w:rPr>
      <w:color w:val="FF0000"/>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6A3C3D"/>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paragraph" w:customStyle="1" w:styleId="Body1">
    <w:name w:val="Body 1"/>
    <w:rsid w:val="00EA773B"/>
    <w:rPr>
      <w:rFonts w:ascii="Helvetica" w:eastAsia="ヒラギノ角ゴ Pro W3" w:hAnsi="Helvetica"/>
      <w:color w:val="000000"/>
      <w:sz w:val="24"/>
      <w:lang w:val="en-US"/>
    </w:rPr>
  </w:style>
  <w:style w:type="character" w:styleId="CommentReference">
    <w:name w:val="annotation reference"/>
    <w:uiPriority w:val="99"/>
    <w:semiHidden/>
    <w:unhideWhenUsed/>
    <w:rsid w:val="00EE0F6B"/>
    <w:rPr>
      <w:sz w:val="16"/>
      <w:szCs w:val="16"/>
    </w:rPr>
  </w:style>
</w:styles>
</file>

<file path=word/webSettings.xml><?xml version="1.0" encoding="utf-8"?>
<w:webSettings xmlns:r="http://schemas.openxmlformats.org/officeDocument/2006/relationships" xmlns:w="http://schemas.openxmlformats.org/wordprocessingml/2006/main">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8155">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56732644">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8356391">
      <w:bodyDiv w:val="1"/>
      <w:marLeft w:val="0"/>
      <w:marRight w:val="0"/>
      <w:marTop w:val="0"/>
      <w:marBottom w:val="0"/>
      <w:divBdr>
        <w:top w:val="none" w:sz="0" w:space="0" w:color="auto"/>
        <w:left w:val="none" w:sz="0" w:space="0" w:color="auto"/>
        <w:bottom w:val="none" w:sz="0" w:space="0" w:color="auto"/>
        <w:right w:val="none" w:sz="0" w:space="0" w:color="auto"/>
      </w:divBdr>
    </w:div>
    <w:div w:id="44165166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89849303">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19997816">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57617061">
      <w:bodyDiv w:val="1"/>
      <w:marLeft w:val="0"/>
      <w:marRight w:val="0"/>
      <w:marTop w:val="0"/>
      <w:marBottom w:val="0"/>
      <w:divBdr>
        <w:top w:val="none" w:sz="0" w:space="0" w:color="auto"/>
        <w:left w:val="none" w:sz="0" w:space="0" w:color="auto"/>
        <w:bottom w:val="none" w:sz="0" w:space="0" w:color="auto"/>
        <w:right w:val="none" w:sz="0" w:space="0" w:color="auto"/>
      </w:divBdr>
    </w:div>
    <w:div w:id="935094078">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Office_Word_97_-_2003_Document1.doc"/><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Office_Word_97_-_2003_Document2.doc"/></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BDEA-861A-48E0-8E85-29FBDB4A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9</Pages>
  <Words>2890</Words>
  <Characters>14887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 </Company>
  <LinksUpToDate>false</LinksUpToDate>
  <CharactersWithSpaces>17742</CharactersWithSpaces>
  <SharedDoc>false</SharedDoc>
  <HLinks>
    <vt:vector size="96" baseType="variant">
      <vt:variant>
        <vt:i4>5242928</vt:i4>
      </vt:variant>
      <vt:variant>
        <vt:i4>93</vt:i4>
      </vt:variant>
      <vt:variant>
        <vt:i4>0</vt:i4>
      </vt:variant>
      <vt:variant>
        <vt:i4>5</vt:i4>
      </vt:variant>
      <vt:variant>
        <vt:lpwstr>mailto:kaat.binon@swift.com</vt:lpwstr>
      </vt:variant>
      <vt:variant>
        <vt:lpwstr/>
      </vt:variant>
      <vt:variant>
        <vt:i4>1703996</vt:i4>
      </vt:variant>
      <vt:variant>
        <vt:i4>86</vt:i4>
      </vt:variant>
      <vt:variant>
        <vt:i4>0</vt:i4>
      </vt:variant>
      <vt:variant>
        <vt:i4>5</vt:i4>
      </vt:variant>
      <vt:variant>
        <vt:lpwstr/>
      </vt:variant>
      <vt:variant>
        <vt:lpwstr>_Toc304820951</vt:lpwstr>
      </vt:variant>
      <vt:variant>
        <vt:i4>1703996</vt:i4>
      </vt:variant>
      <vt:variant>
        <vt:i4>80</vt:i4>
      </vt:variant>
      <vt:variant>
        <vt:i4>0</vt:i4>
      </vt:variant>
      <vt:variant>
        <vt:i4>5</vt:i4>
      </vt:variant>
      <vt:variant>
        <vt:lpwstr/>
      </vt:variant>
      <vt:variant>
        <vt:lpwstr>_Toc304820950</vt:lpwstr>
      </vt:variant>
      <vt:variant>
        <vt:i4>1769532</vt:i4>
      </vt:variant>
      <vt:variant>
        <vt:i4>74</vt:i4>
      </vt:variant>
      <vt:variant>
        <vt:i4>0</vt:i4>
      </vt:variant>
      <vt:variant>
        <vt:i4>5</vt:i4>
      </vt:variant>
      <vt:variant>
        <vt:lpwstr/>
      </vt:variant>
      <vt:variant>
        <vt:lpwstr>_Toc304820949</vt:lpwstr>
      </vt:variant>
      <vt:variant>
        <vt:i4>1769532</vt:i4>
      </vt:variant>
      <vt:variant>
        <vt:i4>68</vt:i4>
      </vt:variant>
      <vt:variant>
        <vt:i4>0</vt:i4>
      </vt:variant>
      <vt:variant>
        <vt:i4>5</vt:i4>
      </vt:variant>
      <vt:variant>
        <vt:lpwstr/>
      </vt:variant>
      <vt:variant>
        <vt:lpwstr>_Toc304820948</vt:lpwstr>
      </vt:variant>
      <vt:variant>
        <vt:i4>1769532</vt:i4>
      </vt:variant>
      <vt:variant>
        <vt:i4>62</vt:i4>
      </vt:variant>
      <vt:variant>
        <vt:i4>0</vt:i4>
      </vt:variant>
      <vt:variant>
        <vt:i4>5</vt:i4>
      </vt:variant>
      <vt:variant>
        <vt:lpwstr/>
      </vt:variant>
      <vt:variant>
        <vt:lpwstr>_Toc304820947</vt:lpwstr>
      </vt:variant>
      <vt:variant>
        <vt:i4>1769532</vt:i4>
      </vt:variant>
      <vt:variant>
        <vt:i4>56</vt:i4>
      </vt:variant>
      <vt:variant>
        <vt:i4>0</vt:i4>
      </vt:variant>
      <vt:variant>
        <vt:i4>5</vt:i4>
      </vt:variant>
      <vt:variant>
        <vt:lpwstr/>
      </vt:variant>
      <vt:variant>
        <vt:lpwstr>_Toc304820946</vt:lpwstr>
      </vt:variant>
      <vt:variant>
        <vt:i4>1769532</vt:i4>
      </vt:variant>
      <vt:variant>
        <vt:i4>50</vt:i4>
      </vt:variant>
      <vt:variant>
        <vt:i4>0</vt:i4>
      </vt:variant>
      <vt:variant>
        <vt:i4>5</vt:i4>
      </vt:variant>
      <vt:variant>
        <vt:lpwstr/>
      </vt:variant>
      <vt:variant>
        <vt:lpwstr>_Toc304820945</vt:lpwstr>
      </vt:variant>
      <vt:variant>
        <vt:i4>1769532</vt:i4>
      </vt:variant>
      <vt:variant>
        <vt:i4>44</vt:i4>
      </vt:variant>
      <vt:variant>
        <vt:i4>0</vt:i4>
      </vt:variant>
      <vt:variant>
        <vt:i4>5</vt:i4>
      </vt:variant>
      <vt:variant>
        <vt:lpwstr/>
      </vt:variant>
      <vt:variant>
        <vt:lpwstr>_Toc304820944</vt:lpwstr>
      </vt:variant>
      <vt:variant>
        <vt:i4>1769532</vt:i4>
      </vt:variant>
      <vt:variant>
        <vt:i4>38</vt:i4>
      </vt:variant>
      <vt:variant>
        <vt:i4>0</vt:i4>
      </vt:variant>
      <vt:variant>
        <vt:i4>5</vt:i4>
      </vt:variant>
      <vt:variant>
        <vt:lpwstr/>
      </vt:variant>
      <vt:variant>
        <vt:lpwstr>_Toc304820943</vt:lpwstr>
      </vt:variant>
      <vt:variant>
        <vt:i4>1769532</vt:i4>
      </vt:variant>
      <vt:variant>
        <vt:i4>32</vt:i4>
      </vt:variant>
      <vt:variant>
        <vt:i4>0</vt:i4>
      </vt:variant>
      <vt:variant>
        <vt:i4>5</vt:i4>
      </vt:variant>
      <vt:variant>
        <vt:lpwstr/>
      </vt:variant>
      <vt:variant>
        <vt:lpwstr>_Toc304820942</vt:lpwstr>
      </vt:variant>
      <vt:variant>
        <vt:i4>1769532</vt:i4>
      </vt:variant>
      <vt:variant>
        <vt:i4>26</vt:i4>
      </vt:variant>
      <vt:variant>
        <vt:i4>0</vt:i4>
      </vt:variant>
      <vt:variant>
        <vt:i4>5</vt:i4>
      </vt:variant>
      <vt:variant>
        <vt:lpwstr/>
      </vt:variant>
      <vt:variant>
        <vt:lpwstr>_Toc304820941</vt:lpwstr>
      </vt:variant>
      <vt:variant>
        <vt:i4>1769532</vt:i4>
      </vt:variant>
      <vt:variant>
        <vt:i4>20</vt:i4>
      </vt:variant>
      <vt:variant>
        <vt:i4>0</vt:i4>
      </vt:variant>
      <vt:variant>
        <vt:i4>5</vt:i4>
      </vt:variant>
      <vt:variant>
        <vt:lpwstr/>
      </vt:variant>
      <vt:variant>
        <vt:lpwstr>_Toc304820940</vt:lpwstr>
      </vt:variant>
      <vt:variant>
        <vt:i4>1835068</vt:i4>
      </vt:variant>
      <vt:variant>
        <vt:i4>14</vt:i4>
      </vt:variant>
      <vt:variant>
        <vt:i4>0</vt:i4>
      </vt:variant>
      <vt:variant>
        <vt:i4>5</vt:i4>
      </vt:variant>
      <vt:variant>
        <vt:lpwstr/>
      </vt:variant>
      <vt:variant>
        <vt:lpwstr>_Toc304820939</vt:lpwstr>
      </vt:variant>
      <vt:variant>
        <vt:i4>1835068</vt:i4>
      </vt:variant>
      <vt:variant>
        <vt:i4>8</vt:i4>
      </vt:variant>
      <vt:variant>
        <vt:i4>0</vt:i4>
      </vt:variant>
      <vt:variant>
        <vt:i4>5</vt:i4>
      </vt:variant>
      <vt:variant>
        <vt:lpwstr/>
      </vt:variant>
      <vt:variant>
        <vt:lpwstr>_Toc304820938</vt:lpwstr>
      </vt:variant>
      <vt:variant>
        <vt:i4>1835068</vt:i4>
      </vt:variant>
      <vt:variant>
        <vt:i4>2</vt:i4>
      </vt:variant>
      <vt:variant>
        <vt:i4>0</vt:i4>
      </vt:variant>
      <vt:variant>
        <vt:i4>5</vt:i4>
      </vt:variant>
      <vt:variant>
        <vt:lpwstr/>
      </vt:variant>
      <vt:variant>
        <vt:lpwstr>_Toc304820937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Jacques Littré</cp:lastModifiedBy>
  <cp:revision>28</cp:revision>
  <cp:lastPrinted>2011-05-05T16:09:00Z</cp:lastPrinted>
  <dcterms:created xsi:type="dcterms:W3CDTF">2012-02-21T09:23:00Z</dcterms:created>
  <dcterms:modified xsi:type="dcterms:W3CDTF">2012-02-22T14:51:00Z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