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2FD9B231" wp14:editId="4D95C922">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0B0CBB" w:rsidRDefault="000B0CBB" w:rsidP="00592037">
      <w:pPr>
        <w:pStyle w:val="Header"/>
        <w:rPr>
          <w:lang w:val="en-GB"/>
        </w:rPr>
      </w:pPr>
      <w:r>
        <w:rPr>
          <w:lang w:val="en-GB"/>
        </w:rPr>
        <w:t xml:space="preserve">Minutes </w:t>
      </w:r>
      <w:r w:rsidR="00AE5D8E">
        <w:rPr>
          <w:lang w:val="en-GB"/>
        </w:rPr>
        <w:t>of Johannesburg Meeting</w:t>
      </w:r>
    </w:p>
    <w:p w:rsidR="00AB6103" w:rsidRPr="00C10F02" w:rsidRDefault="00AE5D8E" w:rsidP="00592037">
      <w:pPr>
        <w:pStyle w:val="Header"/>
        <w:rPr>
          <w:lang w:val="en-GB"/>
        </w:rPr>
      </w:pPr>
      <w:r>
        <w:rPr>
          <w:lang w:val="en-GB"/>
        </w:rPr>
        <w:t>10</w:t>
      </w:r>
      <w:r w:rsidR="000B0CBB">
        <w:rPr>
          <w:lang w:val="en-GB"/>
        </w:rPr>
        <w:t xml:space="preserve"> </w:t>
      </w:r>
      <w:r>
        <w:rPr>
          <w:lang w:val="en-GB"/>
        </w:rPr>
        <w:t xml:space="preserve">– 12 </w:t>
      </w:r>
      <w:proofErr w:type="gramStart"/>
      <w:r>
        <w:rPr>
          <w:lang w:val="en-GB"/>
        </w:rPr>
        <w:t>March</w:t>
      </w:r>
      <w:r w:rsidR="00646B65">
        <w:rPr>
          <w:lang w:val="en-GB"/>
        </w:rPr>
        <w:t>,</w:t>
      </w:r>
      <w:proofErr w:type="gramEnd"/>
      <w:r w:rsidR="005E4302">
        <w:rPr>
          <w:lang w:val="en-GB"/>
        </w:rPr>
        <w:t xml:space="preserve"> </w:t>
      </w:r>
      <w:r w:rsidR="008C59D4">
        <w:rPr>
          <w:lang w:val="en-GB"/>
        </w:rPr>
        <w:t>2020</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470678"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Pr>
          <w:lang w:val="en-GB"/>
        </w:rPr>
        <w:t>May 5</w:t>
      </w:r>
      <w:r w:rsidR="00906C70">
        <w:rPr>
          <w:lang w:val="en-GB"/>
        </w:rPr>
        <w:t>,</w:t>
      </w:r>
      <w:r w:rsidR="005352DE">
        <w:rPr>
          <w:lang w:val="en-GB"/>
        </w:rPr>
        <w:t xml:space="preserve"> 2020</w:t>
      </w:r>
    </w:p>
    <w:p w:rsidR="00AB6103" w:rsidRDefault="00E81D81" w:rsidP="00592037">
      <w:pPr>
        <w:pStyle w:val="Title1"/>
      </w:pPr>
      <w:r>
        <w:lastRenderedPageBreak/>
        <w:t>Table of Contents</w:t>
      </w:r>
    </w:p>
    <w:bookmarkStart w:id="1" w:name="_GoBack"/>
    <w:bookmarkEnd w:id="1"/>
    <w:p w:rsidR="001F2C19"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39829665" w:history="1">
        <w:r w:rsidR="001F2C19" w:rsidRPr="00FF64B1">
          <w:rPr>
            <w:rStyle w:val="Hyperlink"/>
            <w:lang w:val="en-GB" w:eastAsia="en-GB"/>
          </w:rPr>
          <w:t>1.</w:t>
        </w:r>
        <w:r w:rsidR="001F2C19">
          <w:rPr>
            <w:rFonts w:asciiTheme="minorHAnsi" w:eastAsiaTheme="minorEastAsia" w:hAnsiTheme="minorHAnsi" w:cstheme="minorBidi"/>
            <w:b w:val="0"/>
            <w:bCs w:val="0"/>
            <w:sz w:val="22"/>
            <w:szCs w:val="22"/>
            <w:lang w:val="en-GB" w:eastAsia="en-GB"/>
          </w:rPr>
          <w:tab/>
        </w:r>
        <w:r w:rsidR="001F2C19" w:rsidRPr="00FF64B1">
          <w:rPr>
            <w:rStyle w:val="Hyperlink"/>
            <w:lang w:eastAsia="en-GB"/>
          </w:rPr>
          <w:t>Meeting Dates for Q3/Q4 2020</w:t>
        </w:r>
        <w:r w:rsidR="001F2C19">
          <w:rPr>
            <w:webHidden/>
          </w:rPr>
          <w:tab/>
        </w:r>
        <w:r w:rsidR="001F2C19">
          <w:rPr>
            <w:webHidden/>
          </w:rPr>
          <w:fldChar w:fldCharType="begin"/>
        </w:r>
        <w:r w:rsidR="001F2C19">
          <w:rPr>
            <w:webHidden/>
          </w:rPr>
          <w:instrText xml:space="preserve"> PAGEREF _Toc39829665 \h </w:instrText>
        </w:r>
        <w:r w:rsidR="001F2C19">
          <w:rPr>
            <w:webHidden/>
          </w:rPr>
        </w:r>
        <w:r w:rsidR="001F2C19">
          <w:rPr>
            <w:webHidden/>
          </w:rPr>
          <w:fldChar w:fldCharType="separate"/>
        </w:r>
        <w:r w:rsidR="001F2C19">
          <w:rPr>
            <w:webHidden/>
          </w:rPr>
          <w:t>3</w:t>
        </w:r>
        <w:r w:rsidR="001F2C19">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66" w:history="1">
        <w:r w:rsidRPr="00FF64B1">
          <w:rPr>
            <w:rStyle w:val="Hyperlink"/>
            <w:lang w:val="en-GB" w:eastAsia="en-GB"/>
          </w:rPr>
          <w:t>2.</w:t>
        </w:r>
        <w:r>
          <w:rPr>
            <w:rFonts w:asciiTheme="minorHAnsi" w:eastAsiaTheme="minorEastAsia" w:hAnsiTheme="minorHAnsi" w:cstheme="minorBidi"/>
            <w:b w:val="0"/>
            <w:bCs w:val="0"/>
            <w:sz w:val="22"/>
            <w:szCs w:val="22"/>
            <w:lang w:val="en-GB" w:eastAsia="en-GB"/>
          </w:rPr>
          <w:tab/>
        </w:r>
        <w:r w:rsidRPr="00FF64B1">
          <w:rPr>
            <w:rStyle w:val="Hyperlink"/>
            <w:lang w:eastAsia="en-GB"/>
          </w:rPr>
          <w:t>Approval of February Meeting Minutes</w:t>
        </w:r>
        <w:r>
          <w:rPr>
            <w:webHidden/>
          </w:rPr>
          <w:tab/>
        </w:r>
        <w:r>
          <w:rPr>
            <w:webHidden/>
          </w:rPr>
          <w:fldChar w:fldCharType="begin"/>
        </w:r>
        <w:r>
          <w:rPr>
            <w:webHidden/>
          </w:rPr>
          <w:instrText xml:space="preserve"> PAGEREF _Toc39829666 \h </w:instrText>
        </w:r>
        <w:r>
          <w:rPr>
            <w:webHidden/>
          </w:rPr>
        </w:r>
        <w:r>
          <w:rPr>
            <w:webHidden/>
          </w:rPr>
          <w:fldChar w:fldCharType="separate"/>
        </w:r>
        <w:r>
          <w:rPr>
            <w:webHidden/>
          </w:rPr>
          <w:t>3</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67" w:history="1">
        <w:r w:rsidRPr="00FF64B1">
          <w:rPr>
            <w:rStyle w:val="Hyperlink"/>
            <w:lang w:val="en-GB" w:eastAsia="en-GB"/>
          </w:rPr>
          <w:t>3.</w:t>
        </w:r>
        <w:r>
          <w:rPr>
            <w:rFonts w:asciiTheme="minorHAnsi" w:eastAsiaTheme="minorEastAsia" w:hAnsiTheme="minorHAnsi" w:cstheme="minorBidi"/>
            <w:b w:val="0"/>
            <w:bCs w:val="0"/>
            <w:sz w:val="22"/>
            <w:szCs w:val="22"/>
            <w:lang w:val="en-GB" w:eastAsia="en-GB"/>
          </w:rPr>
          <w:tab/>
        </w:r>
        <w:r w:rsidRPr="00FF64B1">
          <w:rPr>
            <w:rStyle w:val="Hyperlink"/>
            <w:lang w:eastAsia="en-GB"/>
          </w:rPr>
          <w:t>Co-Chair Election</w:t>
        </w:r>
        <w:r>
          <w:rPr>
            <w:webHidden/>
          </w:rPr>
          <w:tab/>
        </w:r>
        <w:r>
          <w:rPr>
            <w:webHidden/>
          </w:rPr>
          <w:fldChar w:fldCharType="begin"/>
        </w:r>
        <w:r>
          <w:rPr>
            <w:webHidden/>
          </w:rPr>
          <w:instrText xml:space="preserve"> PAGEREF _Toc39829667 \h </w:instrText>
        </w:r>
        <w:r>
          <w:rPr>
            <w:webHidden/>
          </w:rPr>
        </w:r>
        <w:r>
          <w:rPr>
            <w:webHidden/>
          </w:rPr>
          <w:fldChar w:fldCharType="separate"/>
        </w:r>
        <w:r>
          <w:rPr>
            <w:webHidden/>
          </w:rPr>
          <w:t>3</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68" w:history="1">
        <w:r w:rsidRPr="00FF64B1">
          <w:rPr>
            <w:rStyle w:val="Hyperlink"/>
            <w:lang w:val="en-GB"/>
          </w:rPr>
          <w:t>4.</w:t>
        </w:r>
        <w:r>
          <w:rPr>
            <w:rFonts w:asciiTheme="minorHAnsi" w:eastAsiaTheme="minorEastAsia" w:hAnsiTheme="minorHAnsi" w:cstheme="minorBidi"/>
            <w:b w:val="0"/>
            <w:bCs w:val="0"/>
            <w:sz w:val="22"/>
            <w:szCs w:val="22"/>
            <w:lang w:val="en-GB" w:eastAsia="en-GB"/>
          </w:rPr>
          <w:tab/>
        </w:r>
        <w:r w:rsidRPr="00FF64B1">
          <w:rPr>
            <w:rStyle w:val="Hyperlink"/>
          </w:rPr>
          <w:t>CA405 New flag for Securities Being Blocked</w:t>
        </w:r>
        <w:r>
          <w:rPr>
            <w:webHidden/>
          </w:rPr>
          <w:tab/>
        </w:r>
        <w:r>
          <w:rPr>
            <w:webHidden/>
          </w:rPr>
          <w:fldChar w:fldCharType="begin"/>
        </w:r>
        <w:r>
          <w:rPr>
            <w:webHidden/>
          </w:rPr>
          <w:instrText xml:space="preserve"> PAGEREF _Toc39829668 \h </w:instrText>
        </w:r>
        <w:r>
          <w:rPr>
            <w:webHidden/>
          </w:rPr>
        </w:r>
        <w:r>
          <w:rPr>
            <w:webHidden/>
          </w:rPr>
          <w:fldChar w:fldCharType="separate"/>
        </w:r>
        <w:r>
          <w:rPr>
            <w:webHidden/>
          </w:rPr>
          <w:t>3</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69" w:history="1">
        <w:r w:rsidRPr="00FF64B1">
          <w:rPr>
            <w:rStyle w:val="Hyperlink"/>
            <w:lang w:val="en-GB"/>
          </w:rPr>
          <w:t>5.</w:t>
        </w:r>
        <w:r>
          <w:rPr>
            <w:rFonts w:asciiTheme="minorHAnsi" w:eastAsiaTheme="minorEastAsia" w:hAnsiTheme="minorHAnsi" w:cstheme="minorBidi"/>
            <w:b w:val="0"/>
            <w:bCs w:val="0"/>
            <w:sz w:val="22"/>
            <w:szCs w:val="22"/>
            <w:lang w:val="en-GB" w:eastAsia="en-GB"/>
          </w:rPr>
          <w:tab/>
        </w:r>
        <w:r w:rsidRPr="00FF64B1">
          <w:rPr>
            <w:rStyle w:val="Hyperlink"/>
          </w:rPr>
          <w:t>CA418 SR2019 GMP1-3 updates – TNDP input</w:t>
        </w:r>
        <w:r>
          <w:rPr>
            <w:webHidden/>
          </w:rPr>
          <w:tab/>
        </w:r>
        <w:r>
          <w:rPr>
            <w:webHidden/>
          </w:rPr>
          <w:fldChar w:fldCharType="begin"/>
        </w:r>
        <w:r>
          <w:rPr>
            <w:webHidden/>
          </w:rPr>
          <w:instrText xml:space="preserve"> PAGEREF _Toc39829669 \h </w:instrText>
        </w:r>
        <w:r>
          <w:rPr>
            <w:webHidden/>
          </w:rPr>
        </w:r>
        <w:r>
          <w:rPr>
            <w:webHidden/>
          </w:rPr>
          <w:fldChar w:fldCharType="separate"/>
        </w:r>
        <w:r>
          <w:rPr>
            <w:webHidden/>
          </w:rPr>
          <w:t>4</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0" w:history="1">
        <w:r w:rsidRPr="00FF64B1">
          <w:rPr>
            <w:rStyle w:val="Hyperlink"/>
            <w:lang w:val="en-GB"/>
          </w:rPr>
          <w:t>6.</w:t>
        </w:r>
        <w:r>
          <w:rPr>
            <w:rFonts w:asciiTheme="minorHAnsi" w:eastAsiaTheme="minorEastAsia" w:hAnsiTheme="minorHAnsi" w:cstheme="minorBidi"/>
            <w:b w:val="0"/>
            <w:bCs w:val="0"/>
            <w:sz w:val="22"/>
            <w:szCs w:val="22"/>
            <w:lang w:val="en-GB" w:eastAsia="en-GB"/>
          </w:rPr>
          <w:tab/>
        </w:r>
        <w:r w:rsidRPr="00FF64B1">
          <w:rPr>
            <w:rStyle w:val="Hyperlink"/>
          </w:rPr>
          <w:t>CA419 Definition of Instructed and Uninstructed Balances</w:t>
        </w:r>
        <w:r>
          <w:rPr>
            <w:webHidden/>
          </w:rPr>
          <w:tab/>
        </w:r>
        <w:r>
          <w:rPr>
            <w:webHidden/>
          </w:rPr>
          <w:fldChar w:fldCharType="begin"/>
        </w:r>
        <w:r>
          <w:rPr>
            <w:webHidden/>
          </w:rPr>
          <w:instrText xml:space="preserve"> PAGEREF _Toc39829670 \h </w:instrText>
        </w:r>
        <w:r>
          <w:rPr>
            <w:webHidden/>
          </w:rPr>
        </w:r>
        <w:r>
          <w:rPr>
            <w:webHidden/>
          </w:rPr>
          <w:fldChar w:fldCharType="separate"/>
        </w:r>
        <w:r>
          <w:rPr>
            <w:webHidden/>
          </w:rPr>
          <w:t>4</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1" w:history="1">
        <w:r w:rsidRPr="00FF64B1">
          <w:rPr>
            <w:rStyle w:val="Hyperlink"/>
            <w:lang w:val="en-GB"/>
          </w:rPr>
          <w:t>7.</w:t>
        </w:r>
        <w:r>
          <w:rPr>
            <w:rFonts w:asciiTheme="minorHAnsi" w:eastAsiaTheme="minorEastAsia" w:hAnsiTheme="minorHAnsi" w:cstheme="minorBidi"/>
            <w:b w:val="0"/>
            <w:bCs w:val="0"/>
            <w:sz w:val="22"/>
            <w:szCs w:val="22"/>
            <w:lang w:val="en-GB" w:eastAsia="en-GB"/>
          </w:rPr>
          <w:tab/>
        </w:r>
        <w:r w:rsidRPr="00FF64B1">
          <w:rPr>
            <w:rStyle w:val="Hyperlink"/>
          </w:rPr>
          <w:t>CA422 SRDII ISO Messages and MP TF Progress Update</w:t>
        </w:r>
        <w:r>
          <w:rPr>
            <w:webHidden/>
          </w:rPr>
          <w:tab/>
        </w:r>
        <w:r>
          <w:rPr>
            <w:webHidden/>
          </w:rPr>
          <w:fldChar w:fldCharType="begin"/>
        </w:r>
        <w:r>
          <w:rPr>
            <w:webHidden/>
          </w:rPr>
          <w:instrText xml:space="preserve"> PAGEREF _Toc39829671 \h </w:instrText>
        </w:r>
        <w:r>
          <w:rPr>
            <w:webHidden/>
          </w:rPr>
        </w:r>
        <w:r>
          <w:rPr>
            <w:webHidden/>
          </w:rPr>
          <w:fldChar w:fldCharType="separate"/>
        </w:r>
        <w:r>
          <w:rPr>
            <w:webHidden/>
          </w:rPr>
          <w:t>4</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2" w:history="1">
        <w:r w:rsidRPr="00FF64B1">
          <w:rPr>
            <w:rStyle w:val="Hyperlink"/>
            <w:lang w:val="en-GB"/>
          </w:rPr>
          <w:t>8.</w:t>
        </w:r>
        <w:r>
          <w:rPr>
            <w:rFonts w:asciiTheme="minorHAnsi" w:eastAsiaTheme="minorEastAsia" w:hAnsiTheme="minorHAnsi" w:cstheme="minorBidi"/>
            <w:b w:val="0"/>
            <w:bCs w:val="0"/>
            <w:sz w:val="22"/>
            <w:szCs w:val="22"/>
            <w:lang w:val="en-GB" w:eastAsia="en-GB"/>
          </w:rPr>
          <w:tab/>
        </w:r>
        <w:r w:rsidRPr="00FF64B1">
          <w:rPr>
            <w:rStyle w:val="Hyperlink"/>
          </w:rPr>
          <w:t>CA437 Auto-FX - Update of GMP1 Section 8.6</w:t>
        </w:r>
        <w:r>
          <w:rPr>
            <w:webHidden/>
          </w:rPr>
          <w:tab/>
        </w:r>
        <w:r>
          <w:rPr>
            <w:webHidden/>
          </w:rPr>
          <w:fldChar w:fldCharType="begin"/>
        </w:r>
        <w:r>
          <w:rPr>
            <w:webHidden/>
          </w:rPr>
          <w:instrText xml:space="preserve"> PAGEREF _Toc39829672 \h </w:instrText>
        </w:r>
        <w:r>
          <w:rPr>
            <w:webHidden/>
          </w:rPr>
        </w:r>
        <w:r>
          <w:rPr>
            <w:webHidden/>
          </w:rPr>
          <w:fldChar w:fldCharType="separate"/>
        </w:r>
        <w:r>
          <w:rPr>
            <w:webHidden/>
          </w:rPr>
          <w:t>6</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3" w:history="1">
        <w:r w:rsidRPr="00FF64B1">
          <w:rPr>
            <w:rStyle w:val="Hyperlink"/>
            <w:lang w:val="en-GB"/>
          </w:rPr>
          <w:t>9.</w:t>
        </w:r>
        <w:r>
          <w:rPr>
            <w:rFonts w:asciiTheme="minorHAnsi" w:eastAsiaTheme="minorEastAsia" w:hAnsiTheme="minorHAnsi" w:cstheme="minorBidi"/>
            <w:b w:val="0"/>
            <w:bCs w:val="0"/>
            <w:sz w:val="22"/>
            <w:szCs w:val="22"/>
            <w:lang w:val="en-GB" w:eastAsia="en-GB"/>
          </w:rPr>
          <w:tab/>
        </w:r>
        <w:r w:rsidRPr="00FF64B1">
          <w:rPr>
            <w:rStyle w:val="Hyperlink"/>
          </w:rPr>
          <w:t>CA444 Usage of QINS as Requested Quantity</w:t>
        </w:r>
        <w:r>
          <w:rPr>
            <w:webHidden/>
          </w:rPr>
          <w:tab/>
        </w:r>
        <w:r>
          <w:rPr>
            <w:webHidden/>
          </w:rPr>
          <w:fldChar w:fldCharType="begin"/>
        </w:r>
        <w:r>
          <w:rPr>
            <w:webHidden/>
          </w:rPr>
          <w:instrText xml:space="preserve"> PAGEREF _Toc39829673 \h </w:instrText>
        </w:r>
        <w:r>
          <w:rPr>
            <w:webHidden/>
          </w:rPr>
        </w:r>
        <w:r>
          <w:rPr>
            <w:webHidden/>
          </w:rPr>
          <w:fldChar w:fldCharType="separate"/>
        </w:r>
        <w:r>
          <w:rPr>
            <w:webHidden/>
          </w:rPr>
          <w:t>7</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4" w:history="1">
        <w:r w:rsidRPr="00FF64B1">
          <w:rPr>
            <w:rStyle w:val="Hyperlink"/>
            <w:lang w:val="en-GB"/>
          </w:rPr>
          <w:t>10.</w:t>
        </w:r>
        <w:r>
          <w:rPr>
            <w:rFonts w:asciiTheme="minorHAnsi" w:eastAsiaTheme="minorEastAsia" w:hAnsiTheme="minorHAnsi" w:cstheme="minorBidi"/>
            <w:b w:val="0"/>
            <w:bCs w:val="0"/>
            <w:sz w:val="22"/>
            <w:szCs w:val="22"/>
            <w:lang w:val="en-GB" w:eastAsia="en-GB"/>
          </w:rPr>
          <w:tab/>
        </w:r>
        <w:r w:rsidRPr="00FF64B1">
          <w:rPr>
            <w:rStyle w:val="Hyperlink"/>
          </w:rPr>
          <w:t>CA448 Have repeatable WEBB URL addresses in MT564 and add URL Associated to all Narratives (SR2020 - CR1529 from HK)</w:t>
        </w:r>
        <w:r>
          <w:rPr>
            <w:webHidden/>
          </w:rPr>
          <w:tab/>
        </w:r>
        <w:r>
          <w:rPr>
            <w:webHidden/>
          </w:rPr>
          <w:fldChar w:fldCharType="begin"/>
        </w:r>
        <w:r>
          <w:rPr>
            <w:webHidden/>
          </w:rPr>
          <w:instrText xml:space="preserve"> PAGEREF _Toc39829674 \h </w:instrText>
        </w:r>
        <w:r>
          <w:rPr>
            <w:webHidden/>
          </w:rPr>
        </w:r>
        <w:r>
          <w:rPr>
            <w:webHidden/>
          </w:rPr>
          <w:fldChar w:fldCharType="separate"/>
        </w:r>
        <w:r>
          <w:rPr>
            <w:webHidden/>
          </w:rPr>
          <w:t>7</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5" w:history="1">
        <w:r w:rsidRPr="00FF64B1">
          <w:rPr>
            <w:rStyle w:val="Hyperlink"/>
            <w:lang w:val="en-GB"/>
          </w:rPr>
          <w:t>11.</w:t>
        </w:r>
        <w:r>
          <w:rPr>
            <w:rFonts w:asciiTheme="minorHAnsi" w:eastAsiaTheme="minorEastAsia" w:hAnsiTheme="minorHAnsi" w:cstheme="minorBidi"/>
            <w:b w:val="0"/>
            <w:bCs w:val="0"/>
            <w:sz w:val="22"/>
            <w:szCs w:val="22"/>
            <w:lang w:val="en-GB" w:eastAsia="en-GB"/>
          </w:rPr>
          <w:tab/>
        </w:r>
        <w:r w:rsidRPr="00FF64B1">
          <w:rPr>
            <w:rStyle w:val="Hyperlink"/>
          </w:rPr>
          <w:t>CA450 Usage of TBSP and UNSP for DTCH events (SR2020 - CR1533)</w:t>
        </w:r>
        <w:r>
          <w:rPr>
            <w:webHidden/>
          </w:rPr>
          <w:tab/>
        </w:r>
        <w:r>
          <w:rPr>
            <w:webHidden/>
          </w:rPr>
          <w:fldChar w:fldCharType="begin"/>
        </w:r>
        <w:r>
          <w:rPr>
            <w:webHidden/>
          </w:rPr>
          <w:instrText xml:space="preserve"> PAGEREF _Toc39829675 \h </w:instrText>
        </w:r>
        <w:r>
          <w:rPr>
            <w:webHidden/>
          </w:rPr>
        </w:r>
        <w:r>
          <w:rPr>
            <w:webHidden/>
          </w:rPr>
          <w:fldChar w:fldCharType="separate"/>
        </w:r>
        <w:r>
          <w:rPr>
            <w:webHidden/>
          </w:rPr>
          <w:t>7</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6" w:history="1">
        <w:r w:rsidRPr="00FF64B1">
          <w:rPr>
            <w:rStyle w:val="Hyperlink"/>
            <w:lang w:val="en-GB"/>
          </w:rPr>
          <w:t>12.</w:t>
        </w:r>
        <w:r>
          <w:rPr>
            <w:rFonts w:asciiTheme="minorHAnsi" w:eastAsiaTheme="minorEastAsia" w:hAnsiTheme="minorHAnsi" w:cstheme="minorBidi"/>
            <w:b w:val="0"/>
            <w:bCs w:val="0"/>
            <w:sz w:val="22"/>
            <w:szCs w:val="22"/>
            <w:lang w:val="en-GB" w:eastAsia="en-GB"/>
          </w:rPr>
          <w:tab/>
        </w:r>
        <w:r w:rsidRPr="00FF64B1">
          <w:rPr>
            <w:rStyle w:val="Hyperlink"/>
          </w:rPr>
          <w:t>CA451 Create CR for MITI in Confirmation (SR2020 - CR1517)</w:t>
        </w:r>
        <w:r>
          <w:rPr>
            <w:webHidden/>
          </w:rPr>
          <w:tab/>
        </w:r>
        <w:r>
          <w:rPr>
            <w:webHidden/>
          </w:rPr>
          <w:fldChar w:fldCharType="begin"/>
        </w:r>
        <w:r>
          <w:rPr>
            <w:webHidden/>
          </w:rPr>
          <w:instrText xml:space="preserve"> PAGEREF _Toc39829676 \h </w:instrText>
        </w:r>
        <w:r>
          <w:rPr>
            <w:webHidden/>
          </w:rPr>
        </w:r>
        <w:r>
          <w:rPr>
            <w:webHidden/>
          </w:rPr>
          <w:fldChar w:fldCharType="separate"/>
        </w:r>
        <w:r>
          <w:rPr>
            <w:webHidden/>
          </w:rPr>
          <w:t>7</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7" w:history="1">
        <w:r w:rsidRPr="00FF64B1">
          <w:rPr>
            <w:rStyle w:val="Hyperlink"/>
            <w:lang w:val="en-GB"/>
          </w:rPr>
          <w:t>13.</w:t>
        </w:r>
        <w:r>
          <w:rPr>
            <w:rFonts w:asciiTheme="minorHAnsi" w:eastAsiaTheme="minorEastAsia" w:hAnsiTheme="minorHAnsi" w:cstheme="minorBidi"/>
            <w:b w:val="0"/>
            <w:bCs w:val="0"/>
            <w:sz w:val="22"/>
            <w:szCs w:val="22"/>
            <w:lang w:val="en-GB" w:eastAsia="en-GB"/>
          </w:rPr>
          <w:tab/>
        </w:r>
        <w:r w:rsidRPr="00FF64B1">
          <w:rPr>
            <w:rStyle w:val="Hyperlink"/>
          </w:rPr>
          <w:t>CA453 Key Data for TEND with Early Tender Premium</w:t>
        </w:r>
        <w:r>
          <w:rPr>
            <w:webHidden/>
          </w:rPr>
          <w:tab/>
        </w:r>
        <w:r>
          <w:rPr>
            <w:webHidden/>
          </w:rPr>
          <w:fldChar w:fldCharType="begin"/>
        </w:r>
        <w:r>
          <w:rPr>
            <w:webHidden/>
          </w:rPr>
          <w:instrText xml:space="preserve"> PAGEREF _Toc39829677 \h </w:instrText>
        </w:r>
        <w:r>
          <w:rPr>
            <w:webHidden/>
          </w:rPr>
        </w:r>
        <w:r>
          <w:rPr>
            <w:webHidden/>
          </w:rPr>
          <w:fldChar w:fldCharType="separate"/>
        </w:r>
        <w:r>
          <w:rPr>
            <w:webHidden/>
          </w:rPr>
          <w:t>8</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8" w:history="1">
        <w:r w:rsidRPr="00FF64B1">
          <w:rPr>
            <w:rStyle w:val="Hyperlink"/>
            <w:lang w:val="en-GB"/>
          </w:rPr>
          <w:t>14.</w:t>
        </w:r>
        <w:r>
          <w:rPr>
            <w:rFonts w:asciiTheme="minorHAnsi" w:eastAsiaTheme="minorEastAsia" w:hAnsiTheme="minorHAnsi" w:cstheme="minorBidi"/>
            <w:b w:val="0"/>
            <w:bCs w:val="0"/>
            <w:sz w:val="22"/>
            <w:szCs w:val="22"/>
            <w:lang w:val="en-GB" w:eastAsia="en-GB"/>
          </w:rPr>
          <w:tab/>
        </w:r>
        <w:r w:rsidRPr="00FF64B1">
          <w:rPr>
            <w:rStyle w:val="Hyperlink"/>
          </w:rPr>
          <w:t>CA454 SR2020 MP Updates</w:t>
        </w:r>
        <w:r>
          <w:rPr>
            <w:webHidden/>
          </w:rPr>
          <w:tab/>
        </w:r>
        <w:r>
          <w:rPr>
            <w:webHidden/>
          </w:rPr>
          <w:fldChar w:fldCharType="begin"/>
        </w:r>
        <w:r>
          <w:rPr>
            <w:webHidden/>
          </w:rPr>
          <w:instrText xml:space="preserve"> PAGEREF _Toc39829678 \h </w:instrText>
        </w:r>
        <w:r>
          <w:rPr>
            <w:webHidden/>
          </w:rPr>
        </w:r>
        <w:r>
          <w:rPr>
            <w:webHidden/>
          </w:rPr>
          <w:fldChar w:fldCharType="separate"/>
        </w:r>
        <w:r>
          <w:rPr>
            <w:webHidden/>
          </w:rPr>
          <w:t>8</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79" w:history="1">
        <w:r w:rsidRPr="00FF64B1">
          <w:rPr>
            <w:rStyle w:val="Hyperlink"/>
            <w:lang w:val="en-GB"/>
          </w:rPr>
          <w:t>15.</w:t>
        </w:r>
        <w:r>
          <w:rPr>
            <w:rFonts w:asciiTheme="minorHAnsi" w:eastAsiaTheme="minorEastAsia" w:hAnsiTheme="minorHAnsi" w:cstheme="minorBidi"/>
            <w:b w:val="0"/>
            <w:bCs w:val="0"/>
            <w:sz w:val="22"/>
            <w:szCs w:val="22"/>
            <w:lang w:val="en-GB" w:eastAsia="en-GB"/>
          </w:rPr>
          <w:tab/>
        </w:r>
        <w:r w:rsidRPr="00FF64B1">
          <w:rPr>
            <w:rStyle w:val="Hyperlink"/>
          </w:rPr>
          <w:t>CA457 GMP1 Section 8.17 on Usage of DateTime with Format Option E (UTC)</w:t>
        </w:r>
        <w:r>
          <w:rPr>
            <w:webHidden/>
          </w:rPr>
          <w:tab/>
        </w:r>
        <w:r>
          <w:rPr>
            <w:webHidden/>
          </w:rPr>
          <w:fldChar w:fldCharType="begin"/>
        </w:r>
        <w:r>
          <w:rPr>
            <w:webHidden/>
          </w:rPr>
          <w:instrText xml:space="preserve"> PAGEREF _Toc39829679 \h </w:instrText>
        </w:r>
        <w:r>
          <w:rPr>
            <w:webHidden/>
          </w:rPr>
        </w:r>
        <w:r>
          <w:rPr>
            <w:webHidden/>
          </w:rPr>
          <w:fldChar w:fldCharType="separate"/>
        </w:r>
        <w:r>
          <w:rPr>
            <w:webHidden/>
          </w:rPr>
          <w:t>8</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80" w:history="1">
        <w:r w:rsidRPr="00FF64B1">
          <w:rPr>
            <w:rStyle w:val="Hyperlink"/>
            <w:lang w:val="en-GB"/>
          </w:rPr>
          <w:t>16.</w:t>
        </w:r>
        <w:r>
          <w:rPr>
            <w:rFonts w:asciiTheme="minorHAnsi" w:eastAsiaTheme="minorEastAsia" w:hAnsiTheme="minorHAnsi" w:cstheme="minorBidi"/>
            <w:b w:val="0"/>
            <w:bCs w:val="0"/>
            <w:sz w:val="22"/>
            <w:szCs w:val="22"/>
            <w:lang w:val="en-GB" w:eastAsia="en-GB"/>
          </w:rPr>
          <w:tab/>
        </w:r>
        <w:r w:rsidRPr="00FF64B1">
          <w:rPr>
            <w:rStyle w:val="Hyperlink"/>
          </w:rPr>
          <w:t>CA458 Add Format Option E (UTC) for ANOU date and ECPD, ECRD Deadlines?</w:t>
        </w:r>
        <w:r>
          <w:rPr>
            <w:webHidden/>
          </w:rPr>
          <w:tab/>
        </w:r>
        <w:r>
          <w:rPr>
            <w:webHidden/>
          </w:rPr>
          <w:fldChar w:fldCharType="begin"/>
        </w:r>
        <w:r>
          <w:rPr>
            <w:webHidden/>
          </w:rPr>
          <w:instrText xml:space="preserve"> PAGEREF _Toc39829680 \h </w:instrText>
        </w:r>
        <w:r>
          <w:rPr>
            <w:webHidden/>
          </w:rPr>
        </w:r>
        <w:r>
          <w:rPr>
            <w:webHidden/>
          </w:rPr>
          <w:fldChar w:fldCharType="separate"/>
        </w:r>
        <w:r>
          <w:rPr>
            <w:webHidden/>
          </w:rPr>
          <w:t>8</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81" w:history="1">
        <w:r w:rsidRPr="00FF64B1">
          <w:rPr>
            <w:rStyle w:val="Hyperlink"/>
            <w:lang w:val="en-GB"/>
          </w:rPr>
          <w:t>17.</w:t>
        </w:r>
        <w:r>
          <w:rPr>
            <w:rFonts w:asciiTheme="minorHAnsi" w:eastAsiaTheme="minorEastAsia" w:hAnsiTheme="minorHAnsi" w:cstheme="minorBidi"/>
            <w:b w:val="0"/>
            <w:bCs w:val="0"/>
            <w:sz w:val="22"/>
            <w:szCs w:val="22"/>
            <w:lang w:val="en-GB" w:eastAsia="en-GB"/>
          </w:rPr>
          <w:tab/>
        </w:r>
        <w:r w:rsidRPr="00FF64B1">
          <w:rPr>
            <w:rStyle w:val="Hyperlink"/>
          </w:rPr>
          <w:t>CA459 Shareholder Rights Directive Flag Market Practice (Fast Track CR 1616)</w:t>
        </w:r>
        <w:r>
          <w:rPr>
            <w:webHidden/>
          </w:rPr>
          <w:tab/>
        </w:r>
        <w:r>
          <w:rPr>
            <w:webHidden/>
          </w:rPr>
          <w:fldChar w:fldCharType="begin"/>
        </w:r>
        <w:r>
          <w:rPr>
            <w:webHidden/>
          </w:rPr>
          <w:instrText xml:space="preserve"> PAGEREF _Toc39829681 \h </w:instrText>
        </w:r>
        <w:r>
          <w:rPr>
            <w:webHidden/>
          </w:rPr>
        </w:r>
        <w:r>
          <w:rPr>
            <w:webHidden/>
          </w:rPr>
          <w:fldChar w:fldCharType="separate"/>
        </w:r>
        <w:r>
          <w:rPr>
            <w:webHidden/>
          </w:rPr>
          <w:t>9</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82" w:history="1">
        <w:r w:rsidRPr="00FF64B1">
          <w:rPr>
            <w:rStyle w:val="Hyperlink"/>
            <w:lang w:val="en-GB"/>
          </w:rPr>
          <w:t>18.</w:t>
        </w:r>
        <w:r>
          <w:rPr>
            <w:rFonts w:asciiTheme="minorHAnsi" w:eastAsiaTheme="minorEastAsia" w:hAnsiTheme="minorHAnsi" w:cstheme="minorBidi"/>
            <w:b w:val="0"/>
            <w:bCs w:val="0"/>
            <w:sz w:val="22"/>
            <w:szCs w:val="22"/>
            <w:lang w:val="en-GB" w:eastAsia="en-GB"/>
          </w:rPr>
          <w:tab/>
        </w:r>
        <w:r w:rsidRPr="00FF64B1">
          <w:rPr>
            <w:rStyle w:val="Hyperlink"/>
          </w:rPr>
          <w:t>CA460 Move of Index Factor for INT and Redemptions to CADTL Seq.</w:t>
        </w:r>
        <w:r>
          <w:rPr>
            <w:webHidden/>
          </w:rPr>
          <w:tab/>
        </w:r>
        <w:r>
          <w:rPr>
            <w:webHidden/>
          </w:rPr>
          <w:fldChar w:fldCharType="begin"/>
        </w:r>
        <w:r>
          <w:rPr>
            <w:webHidden/>
          </w:rPr>
          <w:instrText xml:space="preserve"> PAGEREF _Toc39829682 \h </w:instrText>
        </w:r>
        <w:r>
          <w:rPr>
            <w:webHidden/>
          </w:rPr>
        </w:r>
        <w:r>
          <w:rPr>
            <w:webHidden/>
          </w:rPr>
          <w:fldChar w:fldCharType="separate"/>
        </w:r>
        <w:r>
          <w:rPr>
            <w:webHidden/>
          </w:rPr>
          <w:t>9</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83" w:history="1">
        <w:r w:rsidRPr="00FF64B1">
          <w:rPr>
            <w:rStyle w:val="Hyperlink"/>
            <w:lang w:val="en-GB"/>
          </w:rPr>
          <w:t>19.</w:t>
        </w:r>
        <w:r>
          <w:rPr>
            <w:rFonts w:asciiTheme="minorHAnsi" w:eastAsiaTheme="minorEastAsia" w:hAnsiTheme="minorHAnsi" w:cstheme="minorBidi"/>
            <w:b w:val="0"/>
            <w:bCs w:val="0"/>
            <w:sz w:val="22"/>
            <w:szCs w:val="22"/>
            <w:lang w:val="en-GB" w:eastAsia="en-GB"/>
          </w:rPr>
          <w:tab/>
        </w:r>
        <w:r w:rsidRPr="00FF64B1">
          <w:rPr>
            <w:rStyle w:val="Hyperlink"/>
          </w:rPr>
          <w:t>Tax Subgroup Update</w:t>
        </w:r>
        <w:r>
          <w:rPr>
            <w:webHidden/>
          </w:rPr>
          <w:tab/>
        </w:r>
        <w:r>
          <w:rPr>
            <w:webHidden/>
          </w:rPr>
          <w:fldChar w:fldCharType="begin"/>
        </w:r>
        <w:r>
          <w:rPr>
            <w:webHidden/>
          </w:rPr>
          <w:instrText xml:space="preserve"> PAGEREF _Toc39829683 \h </w:instrText>
        </w:r>
        <w:r>
          <w:rPr>
            <w:webHidden/>
          </w:rPr>
        </w:r>
        <w:r>
          <w:rPr>
            <w:webHidden/>
          </w:rPr>
          <w:fldChar w:fldCharType="separate"/>
        </w:r>
        <w:r>
          <w:rPr>
            <w:webHidden/>
          </w:rPr>
          <w:t>9</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84" w:history="1">
        <w:r w:rsidRPr="00FF64B1">
          <w:rPr>
            <w:rStyle w:val="Hyperlink"/>
            <w:lang w:val="en-GB"/>
          </w:rPr>
          <w:t>20.</w:t>
        </w:r>
        <w:r>
          <w:rPr>
            <w:rFonts w:asciiTheme="minorHAnsi" w:eastAsiaTheme="minorEastAsia" w:hAnsiTheme="minorHAnsi" w:cstheme="minorBidi"/>
            <w:b w:val="0"/>
            <w:bCs w:val="0"/>
            <w:sz w:val="22"/>
            <w:szCs w:val="22"/>
            <w:lang w:val="en-GB" w:eastAsia="en-GB"/>
          </w:rPr>
          <w:tab/>
        </w:r>
        <w:r w:rsidRPr="00FF64B1">
          <w:rPr>
            <w:rStyle w:val="Hyperlink"/>
          </w:rPr>
          <w:t>AOB</w:t>
        </w:r>
        <w:r>
          <w:rPr>
            <w:webHidden/>
          </w:rPr>
          <w:tab/>
        </w:r>
        <w:r>
          <w:rPr>
            <w:webHidden/>
          </w:rPr>
          <w:fldChar w:fldCharType="begin"/>
        </w:r>
        <w:r>
          <w:rPr>
            <w:webHidden/>
          </w:rPr>
          <w:instrText xml:space="preserve"> PAGEREF _Toc39829684 \h </w:instrText>
        </w:r>
        <w:r>
          <w:rPr>
            <w:webHidden/>
          </w:rPr>
        </w:r>
        <w:r>
          <w:rPr>
            <w:webHidden/>
          </w:rPr>
          <w:fldChar w:fldCharType="separate"/>
        </w:r>
        <w:r>
          <w:rPr>
            <w:webHidden/>
          </w:rPr>
          <w:t>10</w:t>
        </w:r>
        <w:r>
          <w:rPr>
            <w:webHidden/>
          </w:rPr>
          <w:fldChar w:fldCharType="end"/>
        </w:r>
      </w:hyperlink>
    </w:p>
    <w:p w:rsidR="001F2C19" w:rsidRDefault="001F2C19">
      <w:pPr>
        <w:pStyle w:val="TOC1"/>
        <w:rPr>
          <w:rFonts w:asciiTheme="minorHAnsi" w:eastAsiaTheme="minorEastAsia" w:hAnsiTheme="minorHAnsi" w:cstheme="minorBidi"/>
          <w:b w:val="0"/>
          <w:bCs w:val="0"/>
          <w:sz w:val="22"/>
          <w:szCs w:val="22"/>
          <w:lang w:val="en-GB" w:eastAsia="en-GB"/>
        </w:rPr>
      </w:pPr>
      <w:hyperlink w:anchor="_Toc39829685" w:history="1">
        <w:r w:rsidRPr="00FF64B1">
          <w:rPr>
            <w:rStyle w:val="Hyperlink"/>
            <w:lang w:val="en-GB"/>
          </w:rPr>
          <w:t>21.</w:t>
        </w:r>
        <w:r>
          <w:rPr>
            <w:rFonts w:asciiTheme="minorHAnsi" w:eastAsiaTheme="minorEastAsia" w:hAnsiTheme="minorHAnsi" w:cstheme="minorBidi"/>
            <w:b w:val="0"/>
            <w:bCs w:val="0"/>
            <w:sz w:val="22"/>
            <w:szCs w:val="22"/>
            <w:lang w:val="en-GB" w:eastAsia="en-GB"/>
          </w:rPr>
          <w:tab/>
        </w:r>
        <w:r w:rsidRPr="00FF64B1">
          <w:rPr>
            <w:rStyle w:val="Hyperlink"/>
          </w:rPr>
          <w:t>End of meeting</w:t>
        </w:r>
        <w:r>
          <w:rPr>
            <w:webHidden/>
          </w:rPr>
          <w:tab/>
        </w:r>
        <w:r>
          <w:rPr>
            <w:webHidden/>
          </w:rPr>
          <w:fldChar w:fldCharType="begin"/>
        </w:r>
        <w:r>
          <w:rPr>
            <w:webHidden/>
          </w:rPr>
          <w:instrText xml:space="preserve"> PAGEREF _Toc39829685 \h </w:instrText>
        </w:r>
        <w:r>
          <w:rPr>
            <w:webHidden/>
          </w:rPr>
        </w:r>
        <w:r>
          <w:rPr>
            <w:webHidden/>
          </w:rPr>
          <w:fldChar w:fldCharType="separate"/>
        </w:r>
        <w:r>
          <w:rPr>
            <w:webHidden/>
          </w:rPr>
          <w:t>10</w:t>
        </w:r>
        <w:r>
          <w:rPr>
            <w:webHidden/>
          </w:rPr>
          <w:fldChar w:fldCharType="end"/>
        </w:r>
      </w:hyperlink>
    </w:p>
    <w:p w:rsidR="00060DFF" w:rsidRDefault="00EB51C4" w:rsidP="00F31D03">
      <w:pPr>
        <w:pStyle w:val="TOC1"/>
      </w:pPr>
      <w:r>
        <w:fldChar w:fldCharType="end"/>
      </w:r>
      <w:r w:rsidR="00AB6103" w:rsidRPr="007A69C8">
        <w:br w:type="page"/>
      </w:r>
      <w:bookmarkStart w:id="2" w:name="OLE_LINK1"/>
      <w:bookmarkStart w:id="3" w:name="OLE_LINK2"/>
    </w:p>
    <w:p w:rsidR="00AB6103" w:rsidRDefault="00AB6103" w:rsidP="005742F5">
      <w:pPr>
        <w:rPr>
          <w:b/>
          <w:sz w:val="32"/>
          <w:szCs w:val="32"/>
          <w:u w:val="single"/>
        </w:rPr>
      </w:pPr>
      <w:r w:rsidRPr="00060DFF">
        <w:rPr>
          <w:b/>
          <w:sz w:val="32"/>
          <w:szCs w:val="32"/>
          <w:u w:val="single"/>
        </w:rPr>
        <w:lastRenderedPageBreak/>
        <w:t>Attendees</w:t>
      </w:r>
      <w:bookmarkEnd w:id="0"/>
      <w:r w:rsidR="00FB0931">
        <w:rPr>
          <w:b/>
          <w:sz w:val="32"/>
          <w:szCs w:val="32"/>
          <w:u w:val="single"/>
        </w:rPr>
        <w:t xml:space="preserve"> List</w:t>
      </w:r>
    </w:p>
    <w:p w:rsidR="000B0CBB" w:rsidRPr="00740040" w:rsidRDefault="00740040" w:rsidP="005742F5">
      <w:r w:rsidRPr="00740040">
        <w:t xml:space="preserve">Due to </w:t>
      </w:r>
      <w:r>
        <w:t>Corona virus outbreak in March and business travel restrictions, most of the attendees had to participate via Webex / conference calls. The table</w:t>
      </w:r>
      <w:r w:rsidR="00207E18">
        <w:t xml:space="preserve"> below reflects the attendance - sometime partial attendance </w:t>
      </w:r>
      <w:r>
        <w:t>as some participants could only attend the meeting for a few hours only.</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31"/>
        <w:gridCol w:w="590"/>
        <w:gridCol w:w="1426"/>
        <w:gridCol w:w="1384"/>
        <w:gridCol w:w="1798"/>
        <w:gridCol w:w="1218"/>
        <w:gridCol w:w="1148"/>
        <w:gridCol w:w="1052"/>
      </w:tblGrid>
      <w:tr w:rsidR="008B1C8A" w:rsidRPr="00761329" w:rsidTr="000C2490">
        <w:tc>
          <w:tcPr>
            <w:tcW w:w="1131" w:type="dxa"/>
            <w:tcBorders>
              <w:left w:val="single" w:sz="4" w:space="0" w:color="auto"/>
            </w:tcBorders>
            <w:shd w:val="clear" w:color="auto" w:fill="92D050"/>
            <w:vAlign w:val="center"/>
          </w:tcPr>
          <w:p w:rsidR="008B1C8A" w:rsidRPr="00ED35A1" w:rsidRDefault="008B1C8A" w:rsidP="0012159E">
            <w:pPr>
              <w:spacing w:before="0" w:after="0"/>
              <w:ind w:left="106"/>
              <w:jc w:val="center"/>
              <w:rPr>
                <w:b/>
                <w:lang w:val="en-GB"/>
              </w:rPr>
            </w:pPr>
            <w:r>
              <w:rPr>
                <w:b/>
                <w:lang w:val="en-GB"/>
              </w:rPr>
              <w:t>NMPG</w:t>
            </w:r>
          </w:p>
        </w:tc>
        <w:tc>
          <w:tcPr>
            <w:tcW w:w="590" w:type="dxa"/>
            <w:shd w:val="clear" w:color="auto" w:fill="92D050"/>
          </w:tcPr>
          <w:p w:rsidR="008B1C8A" w:rsidRPr="00ED35A1" w:rsidRDefault="008B1C8A" w:rsidP="0012159E">
            <w:pPr>
              <w:spacing w:before="0" w:after="0"/>
              <w:ind w:left="-91"/>
              <w:jc w:val="center"/>
              <w:rPr>
                <w:b/>
                <w:lang w:val="en-GB"/>
              </w:rPr>
            </w:pPr>
          </w:p>
        </w:tc>
        <w:tc>
          <w:tcPr>
            <w:tcW w:w="1426" w:type="dxa"/>
            <w:shd w:val="clear" w:color="auto" w:fill="92D050"/>
            <w:vAlign w:val="center"/>
          </w:tcPr>
          <w:p w:rsidR="008B1C8A" w:rsidRPr="00ED35A1" w:rsidRDefault="008B1C8A" w:rsidP="0012159E">
            <w:pPr>
              <w:spacing w:before="0" w:after="0"/>
              <w:ind w:left="-91"/>
              <w:jc w:val="center"/>
              <w:rPr>
                <w:b/>
                <w:lang w:val="en-GB"/>
              </w:rPr>
            </w:pPr>
            <w:r w:rsidRPr="00ED35A1">
              <w:rPr>
                <w:b/>
                <w:lang w:val="en-GB"/>
              </w:rPr>
              <w:t>First Name</w:t>
            </w:r>
          </w:p>
        </w:tc>
        <w:tc>
          <w:tcPr>
            <w:tcW w:w="1384" w:type="dxa"/>
            <w:shd w:val="clear" w:color="auto" w:fill="92D050"/>
            <w:vAlign w:val="center"/>
          </w:tcPr>
          <w:p w:rsidR="008B1C8A" w:rsidRPr="00ED35A1" w:rsidRDefault="008B1C8A" w:rsidP="0012159E">
            <w:pPr>
              <w:spacing w:before="0" w:after="0"/>
              <w:ind w:left="-91"/>
              <w:jc w:val="center"/>
              <w:rPr>
                <w:b/>
                <w:lang w:val="en-GB"/>
              </w:rPr>
            </w:pPr>
            <w:r w:rsidRPr="00ED35A1">
              <w:rPr>
                <w:b/>
                <w:lang w:val="en-GB"/>
              </w:rPr>
              <w:t>Last Name</w:t>
            </w:r>
          </w:p>
        </w:tc>
        <w:tc>
          <w:tcPr>
            <w:tcW w:w="1798" w:type="dxa"/>
            <w:shd w:val="clear" w:color="auto" w:fill="92D050"/>
            <w:vAlign w:val="center"/>
          </w:tcPr>
          <w:p w:rsidR="008B1C8A" w:rsidRPr="00ED35A1" w:rsidRDefault="008B1C8A" w:rsidP="0012159E">
            <w:pPr>
              <w:spacing w:before="0" w:after="0"/>
              <w:ind w:left="-91"/>
              <w:jc w:val="center"/>
              <w:rPr>
                <w:b/>
                <w:lang w:val="en-GB"/>
              </w:rPr>
            </w:pPr>
            <w:r w:rsidRPr="00ED35A1">
              <w:rPr>
                <w:b/>
                <w:lang w:val="en-GB"/>
              </w:rPr>
              <w:t>Institution</w:t>
            </w:r>
          </w:p>
        </w:tc>
        <w:tc>
          <w:tcPr>
            <w:tcW w:w="1218" w:type="dxa"/>
            <w:shd w:val="clear" w:color="auto" w:fill="92D050"/>
          </w:tcPr>
          <w:p w:rsidR="008B1C8A" w:rsidRPr="00761329" w:rsidRDefault="008B1C8A" w:rsidP="0012159E">
            <w:pPr>
              <w:spacing w:before="0" w:after="0"/>
              <w:ind w:left="-91"/>
              <w:jc w:val="center"/>
              <w:rPr>
                <w:rFonts w:ascii="Calibri" w:hAnsi="Calibri" w:cs="Calibri"/>
                <w:b/>
                <w:color w:val="000000"/>
                <w:sz w:val="22"/>
                <w:szCs w:val="22"/>
              </w:rPr>
            </w:pPr>
            <w:r>
              <w:rPr>
                <w:rFonts w:ascii="Calibri" w:hAnsi="Calibri" w:cs="Calibri"/>
                <w:b/>
                <w:color w:val="000000"/>
                <w:sz w:val="22"/>
                <w:szCs w:val="22"/>
              </w:rPr>
              <w:t>March 10</w:t>
            </w:r>
          </w:p>
        </w:tc>
        <w:tc>
          <w:tcPr>
            <w:tcW w:w="1148" w:type="dxa"/>
            <w:shd w:val="clear" w:color="auto" w:fill="92D050"/>
          </w:tcPr>
          <w:p w:rsidR="008B1C8A" w:rsidRPr="00761329" w:rsidRDefault="008B1C8A" w:rsidP="0012159E">
            <w:pPr>
              <w:spacing w:before="0" w:after="0"/>
              <w:ind w:left="-91"/>
              <w:jc w:val="center"/>
              <w:rPr>
                <w:rFonts w:ascii="Calibri" w:hAnsi="Calibri" w:cs="Calibri"/>
                <w:b/>
                <w:color w:val="000000"/>
                <w:sz w:val="22"/>
                <w:szCs w:val="22"/>
              </w:rPr>
            </w:pPr>
            <w:r>
              <w:rPr>
                <w:rFonts w:ascii="Calibri" w:hAnsi="Calibri" w:cs="Calibri"/>
                <w:b/>
                <w:color w:val="000000"/>
                <w:sz w:val="22"/>
                <w:szCs w:val="22"/>
              </w:rPr>
              <w:t>March 11</w:t>
            </w:r>
          </w:p>
        </w:tc>
        <w:tc>
          <w:tcPr>
            <w:tcW w:w="1052" w:type="dxa"/>
            <w:shd w:val="clear" w:color="auto" w:fill="92D050"/>
          </w:tcPr>
          <w:p w:rsidR="008B1C8A" w:rsidRDefault="008B1C8A" w:rsidP="0012159E">
            <w:pPr>
              <w:spacing w:before="0" w:after="0"/>
              <w:ind w:left="-91"/>
              <w:jc w:val="center"/>
              <w:rPr>
                <w:rFonts w:ascii="Calibri" w:hAnsi="Calibri" w:cs="Calibri"/>
                <w:b/>
                <w:color w:val="000000"/>
                <w:sz w:val="22"/>
                <w:szCs w:val="22"/>
              </w:rPr>
            </w:pPr>
            <w:r>
              <w:rPr>
                <w:rFonts w:ascii="Calibri" w:hAnsi="Calibri" w:cs="Calibri"/>
                <w:b/>
                <w:color w:val="000000"/>
                <w:sz w:val="22"/>
                <w:szCs w:val="22"/>
              </w:rPr>
              <w:t>March 12</w:t>
            </w:r>
          </w:p>
        </w:tc>
      </w:tr>
      <w:tr w:rsidR="008B1C8A" w:rsidRPr="00FE03ED"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CA</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Cairbre</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Cowin</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RBC</w:t>
            </w:r>
          </w:p>
        </w:tc>
        <w:tc>
          <w:tcPr>
            <w:tcW w:w="1218"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8B1C8A"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DE</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Schaefer</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Daniel</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HSBC</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DC75B5"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DC75B5"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F22285"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DK</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Hattens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Randi Marie</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VP Securities A/S</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57190B"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ES</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Diego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Garcia</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DB</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0B0CBB"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FI</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Ms</w:t>
            </w:r>
            <w:proofErr w:type="spellEnd"/>
            <w:r w:rsidRPr="000C2490">
              <w:rPr>
                <w:rFonts w:ascii="Calibri" w:hAnsi="Calibri" w:cs="Calibri"/>
                <w:color w:val="000000" w:themeColor="text1"/>
                <w:sz w:val="22"/>
                <w:szCs w:val="22"/>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Rask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Sari</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Nordea</w:t>
            </w:r>
            <w:proofErr w:type="spellEnd"/>
            <w:r w:rsidRPr="000C2490">
              <w:rPr>
                <w:rFonts w:ascii="Calibri" w:hAnsi="Calibri" w:cs="Calibri"/>
                <w:color w:val="000000" w:themeColor="text1"/>
                <w:sz w:val="22"/>
                <w:szCs w:val="22"/>
              </w:rPr>
              <w:t xml:space="preserve"> Bank Plc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8B1C8A"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FR</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Jean-Pierre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Klak</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Statestreet</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4C345F"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IT</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Ms</w:t>
            </w:r>
            <w:proofErr w:type="spellEnd"/>
            <w:r w:rsidRPr="000C2490">
              <w:rPr>
                <w:rFonts w:ascii="Calibri" w:hAnsi="Calibri" w:cs="Calibri"/>
                <w:color w:val="000000" w:themeColor="text1"/>
                <w:sz w:val="22"/>
                <w:szCs w:val="22"/>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Deantoni</w:t>
            </w:r>
            <w:proofErr w:type="spellEnd"/>
            <w:r w:rsidRPr="000C2490">
              <w:rPr>
                <w:rFonts w:ascii="Calibri" w:hAnsi="Calibri" w:cs="Calibri"/>
                <w:color w:val="000000" w:themeColor="text1"/>
                <w:sz w:val="22"/>
                <w:szCs w:val="22"/>
              </w:rPr>
              <w:t>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Paola </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SGSS spa</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F22285"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LU</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Catarina</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Marques</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Clearstream</w:t>
            </w:r>
            <w:proofErr w:type="spellEnd"/>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F22285"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MDPUG</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Peter</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Hinds</w:t>
            </w:r>
          </w:p>
        </w:tc>
        <w:tc>
          <w:tcPr>
            <w:tcW w:w="1798" w:type="dxa"/>
            <w:shd w:val="clear" w:color="auto" w:fill="auto"/>
            <w:vAlign w:val="bottom"/>
          </w:tcPr>
          <w:p w:rsidR="008B1C8A" w:rsidRPr="000C2490" w:rsidRDefault="0012159E"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MDPUG</w:t>
            </w:r>
            <w:r w:rsidR="008B1C8A" w:rsidRPr="000C2490">
              <w:rPr>
                <w:rFonts w:ascii="Calibri" w:hAnsi="Calibri" w:cs="Calibri"/>
                <w:color w:val="000000" w:themeColor="text1"/>
                <w:sz w:val="22"/>
                <w:szCs w:val="22"/>
              </w:rPr>
              <w:t>/ Interactive Data</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8B1C8A" w:rsidRPr="00CD216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MDPUG</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 xml:space="preserve">Mr. </w:t>
            </w:r>
          </w:p>
        </w:tc>
        <w:tc>
          <w:tcPr>
            <w:tcW w:w="1426" w:type="dxa"/>
            <w:shd w:val="clear" w:color="auto" w:fill="auto"/>
            <w:vAlign w:val="bottom"/>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Aidan</w:t>
            </w:r>
          </w:p>
        </w:tc>
        <w:tc>
          <w:tcPr>
            <w:tcW w:w="1384" w:type="dxa"/>
            <w:shd w:val="clear" w:color="auto" w:fill="auto"/>
            <w:vAlign w:val="bottom"/>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Devaney</w:t>
            </w:r>
          </w:p>
        </w:tc>
        <w:tc>
          <w:tcPr>
            <w:tcW w:w="1798" w:type="dxa"/>
            <w:shd w:val="clear" w:color="auto" w:fill="auto"/>
            <w:vAlign w:val="bottom"/>
          </w:tcPr>
          <w:p w:rsidR="008B1C8A" w:rsidRPr="0012159E" w:rsidRDefault="0012159E" w:rsidP="000B0CBB">
            <w:pPr>
              <w:spacing w:before="100" w:beforeAutospacing="1" w:after="100" w:afterAutospacing="1"/>
              <w:ind w:left="-91"/>
              <w:rPr>
                <w:rFonts w:ascii="Calibri" w:hAnsi="Calibri" w:cs="Calibri"/>
                <w:color w:val="000000" w:themeColor="text1"/>
                <w:sz w:val="22"/>
                <w:szCs w:val="22"/>
              </w:rPr>
            </w:pPr>
            <w:r w:rsidRPr="0012159E">
              <w:rPr>
                <w:rFonts w:ascii="Calibri" w:hAnsi="Calibri" w:cs="Calibri"/>
                <w:color w:val="000000" w:themeColor="text1"/>
                <w:sz w:val="22"/>
                <w:szCs w:val="22"/>
              </w:rPr>
              <w:t>MDPUG/</w:t>
            </w:r>
            <w:r w:rsidR="008B1C8A" w:rsidRPr="0012159E">
              <w:rPr>
                <w:rFonts w:ascii="Calibri" w:hAnsi="Calibri" w:cs="Calibri"/>
                <w:color w:val="000000" w:themeColor="text1"/>
                <w:sz w:val="22"/>
                <w:szCs w:val="22"/>
              </w:rPr>
              <w:t>ICE</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8B1C8A" w:rsidRPr="00CD216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MDPUG</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Laura</w:t>
            </w:r>
          </w:p>
        </w:tc>
        <w:tc>
          <w:tcPr>
            <w:tcW w:w="1384" w:type="dxa"/>
            <w:shd w:val="clear" w:color="auto" w:fill="auto"/>
            <w:vAlign w:val="bottom"/>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Fuller</w:t>
            </w:r>
          </w:p>
        </w:tc>
        <w:tc>
          <w:tcPr>
            <w:tcW w:w="1798" w:type="dxa"/>
            <w:shd w:val="clear" w:color="auto" w:fill="auto"/>
            <w:vAlign w:val="bottom"/>
          </w:tcPr>
          <w:p w:rsidR="008B1C8A" w:rsidRPr="0012159E"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12159E">
              <w:rPr>
                <w:rFonts w:ascii="Calibri" w:hAnsi="Calibri" w:cs="Calibri"/>
                <w:color w:val="000000" w:themeColor="text1"/>
                <w:sz w:val="22"/>
                <w:szCs w:val="22"/>
              </w:rPr>
              <w:t>Telekurs</w:t>
            </w:r>
            <w:proofErr w:type="spellEnd"/>
          </w:p>
        </w:tc>
        <w:tc>
          <w:tcPr>
            <w:tcW w:w="1218"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c>
          <w:tcPr>
            <w:tcW w:w="1148" w:type="dxa"/>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8B1C8A" w:rsidRPr="000B0CBB" w:rsidTr="000C2490">
        <w:tblPrEx>
          <w:tblCellMar>
            <w:left w:w="108" w:type="dxa"/>
            <w:right w:w="108" w:type="dxa"/>
          </w:tblCellMar>
        </w:tblPrEx>
        <w:trPr>
          <w:trHeight w:val="296"/>
        </w:trPr>
        <w:tc>
          <w:tcPr>
            <w:tcW w:w="1131" w:type="dxa"/>
            <w:tcBorders>
              <w:left w:val="single" w:sz="4" w:space="0" w:color="auto"/>
            </w:tcBorders>
            <w:shd w:val="clear" w:color="auto" w:fill="auto"/>
            <w:vAlign w:val="center"/>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NO</w:t>
            </w:r>
          </w:p>
        </w:tc>
        <w:tc>
          <w:tcPr>
            <w:tcW w:w="590" w:type="dxa"/>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center"/>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Alexander</w:t>
            </w:r>
          </w:p>
        </w:tc>
        <w:tc>
          <w:tcPr>
            <w:tcW w:w="1384" w:type="dxa"/>
            <w:shd w:val="clear" w:color="auto" w:fill="auto"/>
            <w:vAlign w:val="center"/>
          </w:tcPr>
          <w:p w:rsidR="008B1C8A" w:rsidRPr="000C2490" w:rsidRDefault="008B1C8A" w:rsidP="000B0CBB">
            <w:pPr>
              <w:spacing w:before="100" w:beforeAutospacing="1" w:after="100" w:afterAutospacing="1"/>
              <w:ind w:left="-91"/>
              <w:rPr>
                <w:color w:val="000000" w:themeColor="text1"/>
              </w:rPr>
            </w:pPr>
            <w:proofErr w:type="spellStart"/>
            <w:r w:rsidRPr="000C2490">
              <w:rPr>
                <w:color w:val="000000" w:themeColor="text1"/>
              </w:rPr>
              <w:t>Wathne</w:t>
            </w:r>
            <w:proofErr w:type="spellEnd"/>
          </w:p>
        </w:tc>
        <w:tc>
          <w:tcPr>
            <w:tcW w:w="1798" w:type="dxa"/>
            <w:shd w:val="clear" w:color="auto" w:fill="auto"/>
            <w:vAlign w:val="center"/>
          </w:tcPr>
          <w:p w:rsidR="008B1C8A" w:rsidRPr="0012159E"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12159E">
              <w:rPr>
                <w:rFonts w:ascii="Calibri" w:hAnsi="Calibri" w:cs="Calibri"/>
                <w:color w:val="000000" w:themeColor="text1"/>
                <w:sz w:val="22"/>
                <w:szCs w:val="22"/>
              </w:rPr>
              <w:t>Nordea</w:t>
            </w:r>
            <w:proofErr w:type="spellEnd"/>
          </w:p>
        </w:tc>
        <w:tc>
          <w:tcPr>
            <w:tcW w:w="1218" w:type="dxa"/>
            <w:shd w:val="clear" w:color="auto" w:fill="auto"/>
            <w:vAlign w:val="center"/>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8B1C8A" w:rsidRPr="00060AB8" w:rsidTr="000C2490">
        <w:tblPrEx>
          <w:tblCellMar>
            <w:left w:w="108" w:type="dxa"/>
            <w:right w:w="108" w:type="dxa"/>
          </w:tblCellMar>
        </w:tblPrEx>
        <w:trPr>
          <w:trHeight w:val="278"/>
        </w:trPr>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SE</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Christine</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Strandberg</w:t>
            </w:r>
            <w:proofErr w:type="spellEnd"/>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SEB</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UK &amp; IE</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Mariangela</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Fumagalli</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BNP Paribas</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0B0CBB" w:rsidTr="000C2490">
        <w:tblPrEx>
          <w:tblCellMar>
            <w:left w:w="108" w:type="dxa"/>
            <w:right w:w="108" w:type="dxa"/>
          </w:tblCellMar>
        </w:tblPrEx>
        <w:tc>
          <w:tcPr>
            <w:tcW w:w="1131" w:type="dxa"/>
            <w:tcBorders>
              <w:top w:val="single" w:sz="4" w:space="0" w:color="auto"/>
              <w:left w:val="single" w:sz="4" w:space="0" w:color="auto"/>
            </w:tcBorders>
            <w:shd w:val="clear" w:color="auto" w:fill="auto"/>
            <w:vAlign w:val="center"/>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US ISITC</w:t>
            </w:r>
          </w:p>
        </w:tc>
        <w:tc>
          <w:tcPr>
            <w:tcW w:w="590"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Paul</w:t>
            </w:r>
          </w:p>
        </w:tc>
        <w:tc>
          <w:tcPr>
            <w:tcW w:w="1384"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Fullam</w:t>
            </w:r>
            <w:proofErr w:type="spellEnd"/>
          </w:p>
        </w:tc>
        <w:tc>
          <w:tcPr>
            <w:tcW w:w="1798"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Fiserv</w:t>
            </w:r>
          </w:p>
        </w:tc>
        <w:tc>
          <w:tcPr>
            <w:tcW w:w="1218" w:type="dxa"/>
            <w:tcBorders>
              <w:top w:val="single" w:sz="4" w:space="0" w:color="auto"/>
            </w:tcBorders>
            <w:shd w:val="clear" w:color="auto" w:fill="auto"/>
            <w:vAlign w:val="center"/>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tcBorders>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tcBorders>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8B1C8A"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XS</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 xml:space="preserve">Mr. </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Lambotte</w:t>
            </w:r>
            <w:proofErr w:type="spellEnd"/>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Jean-Paul</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Euroclear</w:t>
            </w:r>
            <w:proofErr w:type="spellEnd"/>
            <w:r w:rsidRPr="000C2490">
              <w:rPr>
                <w:rFonts w:ascii="Calibri" w:hAnsi="Calibri" w:cs="Calibri"/>
                <w:color w:val="000000" w:themeColor="text1"/>
                <w:sz w:val="22"/>
                <w:szCs w:val="22"/>
              </w:rPr>
              <w:t> </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8B1C8A" w:rsidRPr="000C2490" w:rsidRDefault="007242BC"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D26B9B"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ZA</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Sanjeev</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Jayram</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First National Bank</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C2490" w:rsidRPr="00D26B9B" w:rsidTr="000C2490">
        <w:tblPrEx>
          <w:tblCellMar>
            <w:left w:w="108" w:type="dxa"/>
            <w:right w:w="108" w:type="dxa"/>
          </w:tblCellMar>
        </w:tblPrEx>
        <w:tc>
          <w:tcPr>
            <w:tcW w:w="1131" w:type="dxa"/>
            <w:tcBorders>
              <w:left w:val="single" w:sz="4" w:space="0" w:color="auto"/>
            </w:tcBorders>
            <w:shd w:val="clear" w:color="auto" w:fill="auto"/>
            <w:vAlign w:val="bottom"/>
          </w:tcPr>
          <w:p w:rsidR="000C2490" w:rsidRPr="000C2490" w:rsidRDefault="000C2490" w:rsidP="000B0CBB">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ZA</w:t>
            </w:r>
          </w:p>
        </w:tc>
        <w:tc>
          <w:tcPr>
            <w:tcW w:w="590" w:type="dxa"/>
            <w:shd w:val="clear" w:color="auto" w:fill="auto"/>
            <w:vAlign w:val="bottom"/>
          </w:tcPr>
          <w:p w:rsidR="000C2490" w:rsidRPr="000C2490" w:rsidRDefault="000C2490"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0C2490" w:rsidRPr="000C2490" w:rsidRDefault="000C2490"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Tertius</w:t>
            </w:r>
            <w:proofErr w:type="spellEnd"/>
          </w:p>
        </w:tc>
        <w:tc>
          <w:tcPr>
            <w:tcW w:w="1384" w:type="dxa"/>
            <w:shd w:val="clear" w:color="auto" w:fill="auto"/>
            <w:vAlign w:val="bottom"/>
          </w:tcPr>
          <w:p w:rsidR="000C2490" w:rsidRPr="000C2490" w:rsidRDefault="000C2490"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Vermeulen</w:t>
            </w:r>
            <w:proofErr w:type="spellEnd"/>
          </w:p>
        </w:tc>
        <w:tc>
          <w:tcPr>
            <w:tcW w:w="1798" w:type="dxa"/>
            <w:shd w:val="clear" w:color="auto" w:fill="auto"/>
            <w:vAlign w:val="bottom"/>
          </w:tcPr>
          <w:p w:rsidR="000C2490" w:rsidRPr="000C2490" w:rsidRDefault="00C4653E"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Granite CSD</w:t>
            </w:r>
          </w:p>
        </w:tc>
        <w:tc>
          <w:tcPr>
            <w:tcW w:w="1218" w:type="dxa"/>
            <w:shd w:val="clear" w:color="auto" w:fill="auto"/>
          </w:tcPr>
          <w:p w:rsidR="000C2490"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C2490"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C2490"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DC75B5" w:rsidRPr="00D26B9B" w:rsidTr="000C2490">
        <w:tblPrEx>
          <w:tblCellMar>
            <w:left w:w="108" w:type="dxa"/>
            <w:right w:w="108" w:type="dxa"/>
          </w:tblCellMar>
        </w:tblPrEx>
        <w:tc>
          <w:tcPr>
            <w:tcW w:w="1131" w:type="dxa"/>
            <w:tcBorders>
              <w:left w:val="single" w:sz="4" w:space="0" w:color="auto"/>
            </w:tcBorders>
            <w:shd w:val="clear" w:color="auto" w:fill="auto"/>
            <w:vAlign w:val="bottom"/>
          </w:tcPr>
          <w:p w:rsidR="00DC75B5" w:rsidRDefault="00DC75B5" w:rsidP="000B0CBB">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ZA</w:t>
            </w:r>
          </w:p>
        </w:tc>
        <w:tc>
          <w:tcPr>
            <w:tcW w:w="590" w:type="dxa"/>
            <w:shd w:val="clear" w:color="auto" w:fill="auto"/>
            <w:vAlign w:val="bottom"/>
          </w:tcPr>
          <w:p w:rsidR="00DC75B5" w:rsidRDefault="00DC75B5"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DC75B5" w:rsidRDefault="00DC75B5"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Brett</w:t>
            </w:r>
          </w:p>
        </w:tc>
        <w:tc>
          <w:tcPr>
            <w:tcW w:w="1384" w:type="dxa"/>
            <w:shd w:val="clear" w:color="auto" w:fill="auto"/>
            <w:vAlign w:val="bottom"/>
          </w:tcPr>
          <w:p w:rsidR="00DC75B5" w:rsidRDefault="00DC75B5"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Kotze</w:t>
            </w:r>
            <w:proofErr w:type="spellEnd"/>
          </w:p>
        </w:tc>
        <w:tc>
          <w:tcPr>
            <w:tcW w:w="1798" w:type="dxa"/>
            <w:shd w:val="clear" w:color="auto" w:fill="auto"/>
            <w:vAlign w:val="bottom"/>
          </w:tcPr>
          <w:p w:rsidR="00DC75B5" w:rsidRPr="000C2490" w:rsidRDefault="00C4653E"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A2X</w:t>
            </w:r>
          </w:p>
        </w:tc>
        <w:tc>
          <w:tcPr>
            <w:tcW w:w="1218" w:type="dxa"/>
            <w:shd w:val="clear" w:color="auto" w:fill="auto"/>
          </w:tcPr>
          <w:p w:rsidR="00DC75B5" w:rsidRPr="000C2490" w:rsidRDefault="00DC75B5" w:rsidP="000B0CBB">
            <w:pPr>
              <w:spacing w:before="100" w:beforeAutospacing="1" w:after="100" w:afterAutospacing="1"/>
              <w:ind w:left="-91"/>
              <w:jc w:val="center"/>
              <w:rPr>
                <w:rFonts w:ascii="Calibri" w:hAnsi="Calibri" w:cs="Calibri"/>
                <w:color w:val="000000" w:themeColor="text1"/>
                <w:sz w:val="22"/>
                <w:szCs w:val="22"/>
              </w:rPr>
            </w:pPr>
          </w:p>
        </w:tc>
        <w:tc>
          <w:tcPr>
            <w:tcW w:w="1148" w:type="dxa"/>
            <w:shd w:val="clear" w:color="auto" w:fill="auto"/>
          </w:tcPr>
          <w:p w:rsidR="00DC75B5" w:rsidRPr="000C2490" w:rsidRDefault="00DC75B5"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DC75B5" w:rsidRPr="000C2490" w:rsidRDefault="0012159E"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EE045B"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C2490" w:rsidRDefault="008B1C8A" w:rsidP="000B0CBB">
            <w:pPr>
              <w:spacing w:before="100" w:beforeAutospacing="1" w:after="100" w:afterAutospacing="1"/>
              <w:ind w:left="106"/>
              <w:rPr>
                <w:rFonts w:ascii="Calibri" w:hAnsi="Calibri" w:cs="Calibri"/>
                <w:color w:val="000000" w:themeColor="text1"/>
                <w:sz w:val="22"/>
                <w:szCs w:val="22"/>
              </w:rPr>
            </w:pPr>
            <w:r w:rsidRPr="000C2490">
              <w:rPr>
                <w:rFonts w:ascii="Calibri" w:hAnsi="Calibri" w:cs="Calibri"/>
                <w:color w:val="000000" w:themeColor="text1"/>
                <w:sz w:val="22"/>
                <w:szCs w:val="22"/>
              </w:rPr>
              <w:t>SWIFT</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Jacques</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Littré</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SWIFT</w:t>
            </w:r>
          </w:p>
        </w:tc>
        <w:tc>
          <w:tcPr>
            <w:tcW w:w="1218" w:type="dxa"/>
            <w:shd w:val="clear" w:color="auto" w:fill="auto"/>
          </w:tcPr>
          <w:p w:rsidR="000C2490" w:rsidRPr="000C2490" w:rsidRDefault="008B1C8A" w:rsidP="000C2490">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DC75B5" w:rsidRPr="00EE045B" w:rsidTr="000C2490">
        <w:tblPrEx>
          <w:tblCellMar>
            <w:left w:w="108" w:type="dxa"/>
            <w:right w:w="108" w:type="dxa"/>
          </w:tblCellMar>
        </w:tblPrEx>
        <w:tc>
          <w:tcPr>
            <w:tcW w:w="1131" w:type="dxa"/>
            <w:tcBorders>
              <w:left w:val="single" w:sz="4" w:space="0" w:color="auto"/>
            </w:tcBorders>
            <w:shd w:val="clear" w:color="auto" w:fill="auto"/>
            <w:vAlign w:val="bottom"/>
          </w:tcPr>
          <w:p w:rsidR="00DC75B5" w:rsidRPr="000C2490" w:rsidRDefault="00DC75B5" w:rsidP="000B0CBB">
            <w:pPr>
              <w:spacing w:before="100" w:beforeAutospacing="1" w:after="100" w:afterAutospacing="1"/>
              <w:ind w:left="106"/>
              <w:rPr>
                <w:rFonts w:ascii="Calibri" w:hAnsi="Calibri" w:cs="Calibri"/>
                <w:color w:val="000000" w:themeColor="text1"/>
                <w:sz w:val="22"/>
                <w:szCs w:val="22"/>
              </w:rPr>
            </w:pPr>
            <w:r>
              <w:rPr>
                <w:rFonts w:ascii="Calibri" w:hAnsi="Calibri" w:cs="Calibri"/>
                <w:color w:val="000000" w:themeColor="text1"/>
                <w:sz w:val="22"/>
                <w:szCs w:val="22"/>
              </w:rPr>
              <w:t>SWIT</w:t>
            </w:r>
          </w:p>
        </w:tc>
        <w:tc>
          <w:tcPr>
            <w:tcW w:w="590" w:type="dxa"/>
            <w:shd w:val="clear" w:color="auto" w:fill="auto"/>
            <w:vAlign w:val="bottom"/>
          </w:tcPr>
          <w:p w:rsidR="00DC75B5" w:rsidRPr="000C2490" w:rsidRDefault="00DC75B5"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 xml:space="preserve">Mr. </w:t>
            </w:r>
          </w:p>
        </w:tc>
        <w:tc>
          <w:tcPr>
            <w:tcW w:w="1426" w:type="dxa"/>
            <w:shd w:val="clear" w:color="auto" w:fill="auto"/>
            <w:vAlign w:val="bottom"/>
          </w:tcPr>
          <w:p w:rsidR="00DC75B5" w:rsidRPr="000C2490" w:rsidRDefault="00DC75B5"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Charles</w:t>
            </w:r>
          </w:p>
        </w:tc>
        <w:tc>
          <w:tcPr>
            <w:tcW w:w="1384" w:type="dxa"/>
            <w:shd w:val="clear" w:color="auto" w:fill="auto"/>
            <w:vAlign w:val="bottom"/>
          </w:tcPr>
          <w:p w:rsidR="00DC75B5" w:rsidRPr="000C2490" w:rsidRDefault="00DC75B5"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Boniver</w:t>
            </w:r>
            <w:proofErr w:type="spellEnd"/>
          </w:p>
        </w:tc>
        <w:tc>
          <w:tcPr>
            <w:tcW w:w="1798" w:type="dxa"/>
            <w:shd w:val="clear" w:color="auto" w:fill="auto"/>
            <w:vAlign w:val="bottom"/>
          </w:tcPr>
          <w:p w:rsidR="00DC75B5" w:rsidRPr="000C2490" w:rsidRDefault="00DC75B5"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SWIFT</w:t>
            </w:r>
          </w:p>
        </w:tc>
        <w:tc>
          <w:tcPr>
            <w:tcW w:w="1218" w:type="dxa"/>
            <w:shd w:val="clear" w:color="auto" w:fill="auto"/>
          </w:tcPr>
          <w:p w:rsidR="00DC75B5" w:rsidRPr="000C2490" w:rsidRDefault="00DC75B5" w:rsidP="000C2490">
            <w:pPr>
              <w:spacing w:before="100" w:beforeAutospacing="1" w:after="100" w:afterAutospacing="1"/>
              <w:ind w:left="-91"/>
              <w:jc w:val="center"/>
              <w:rPr>
                <w:rFonts w:ascii="Calibri" w:hAnsi="Calibri" w:cs="Calibri"/>
                <w:color w:val="000000" w:themeColor="text1"/>
                <w:sz w:val="22"/>
                <w:szCs w:val="22"/>
              </w:rPr>
            </w:pPr>
          </w:p>
        </w:tc>
        <w:tc>
          <w:tcPr>
            <w:tcW w:w="1148" w:type="dxa"/>
            <w:shd w:val="clear" w:color="auto" w:fill="auto"/>
          </w:tcPr>
          <w:p w:rsidR="00DC75B5" w:rsidRPr="000C2490" w:rsidRDefault="00DC75B5"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DC75B5" w:rsidRPr="000C2490" w:rsidRDefault="00DC75B5" w:rsidP="000B0CBB">
            <w:pPr>
              <w:spacing w:before="100" w:beforeAutospacing="1" w:after="100" w:afterAutospacing="1"/>
              <w:ind w:left="-91"/>
              <w:jc w:val="center"/>
              <w:rPr>
                <w:rFonts w:ascii="Calibri" w:hAnsi="Calibri" w:cs="Calibri"/>
                <w:color w:val="000000" w:themeColor="text1"/>
                <w:sz w:val="22"/>
                <w:szCs w:val="22"/>
              </w:rPr>
            </w:pPr>
          </w:p>
        </w:tc>
      </w:tr>
    </w:tbl>
    <w:p w:rsidR="00740040" w:rsidRDefault="00740040" w:rsidP="009A4BD3">
      <w:pPr>
        <w:pStyle w:val="Heading1"/>
        <w:rPr>
          <w:lang w:eastAsia="en-GB"/>
        </w:rPr>
      </w:pPr>
      <w:bookmarkStart w:id="4" w:name="_Toc482870654"/>
      <w:bookmarkStart w:id="5" w:name="OLE_LINK5"/>
      <w:bookmarkStart w:id="6" w:name="OLE_LINK8"/>
      <w:bookmarkStart w:id="7" w:name="_Toc39829665"/>
      <w:bookmarkEnd w:id="2"/>
      <w:bookmarkEnd w:id="3"/>
      <w:r>
        <w:rPr>
          <w:lang w:eastAsia="en-GB"/>
        </w:rPr>
        <w:t>Meeting Dates for Q3/Q4 2020</w:t>
      </w:r>
      <w:bookmarkEnd w:id="7"/>
    </w:p>
    <w:p w:rsidR="00740040" w:rsidRDefault="00740040" w:rsidP="00740040">
      <w:pPr>
        <w:rPr>
          <w:lang w:eastAsia="en-GB"/>
        </w:rPr>
      </w:pPr>
      <w:r>
        <w:rPr>
          <w:lang w:eastAsia="en-GB"/>
        </w:rPr>
        <w:t xml:space="preserve">The following dates were agreed: July 14, </w:t>
      </w:r>
      <w:r w:rsidR="00C92A5B">
        <w:rPr>
          <w:lang w:eastAsia="en-GB"/>
        </w:rPr>
        <w:t>skip August (</w:t>
      </w:r>
      <w:r w:rsidR="00CE2071">
        <w:rPr>
          <w:lang w:eastAsia="en-GB"/>
        </w:rPr>
        <w:t xml:space="preserve">because of </w:t>
      </w:r>
      <w:r w:rsidR="00C92A5B">
        <w:rPr>
          <w:lang w:eastAsia="en-GB"/>
        </w:rPr>
        <w:t xml:space="preserve">MWG), </w:t>
      </w:r>
      <w:r>
        <w:rPr>
          <w:lang w:eastAsia="en-GB"/>
        </w:rPr>
        <w:t xml:space="preserve">September </w:t>
      </w:r>
      <w:r w:rsidR="00207E18">
        <w:rPr>
          <w:lang w:eastAsia="en-GB"/>
        </w:rPr>
        <w:t>1</w:t>
      </w:r>
      <w:r>
        <w:rPr>
          <w:lang w:eastAsia="en-GB"/>
        </w:rPr>
        <w:t xml:space="preserve">, November 3, December 1, </w:t>
      </w:r>
      <w:proofErr w:type="gramStart"/>
      <w:r>
        <w:rPr>
          <w:lang w:eastAsia="en-GB"/>
        </w:rPr>
        <w:t>January</w:t>
      </w:r>
      <w:proofErr w:type="gramEnd"/>
      <w:r>
        <w:rPr>
          <w:lang w:eastAsia="en-GB"/>
        </w:rPr>
        <w:t xml:space="preserve"> 12 (2021). </w:t>
      </w:r>
    </w:p>
    <w:p w:rsidR="009A4BD3" w:rsidRDefault="00AC555A" w:rsidP="009A4BD3">
      <w:pPr>
        <w:pStyle w:val="Heading1"/>
        <w:rPr>
          <w:lang w:eastAsia="en-GB"/>
        </w:rPr>
      </w:pPr>
      <w:bookmarkStart w:id="8" w:name="_Toc39829666"/>
      <w:r>
        <w:rPr>
          <w:lang w:eastAsia="en-GB"/>
        </w:rPr>
        <w:t xml:space="preserve">Approval of </w:t>
      </w:r>
      <w:bookmarkEnd w:id="4"/>
      <w:r w:rsidR="00AE5D8E">
        <w:rPr>
          <w:lang w:eastAsia="en-GB"/>
        </w:rPr>
        <w:t xml:space="preserve">February </w:t>
      </w:r>
      <w:r w:rsidR="00CE1053">
        <w:rPr>
          <w:lang w:eastAsia="en-GB"/>
        </w:rPr>
        <w:t>Meeting Minutes</w:t>
      </w:r>
      <w:bookmarkEnd w:id="8"/>
    </w:p>
    <w:p w:rsidR="00DE507E" w:rsidRDefault="00E545E5" w:rsidP="004B2613">
      <w:pPr>
        <w:rPr>
          <w:lang w:eastAsia="en-GB"/>
        </w:rPr>
      </w:pPr>
      <w:r>
        <w:rPr>
          <w:lang w:eastAsia="en-GB"/>
        </w:rPr>
        <w:t>M</w:t>
      </w:r>
      <w:r w:rsidR="00DE507E">
        <w:rPr>
          <w:lang w:eastAsia="en-GB"/>
        </w:rPr>
        <w:t xml:space="preserve">eeting minutes </w:t>
      </w:r>
      <w:r>
        <w:rPr>
          <w:lang w:eastAsia="en-GB"/>
        </w:rPr>
        <w:t>of</w:t>
      </w:r>
      <w:r w:rsidR="00DE507E">
        <w:rPr>
          <w:lang w:eastAsia="en-GB"/>
        </w:rPr>
        <w:t xml:space="preserve"> </w:t>
      </w:r>
      <w:r w:rsidR="00740040">
        <w:rPr>
          <w:lang w:eastAsia="en-GB"/>
        </w:rPr>
        <w:t>February</w:t>
      </w:r>
      <w:r w:rsidR="00DE507E">
        <w:rPr>
          <w:lang w:eastAsia="en-GB"/>
        </w:rPr>
        <w:t xml:space="preserve"> are approved</w:t>
      </w:r>
      <w:r>
        <w:rPr>
          <w:lang w:eastAsia="en-GB"/>
        </w:rPr>
        <w:t xml:space="preserve"> without any comments</w:t>
      </w:r>
      <w:r w:rsidR="00DE507E">
        <w:rPr>
          <w:lang w:eastAsia="en-GB"/>
        </w:rPr>
        <w:t>.</w:t>
      </w:r>
    </w:p>
    <w:p w:rsidR="00256DB8" w:rsidRDefault="00256DB8" w:rsidP="00256DB8">
      <w:pPr>
        <w:pStyle w:val="Heading1"/>
        <w:rPr>
          <w:lang w:eastAsia="en-GB"/>
        </w:rPr>
      </w:pPr>
      <w:bookmarkStart w:id="9" w:name="_Toc39829667"/>
      <w:r>
        <w:rPr>
          <w:lang w:eastAsia="en-GB"/>
        </w:rPr>
        <w:t>Co-Chair Election</w:t>
      </w:r>
      <w:bookmarkEnd w:id="9"/>
    </w:p>
    <w:p w:rsidR="00256DB8" w:rsidRDefault="00256DB8" w:rsidP="00256DB8">
      <w:pPr>
        <w:rPr>
          <w:lang w:eastAsia="en-GB"/>
        </w:rPr>
      </w:pPr>
      <w:r>
        <w:rPr>
          <w:lang w:eastAsia="en-GB"/>
        </w:rPr>
        <w:t>Christine Strandberg was the only candidate for the position.</w:t>
      </w:r>
    </w:p>
    <w:p w:rsidR="00256DB8" w:rsidRDefault="00207E18" w:rsidP="00256DB8">
      <w:pPr>
        <w:rPr>
          <w:lang w:eastAsia="en-GB"/>
        </w:rPr>
      </w:pPr>
      <w:r>
        <w:rPr>
          <w:lang w:eastAsia="en-GB"/>
        </w:rPr>
        <w:t>Because</w:t>
      </w:r>
      <w:r w:rsidR="00256DB8">
        <w:rPr>
          <w:lang w:eastAsia="en-GB"/>
        </w:rPr>
        <w:t xml:space="preserve"> the meeting was held primarily via Webex due to travel restrictions, the vote was held via voting ballots sent via email to Jacques. </w:t>
      </w:r>
    </w:p>
    <w:p w:rsidR="00256DB8" w:rsidRPr="00256DB8" w:rsidRDefault="00256DB8" w:rsidP="00256DB8">
      <w:pPr>
        <w:rPr>
          <w:lang w:eastAsia="en-GB"/>
        </w:rPr>
      </w:pPr>
      <w:r>
        <w:rPr>
          <w:lang w:eastAsia="en-GB"/>
        </w:rPr>
        <w:t>Results: Christine is reelected for a 2 years period 2020 – 2021 at the unanimity of the voting members.</w:t>
      </w:r>
    </w:p>
    <w:p w:rsidR="004B2613" w:rsidRDefault="00473631" w:rsidP="004B2613">
      <w:pPr>
        <w:pStyle w:val="Heading1"/>
      </w:pPr>
      <w:bookmarkStart w:id="10" w:name="_Toc39829668"/>
      <w:r>
        <w:t>CA405</w:t>
      </w:r>
      <w:r>
        <w:tab/>
      </w:r>
      <w:r w:rsidR="00F915CC">
        <w:t>New flag for S</w:t>
      </w:r>
      <w:r w:rsidR="004B2613">
        <w:t xml:space="preserve">ecurities </w:t>
      </w:r>
      <w:r w:rsidR="00F915CC">
        <w:t>B</w:t>
      </w:r>
      <w:r w:rsidR="004B2613">
        <w:t>eing Blocked</w:t>
      </w:r>
      <w:bookmarkEnd w:id="10"/>
      <w:r w:rsidR="004B2613">
        <w:t xml:space="preserve"> </w:t>
      </w:r>
    </w:p>
    <w:p w:rsidR="00F85578" w:rsidRDefault="00453F88" w:rsidP="00906FBF">
      <w:pPr>
        <w:pStyle w:val="Actions"/>
        <w:rPr>
          <w:color w:val="auto"/>
        </w:rPr>
      </w:pPr>
      <w:r>
        <w:rPr>
          <w:color w:val="auto"/>
        </w:rPr>
        <w:t xml:space="preserve">Some </w:t>
      </w:r>
      <w:r w:rsidR="000E0E8D">
        <w:rPr>
          <w:color w:val="auto"/>
        </w:rPr>
        <w:t>NMPG</w:t>
      </w:r>
      <w:r>
        <w:rPr>
          <w:color w:val="auto"/>
        </w:rPr>
        <w:t>s</w:t>
      </w:r>
      <w:r w:rsidR="000E0E8D">
        <w:rPr>
          <w:color w:val="auto"/>
        </w:rPr>
        <w:t xml:space="preserve"> </w:t>
      </w:r>
      <w:r>
        <w:rPr>
          <w:color w:val="auto"/>
        </w:rPr>
        <w:t>(DE, FI SE and ES) have provided input in the Excel sheet initiated by Daniel.</w:t>
      </w:r>
    </w:p>
    <w:p w:rsidR="00453F88" w:rsidRDefault="00453F88" w:rsidP="00453F88">
      <w:pPr>
        <w:spacing w:after="0"/>
      </w:pPr>
      <w:r>
        <w:lastRenderedPageBreak/>
        <w:t>However, some NMPGs reported issues in their markets to fill in the excel sheet because the purpose was not fully clear (i.e. whether the blocking is required or possible) or because the members have so many different blocking practices that a consolidation is not possible.</w:t>
      </w:r>
    </w:p>
    <w:p w:rsidR="00453F88" w:rsidRDefault="00453F88" w:rsidP="00453F88">
      <w:pPr>
        <w:spacing w:after="0"/>
      </w:pPr>
      <w:r>
        <w:t xml:space="preserve">Follows a long discussion on whether we need to spend more time on the spreadsheet exercise given that interpretation may be very different. </w:t>
      </w:r>
    </w:p>
    <w:p w:rsidR="00BE0C9C" w:rsidRDefault="009E76B1" w:rsidP="009E76B1">
      <w:pPr>
        <w:pStyle w:val="Decisions"/>
      </w:pPr>
      <w:r w:rsidRPr="009E76B1">
        <w:rPr>
          <w:b/>
          <w:u w:val="single"/>
        </w:rPr>
        <w:t>Decision</w:t>
      </w:r>
      <w:r>
        <w:t xml:space="preserve">: </w:t>
      </w:r>
      <w:r w:rsidR="00BE0C9C">
        <w:t>As proposed by Daniel, the group finally agrees that a draft CR for SR2021 should be prepared and reviewed by the group. The CR will propose to create a new “Blocking Required” indicator in the CA Option sequence together with a “Blocking End Date” which could potentially be either a specific date or a date relative to another key date like PAYD or RDTE.</w:t>
      </w:r>
    </w:p>
    <w:p w:rsidR="009E76B1" w:rsidRDefault="009E76B1" w:rsidP="009E76B1">
      <w:pPr>
        <w:pStyle w:val="Decisions"/>
      </w:pPr>
      <w:r>
        <w:t xml:space="preserve">The </w:t>
      </w:r>
      <w:r w:rsidR="00CE2071">
        <w:t>WG</w:t>
      </w:r>
      <w:r>
        <w:t xml:space="preserve"> also agrees to not use the consolidated excel sheet and </w:t>
      </w:r>
      <w:r w:rsidR="00CE2071">
        <w:t xml:space="preserve">to </w:t>
      </w:r>
      <w:r>
        <w:t>delete it.</w:t>
      </w:r>
    </w:p>
    <w:p w:rsidR="009E76B1" w:rsidRPr="00B03BCD" w:rsidRDefault="00906FBF" w:rsidP="009E76B1">
      <w:pPr>
        <w:pStyle w:val="Actions"/>
      </w:pPr>
      <w:r w:rsidRPr="004A2BC4">
        <w:rPr>
          <w:b/>
          <w:u w:val="single"/>
        </w:rPr>
        <w:t>Action</w:t>
      </w:r>
      <w:r w:rsidRPr="004A2BC4">
        <w:t xml:space="preserve">: </w:t>
      </w:r>
      <w:r w:rsidR="009E76B1" w:rsidRPr="00A46207">
        <w:rPr>
          <w:u w:val="single"/>
        </w:rPr>
        <w:t>Daniel</w:t>
      </w:r>
      <w:r w:rsidR="009E76B1">
        <w:t xml:space="preserve"> to produce the first draft of the new CR</w:t>
      </w:r>
      <w:r w:rsidR="00CE2071">
        <w:t xml:space="preserve"> to </w:t>
      </w:r>
      <w:proofErr w:type="gramStart"/>
      <w:r w:rsidR="00CE2071">
        <w:t>be submitted</w:t>
      </w:r>
      <w:proofErr w:type="gramEnd"/>
      <w:r w:rsidR="00CE2071">
        <w:t xml:space="preserve"> in May 2020</w:t>
      </w:r>
      <w:r w:rsidR="009E76B1">
        <w:t>.</w:t>
      </w:r>
    </w:p>
    <w:p w:rsidR="004B2613" w:rsidRDefault="00473631" w:rsidP="004B2613">
      <w:pPr>
        <w:pStyle w:val="Heading1"/>
      </w:pPr>
      <w:bookmarkStart w:id="11" w:name="_Toc39829669"/>
      <w:r>
        <w:t>CA418</w:t>
      </w:r>
      <w:r>
        <w:tab/>
      </w:r>
      <w:r w:rsidR="004B2613">
        <w:t>SR2019 GMP1-3 updates</w:t>
      </w:r>
      <w:r w:rsidR="00906FBF">
        <w:t xml:space="preserve"> – TNDP input</w:t>
      </w:r>
      <w:bookmarkEnd w:id="11"/>
    </w:p>
    <w:p w:rsidR="00F22DFF" w:rsidRDefault="00F22DFF" w:rsidP="00F85578">
      <w:r>
        <w:t>Input from AU (Narelle)</w:t>
      </w:r>
    </w:p>
    <w:bookmarkStart w:id="12" w:name="_MON_1644045059"/>
    <w:bookmarkEnd w:id="12"/>
    <w:p w:rsidR="00F85578" w:rsidRDefault="00F85578" w:rsidP="00F85578">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12" ShapeID="_x0000_i1025" DrawAspect="Icon" ObjectID="_1650442439" r:id="rId16">
            <o:FieldCodes>\s</o:FieldCodes>
          </o:OLEObject>
        </w:object>
      </w:r>
    </w:p>
    <w:p w:rsidR="00F22DFF" w:rsidRDefault="00F22DFF" w:rsidP="00F85578">
      <w:r>
        <w:t>Input from DE (Daniel)</w:t>
      </w:r>
    </w:p>
    <w:bookmarkStart w:id="13" w:name="_MON_1644045106"/>
    <w:bookmarkEnd w:id="13"/>
    <w:p w:rsidR="00F85578" w:rsidRDefault="00F85578" w:rsidP="00F85578">
      <w:r>
        <w:object w:dxaOrig="1539" w:dyaOrig="997">
          <v:shape id="_x0000_i1026" type="#_x0000_t75" style="width:77.25pt;height:49.5pt" o:ole="">
            <v:imagedata r:id="rId17" o:title=""/>
          </v:shape>
          <o:OLEObject Type="Embed" ProgID="Word.Document.12" ShapeID="_x0000_i1026" DrawAspect="Icon" ObjectID="_1650442440" r:id="rId18">
            <o:FieldCodes>\s</o:FieldCodes>
          </o:OLEObject>
        </w:object>
      </w:r>
    </w:p>
    <w:p w:rsidR="00F22DFF" w:rsidRPr="001F4ED6" w:rsidRDefault="00F22DFF" w:rsidP="00F22DFF">
      <w:r w:rsidRPr="001F4ED6">
        <w:t xml:space="preserve">Daniel, Narelle and Steve </w:t>
      </w:r>
      <w:r w:rsidR="009A4CF2" w:rsidRPr="001F4ED6">
        <w:t xml:space="preserve">have not yet managed </w:t>
      </w:r>
      <w:r w:rsidRPr="001F4ED6">
        <w:t xml:space="preserve">to agree </w:t>
      </w:r>
      <w:r w:rsidR="009A4CF2" w:rsidRPr="001F4ED6">
        <w:t xml:space="preserve">on how to generalise the </w:t>
      </w:r>
      <w:r w:rsidRPr="001F4ED6">
        <w:t>TNPD market practice</w:t>
      </w:r>
      <w:r w:rsidR="009A4CF2" w:rsidRPr="001F4ED6">
        <w:t xml:space="preserve"> document.</w:t>
      </w:r>
    </w:p>
    <w:p w:rsidR="00932B12" w:rsidRPr="00B93674" w:rsidRDefault="00906FBF" w:rsidP="00B93674">
      <w:pPr>
        <w:pStyle w:val="Actions"/>
      </w:pPr>
      <w:r w:rsidRPr="00B93674">
        <w:rPr>
          <w:u w:val="single"/>
        </w:rPr>
        <w:t>Actions</w:t>
      </w:r>
      <w:r w:rsidR="00932B12" w:rsidRPr="00B93674">
        <w:t xml:space="preserve">: </w:t>
      </w:r>
    </w:p>
    <w:p w:rsidR="00932B12" w:rsidRPr="00B93674" w:rsidRDefault="00B93674" w:rsidP="00AF0869">
      <w:pPr>
        <w:pStyle w:val="Actions"/>
        <w:numPr>
          <w:ilvl w:val="0"/>
          <w:numId w:val="14"/>
        </w:numPr>
      </w:pPr>
      <w:r w:rsidRPr="00B93674">
        <w:rPr>
          <w:u w:val="single"/>
        </w:rPr>
        <w:t>Daniel, Narelle and Steve</w:t>
      </w:r>
      <w:r w:rsidRPr="00B93674">
        <w:t xml:space="preserve"> to agree how to integrate the German remarks in the TNPD market practice and adapt its structure to be easier to integrate country specificities.</w:t>
      </w:r>
    </w:p>
    <w:p w:rsidR="00906FBF" w:rsidRPr="00B93674" w:rsidRDefault="00906FBF" w:rsidP="00AF0869">
      <w:pPr>
        <w:pStyle w:val="Actions"/>
        <w:numPr>
          <w:ilvl w:val="0"/>
          <w:numId w:val="14"/>
        </w:numPr>
      </w:pPr>
      <w:r w:rsidRPr="00B93674">
        <w:rPr>
          <w:u w:val="single"/>
        </w:rPr>
        <w:t>ISITC/Steve</w:t>
      </w:r>
      <w:r w:rsidR="00A24D8E" w:rsidRPr="00B93674">
        <w:rPr>
          <w:u w:val="single"/>
        </w:rPr>
        <w:t>/Paul</w:t>
      </w:r>
      <w:r w:rsidRPr="00B93674">
        <w:t xml:space="preserve"> to justify why GRSS and NETT are present.</w:t>
      </w:r>
    </w:p>
    <w:p w:rsidR="004B2613" w:rsidRDefault="004B2613" w:rsidP="004B2613">
      <w:pPr>
        <w:pStyle w:val="Heading1"/>
      </w:pPr>
      <w:bookmarkStart w:id="14" w:name="_Toc39829670"/>
      <w:r>
        <w:t>CA419</w:t>
      </w:r>
      <w:r w:rsidR="00473631">
        <w:tab/>
      </w:r>
      <w:r>
        <w:t>Definition of Instructed and Uninstructed Balances</w:t>
      </w:r>
      <w:bookmarkEnd w:id="14"/>
    </w:p>
    <w:bookmarkStart w:id="15" w:name="_MON_1637659474"/>
    <w:bookmarkEnd w:id="15"/>
    <w:p w:rsidR="00A913DB" w:rsidRDefault="00A913DB" w:rsidP="00A913DB">
      <w:r>
        <w:object w:dxaOrig="1531" w:dyaOrig="990">
          <v:shape id="_x0000_i1027" type="#_x0000_t75" style="width:76.5pt;height:49.5pt" o:ole="">
            <v:imagedata r:id="rId19" o:title=""/>
          </v:shape>
          <o:OLEObject Type="Embed" ProgID="Word.Document.12" ShapeID="_x0000_i1027" DrawAspect="Icon" ObjectID="_1650442441" r:id="rId20">
            <o:FieldCodes>\s</o:FieldCodes>
          </o:OLEObject>
        </w:object>
      </w:r>
    </w:p>
    <w:p w:rsidR="00152B18" w:rsidRDefault="00861339" w:rsidP="00152B18">
      <w:pPr>
        <w:spacing w:after="0"/>
        <w:rPr>
          <w:rFonts w:asciiTheme="minorHAnsi" w:hAnsiTheme="minorHAnsi" w:cstheme="minorBidi"/>
          <w:lang w:val="en-GB" w:eastAsia="zh-CN"/>
        </w:rPr>
      </w:pPr>
      <w:r>
        <w:t>Mari w</w:t>
      </w:r>
      <w:r w:rsidR="00152B18" w:rsidRPr="00152B18">
        <w:t xml:space="preserve">ill try to </w:t>
      </w:r>
      <w:r w:rsidR="00FB3678">
        <w:t xml:space="preserve">propose a revised wording </w:t>
      </w:r>
      <w:r w:rsidR="00152B18" w:rsidRPr="00152B18">
        <w:t>by the April call</w:t>
      </w:r>
      <w:r>
        <w:t>.</w:t>
      </w:r>
    </w:p>
    <w:p w:rsidR="0027526C" w:rsidRDefault="007C5D35" w:rsidP="007C5D35">
      <w:pPr>
        <w:pStyle w:val="Actions"/>
      </w:pPr>
      <w:r w:rsidRPr="00B74523">
        <w:rPr>
          <w:b/>
          <w:u w:val="single"/>
        </w:rPr>
        <w:t>Action</w:t>
      </w:r>
      <w:r>
        <w:t xml:space="preserve">: </w:t>
      </w:r>
    </w:p>
    <w:p w:rsidR="0027526C" w:rsidRDefault="0027526C" w:rsidP="00AF0869">
      <w:pPr>
        <w:pStyle w:val="Actions"/>
        <w:numPr>
          <w:ilvl w:val="0"/>
          <w:numId w:val="15"/>
        </w:numPr>
      </w:pPr>
      <w:r w:rsidRPr="00FB3678">
        <w:rPr>
          <w:u w:val="single"/>
        </w:rPr>
        <w:t>Mari</w:t>
      </w:r>
      <w:r>
        <w:t xml:space="preserve"> </w:t>
      </w:r>
      <w:r w:rsidR="00FB3678">
        <w:t>to</w:t>
      </w:r>
      <w:r>
        <w:t xml:space="preserve"> review the wording of the MP.</w:t>
      </w:r>
    </w:p>
    <w:p w:rsidR="007C5D35" w:rsidRPr="00D132BF" w:rsidRDefault="00607E25" w:rsidP="00AF0869">
      <w:pPr>
        <w:pStyle w:val="Actions"/>
        <w:numPr>
          <w:ilvl w:val="0"/>
          <w:numId w:val="15"/>
        </w:numPr>
      </w:pPr>
      <w:r>
        <w:t xml:space="preserve">Remaining </w:t>
      </w:r>
      <w:r w:rsidR="007C5D35" w:rsidRPr="00B74523">
        <w:rPr>
          <w:u w:val="single"/>
        </w:rPr>
        <w:t>NMPG’s</w:t>
      </w:r>
      <w:r w:rsidR="005233F6">
        <w:t xml:space="preserve"> to review and revert with feedback before next </w:t>
      </w:r>
      <w:r w:rsidR="00861339">
        <w:t>call</w:t>
      </w:r>
      <w:r w:rsidR="005233F6">
        <w:t>.</w:t>
      </w:r>
    </w:p>
    <w:p w:rsidR="00473631" w:rsidRDefault="007D5C82" w:rsidP="004B2613">
      <w:pPr>
        <w:pStyle w:val="Heading1"/>
      </w:pPr>
      <w:bookmarkStart w:id="16" w:name="_Toc39829671"/>
      <w:r w:rsidRPr="002A6152">
        <w:t>CA422</w:t>
      </w:r>
      <w:r w:rsidRPr="002A6152">
        <w:tab/>
        <w:t>SRD</w:t>
      </w:r>
      <w:r w:rsidR="00A02D22">
        <w:t>II</w:t>
      </w:r>
      <w:r w:rsidRPr="002A6152">
        <w:t xml:space="preserve"> ISO Messages and MP TF Progress Update</w:t>
      </w:r>
      <w:bookmarkEnd w:id="16"/>
      <w:r w:rsidRPr="002A6152">
        <w:t xml:space="preserve"> </w:t>
      </w:r>
    </w:p>
    <w:p w:rsidR="00A02D22" w:rsidRDefault="00A02D22" w:rsidP="00AF0869">
      <w:pPr>
        <w:pStyle w:val="ListParagraph"/>
        <w:numPr>
          <w:ilvl w:val="0"/>
          <w:numId w:val="19"/>
        </w:numPr>
      </w:pPr>
      <w:r>
        <w:t>Support of the EU languages for SRDII</w:t>
      </w:r>
    </w:p>
    <w:p w:rsidR="00152B18" w:rsidRDefault="00152B18" w:rsidP="00F56288">
      <w:r w:rsidRPr="00152B18">
        <w:lastRenderedPageBreak/>
        <w:t>Following the request from the</w:t>
      </w:r>
      <w:r>
        <w:t xml:space="preserve"> SRDII GoR TF to create a new MP for the support of other EU languages than English for GM and CA announcements as required by the directive, Mari has provided a first draft for the MP as follows:</w:t>
      </w:r>
    </w:p>
    <w:p w:rsidR="00152B18" w:rsidRPr="00152B18" w:rsidRDefault="00152B18" w:rsidP="00152B18">
      <w:pPr>
        <w:ind w:left="360" w:right="662"/>
        <w:rPr>
          <w:rFonts w:ascii="Times New Roman" w:hAnsi="Times New Roman" w:cs="Times New Roman"/>
          <w:b/>
          <w:i/>
          <w:u w:val="single"/>
        </w:rPr>
      </w:pPr>
      <w:r w:rsidRPr="00152B18">
        <w:rPr>
          <w:b/>
          <w:i/>
          <w:u w:val="single"/>
        </w:rPr>
        <w:t>CA</w:t>
      </w:r>
    </w:p>
    <w:p w:rsidR="00152B18" w:rsidRPr="00152B18" w:rsidRDefault="00152B18" w:rsidP="00152B18">
      <w:pPr>
        <w:ind w:left="360" w:right="662"/>
        <w:rPr>
          <w:i/>
        </w:rPr>
      </w:pPr>
      <w:r w:rsidRPr="00152B18">
        <w:rPr>
          <w:i/>
        </w:rPr>
        <w:t xml:space="preserve">Where the issuer announce the terms of the event in both the national language and English, we recommend that, if required, any narrative to describe such terms </w:t>
      </w:r>
      <w:r w:rsidR="00207E18" w:rsidRPr="00152B18">
        <w:rPr>
          <w:i/>
        </w:rPr>
        <w:t>include</w:t>
      </w:r>
      <w:r w:rsidRPr="00152B18">
        <w:rPr>
          <w:i/>
        </w:rPr>
        <w:t xml:space="preserve"> both languages, at the same time, in any notification message. Each language should be preceded by the ISO 639-1 code of the language.</w:t>
      </w:r>
    </w:p>
    <w:p w:rsidR="00152B18" w:rsidRPr="00152B18" w:rsidRDefault="00152B18" w:rsidP="00152B18">
      <w:pPr>
        <w:ind w:left="360" w:right="662"/>
        <w:rPr>
          <w:i/>
        </w:rPr>
      </w:pPr>
      <w:r w:rsidRPr="00152B18">
        <w:rPr>
          <w:i/>
        </w:rPr>
        <w:t>If for any reason, the terms are not announced in both languages at the same time, once the details in the other language are announced, a replacement message (REPL) should be issued with the narratives, if any, updated to include the terms in such language.</w:t>
      </w:r>
    </w:p>
    <w:p w:rsidR="00152B18" w:rsidRPr="00152B18" w:rsidRDefault="00152B18" w:rsidP="00152B18">
      <w:pPr>
        <w:ind w:left="360" w:right="662"/>
        <w:rPr>
          <w:b/>
          <w:i/>
          <w:u w:val="single"/>
        </w:rPr>
      </w:pPr>
      <w:r w:rsidRPr="00152B18">
        <w:rPr>
          <w:b/>
          <w:i/>
          <w:u w:val="single"/>
        </w:rPr>
        <w:t xml:space="preserve">General meetings </w:t>
      </w:r>
    </w:p>
    <w:p w:rsidR="00152B18" w:rsidRPr="00152B18" w:rsidRDefault="00152B18" w:rsidP="00152B18">
      <w:pPr>
        <w:ind w:left="360" w:right="662"/>
        <w:rPr>
          <w:i/>
        </w:rPr>
      </w:pPr>
      <w:r w:rsidRPr="00152B18">
        <w:rPr>
          <w:i/>
        </w:rPr>
        <w:t>Where the issuer announce the resolution items in both the national language and English, we recommend that the resolutions include both languages, at the same time, in any notification message. Each language should be preceded by the ISO 639-1 code of the language.</w:t>
      </w:r>
    </w:p>
    <w:p w:rsidR="00152B18" w:rsidRPr="00152B18" w:rsidRDefault="00152B18" w:rsidP="00152B18">
      <w:pPr>
        <w:ind w:left="360" w:right="662"/>
        <w:rPr>
          <w:i/>
        </w:rPr>
      </w:pPr>
      <w:r w:rsidRPr="00152B18">
        <w:rPr>
          <w:i/>
        </w:rPr>
        <w:t>If for any reason, the resolutions are not announced in both languages at the same time, once the details in the other language are announced, a replacement message (REPL) should be issued with the resolutions updated to include the wording in such language.</w:t>
      </w:r>
    </w:p>
    <w:p w:rsidR="0015583E" w:rsidRDefault="0015583E" w:rsidP="0015583E">
      <w:pPr>
        <w:spacing w:after="0"/>
      </w:pPr>
      <w:r>
        <w:t xml:space="preserve">The proposed MP above was discussed at the SRDII TF last week and resulted </w:t>
      </w:r>
      <w:r w:rsidRPr="0015583E">
        <w:rPr>
          <w:u w:val="single"/>
        </w:rPr>
        <w:t>for intermediaries</w:t>
      </w:r>
      <w:r>
        <w:t xml:space="preserve"> in a proposal to only use one language and decide to include in the SLA which language to use for which account.</w:t>
      </w:r>
    </w:p>
    <w:p w:rsidR="0015583E" w:rsidRDefault="0015583E" w:rsidP="0015583E">
      <w:pPr>
        <w:spacing w:after="0"/>
      </w:pPr>
      <w:r>
        <w:t xml:space="preserve">For the </w:t>
      </w:r>
      <w:r w:rsidRPr="007435CA">
        <w:rPr>
          <w:u w:val="single"/>
        </w:rPr>
        <w:t>first intermediary</w:t>
      </w:r>
      <w:r>
        <w:t>, when both languages are included by the issuer, the ISO country code of the language should be “surrounded” by “(“ and “)” in both ISO 15022 and ISO 20022 (for CA).</w:t>
      </w:r>
    </w:p>
    <w:p w:rsidR="007435CA" w:rsidRDefault="00207E18" w:rsidP="0015583E">
      <w:pPr>
        <w:spacing w:after="0"/>
      </w:pPr>
      <w:r>
        <w:t>From</w:t>
      </w:r>
      <w:r w:rsidR="0015583E">
        <w:t xml:space="preserve"> an operational, technical perspective, only English will be truly feasible for cross-border, </w:t>
      </w:r>
      <w:proofErr w:type="gramStart"/>
      <w:r w:rsidR="0015583E">
        <w:t>ISO 15022/20022</w:t>
      </w:r>
      <w:proofErr w:type="gramEnd"/>
      <w:r w:rsidR="0015583E">
        <w:t xml:space="preserve"> communication</w:t>
      </w:r>
      <w:r w:rsidR="007435CA">
        <w:t>.</w:t>
      </w:r>
    </w:p>
    <w:p w:rsidR="00502FC1" w:rsidRPr="00502FC1" w:rsidRDefault="00502FC1" w:rsidP="00502FC1">
      <w:pPr>
        <w:pStyle w:val="Actions"/>
        <w:rPr>
          <w:b/>
          <w:color w:val="00B0F0"/>
          <w:u w:val="single"/>
        </w:rPr>
      </w:pPr>
      <w:r w:rsidRPr="00502FC1">
        <w:rPr>
          <w:b/>
          <w:color w:val="00B0F0"/>
          <w:u w:val="single"/>
        </w:rPr>
        <w:t xml:space="preserve">Post meeting </w:t>
      </w:r>
      <w:r>
        <w:rPr>
          <w:b/>
          <w:color w:val="00B0F0"/>
          <w:u w:val="single"/>
        </w:rPr>
        <w:t xml:space="preserve">MP </w:t>
      </w:r>
      <w:r w:rsidRPr="00502FC1">
        <w:rPr>
          <w:b/>
          <w:color w:val="00B0F0"/>
          <w:u w:val="single"/>
        </w:rPr>
        <w:t>proposal by Mari:</w:t>
      </w:r>
    </w:p>
    <w:p w:rsidR="00502FC1" w:rsidRPr="00502FC1" w:rsidRDefault="00502FC1" w:rsidP="00502FC1">
      <w:pPr>
        <w:ind w:left="540" w:right="572"/>
        <w:rPr>
          <w:rFonts w:ascii="Times New Roman" w:hAnsi="Times New Roman" w:cs="Times New Roman"/>
          <w:i/>
          <w:color w:val="00B0F0"/>
        </w:rPr>
      </w:pPr>
      <w:r w:rsidRPr="00502FC1">
        <w:rPr>
          <w:i/>
          <w:color w:val="00B0F0"/>
        </w:rPr>
        <w:t xml:space="preserve">Where the issuer announces the terms of the event in both the national language and English, we recommend that, if required, any narrative to describe such terms </w:t>
      </w:r>
      <w:r w:rsidR="00207E18" w:rsidRPr="00502FC1">
        <w:rPr>
          <w:i/>
          <w:color w:val="00B0F0"/>
        </w:rPr>
        <w:t>include</w:t>
      </w:r>
      <w:r w:rsidRPr="00502FC1">
        <w:rPr>
          <w:i/>
          <w:color w:val="00B0F0"/>
        </w:rPr>
        <w:t xml:space="preserve"> both languages, at the same time, in any notification message. Each language should be preceded by the ISO 639-1 code of the language in brackets; as an example, (FR) for French.</w:t>
      </w:r>
    </w:p>
    <w:p w:rsidR="00502FC1" w:rsidRPr="00502FC1" w:rsidRDefault="00502FC1" w:rsidP="00502FC1">
      <w:pPr>
        <w:ind w:left="540" w:right="572"/>
        <w:rPr>
          <w:i/>
          <w:color w:val="00B0F0"/>
        </w:rPr>
      </w:pPr>
      <w:r w:rsidRPr="00502FC1">
        <w:rPr>
          <w:i/>
          <w:color w:val="00B0F0"/>
        </w:rPr>
        <w:t>If for any reason, the terms are not announced in both languages at the same time, once the details in the other language are announced, a replacement message (REPL) should be issued with the narratives, if any, updated to include the terms in such language.</w:t>
      </w:r>
    </w:p>
    <w:p w:rsidR="00502FC1" w:rsidRDefault="00502FC1" w:rsidP="00502FC1">
      <w:pPr>
        <w:ind w:left="540" w:right="572"/>
        <w:rPr>
          <w:i/>
          <w:color w:val="00B0F0"/>
        </w:rPr>
      </w:pPr>
      <w:r w:rsidRPr="00502FC1">
        <w:rPr>
          <w:i/>
          <w:color w:val="00B0F0"/>
        </w:rPr>
        <w:t xml:space="preserve">Once the issuer’s announcement is received by the first intermediary and distributed along the chain of intermediaries, we recommend that the narratives are transmitted in English, unless otherwise agreed by the receiving and transmitting parties in their SLA. </w:t>
      </w:r>
    </w:p>
    <w:p w:rsidR="00A02D22" w:rsidRDefault="00FF06E9" w:rsidP="00FF06E9">
      <w:pPr>
        <w:pStyle w:val="Actions"/>
      </w:pPr>
      <w:r w:rsidRPr="007435CA">
        <w:rPr>
          <w:b/>
          <w:u w:val="single"/>
        </w:rPr>
        <w:t>Action</w:t>
      </w:r>
      <w:r>
        <w:t xml:space="preserve">: </w:t>
      </w:r>
      <w:r w:rsidRPr="00FF06E9">
        <w:t>NMPGs to review the proposed draft MP</w:t>
      </w:r>
    </w:p>
    <w:p w:rsidR="00FF06E9" w:rsidRDefault="00FF06E9" w:rsidP="00FF06E9">
      <w:pPr>
        <w:pStyle w:val="Actions"/>
      </w:pPr>
    </w:p>
    <w:p w:rsidR="00F56288" w:rsidRDefault="00F56288" w:rsidP="00AF0869">
      <w:pPr>
        <w:pStyle w:val="ListParagraph"/>
        <w:numPr>
          <w:ilvl w:val="0"/>
          <w:numId w:val="19"/>
        </w:numPr>
        <w:spacing w:after="0"/>
      </w:pPr>
      <w:r>
        <w:t>ECSDA proposal for an ISO 15022 solution for SID</w:t>
      </w:r>
    </w:p>
    <w:p w:rsidR="00F56288" w:rsidRDefault="00A02D22" w:rsidP="00A02D22">
      <w:pPr>
        <w:spacing w:after="0"/>
      </w:pPr>
      <w:r>
        <w:t>Jean-Paul presented the ECSDA proposal, agreed by six CSDs</w:t>
      </w:r>
      <w:r w:rsidR="00F56288">
        <w:t>, to re-use the MT 564 for SID disclosure requests and for GM announcements by structuring the narrative fields</w:t>
      </w:r>
      <w:r>
        <w:t>.</w:t>
      </w:r>
    </w:p>
    <w:p w:rsidR="00A02D22" w:rsidRDefault="00A02D22" w:rsidP="00A02D22">
      <w:pPr>
        <w:spacing w:after="0"/>
      </w:pPr>
      <w:r>
        <w:t xml:space="preserve">Significant opposition </w:t>
      </w:r>
      <w:r w:rsidR="00F56288">
        <w:t>to this proposal was voiced almost unanimously at the call.</w:t>
      </w:r>
      <w:r>
        <w:t xml:space="preserve"> </w:t>
      </w:r>
      <w:r w:rsidR="00F56288">
        <w:t>T</w:t>
      </w:r>
      <w:r>
        <w:t>he proposed message formats are not SRD II-compliant, and industry resources should not be devoted to perform changes in ISO 15022 when we should migrate to ISO 20022.</w:t>
      </w:r>
    </w:p>
    <w:p w:rsidR="00F56288" w:rsidRDefault="00F56288" w:rsidP="00A02D22">
      <w:pPr>
        <w:spacing w:after="0"/>
      </w:pPr>
      <w:r>
        <w:lastRenderedPageBreak/>
        <w:t xml:space="preserve">The SMPG would rather recommend </w:t>
      </w:r>
      <w:r w:rsidR="00207E18">
        <w:t>continuing</w:t>
      </w:r>
      <w:r>
        <w:t xml:space="preserve"> using alternative proprietary solutions temporarily instead of doing </w:t>
      </w:r>
      <w:r w:rsidR="00207E18">
        <w:t>short-term</w:t>
      </w:r>
      <w:r>
        <w:t xml:space="preserve"> development in ISO 15022 with the risk that the short term becomes </w:t>
      </w:r>
      <w:r w:rsidR="00A46207">
        <w:t>a</w:t>
      </w:r>
      <w:r>
        <w:t xml:space="preserve"> permanent solution.</w:t>
      </w:r>
    </w:p>
    <w:p w:rsidR="00F56288" w:rsidRDefault="00A46207" w:rsidP="00A02D22">
      <w:pPr>
        <w:spacing w:after="0"/>
        <w:rPr>
          <w:rFonts w:asciiTheme="minorHAnsi" w:hAnsiTheme="minorHAnsi" w:cstheme="minorBidi"/>
          <w:lang w:val="en-GB" w:eastAsia="zh-CN"/>
        </w:rPr>
      </w:pPr>
      <w:r>
        <w:t>BY the way, t</w:t>
      </w:r>
      <w:r w:rsidR="00F56288">
        <w:t>he SRDII SID Market Standards refer</w:t>
      </w:r>
      <w:r>
        <w:t>s</w:t>
      </w:r>
      <w:r w:rsidR="00F56288">
        <w:t xml:space="preserve"> explicitly to ISO 20022 for the messaging solution.</w:t>
      </w:r>
    </w:p>
    <w:p w:rsidR="00A02D22" w:rsidRDefault="00A02D22" w:rsidP="00A02D22">
      <w:pPr>
        <w:spacing w:after="0"/>
      </w:pPr>
      <w:r>
        <w:t>Jean-Paul will forward our concerns to the ECSDA WG (on March 13), and revert to the CA-WG.</w:t>
      </w:r>
    </w:p>
    <w:p w:rsidR="00A02D22" w:rsidRDefault="00A02D22" w:rsidP="00A02D22">
      <w:pPr>
        <w:spacing w:after="0"/>
      </w:pPr>
      <w:r>
        <w:t xml:space="preserve">The SMPG SC may have an extraordinary call next week to discuss if the SMPG should issue a statement to </w:t>
      </w:r>
      <w:r w:rsidR="00F56288">
        <w:t xml:space="preserve">ECSDA to </w:t>
      </w:r>
      <w:r>
        <w:t>the effect that it is not possible to be compliant with SRD II for GMs and SI without using ISO 20022 messages.</w:t>
      </w:r>
    </w:p>
    <w:p w:rsidR="00DC7687" w:rsidRDefault="00DC7687" w:rsidP="00AF0869">
      <w:pPr>
        <w:pStyle w:val="ListParagraph"/>
        <w:numPr>
          <w:ilvl w:val="0"/>
          <w:numId w:val="19"/>
        </w:numPr>
      </w:pPr>
      <w:r>
        <w:t>SRDII Postponement Request Letter</w:t>
      </w:r>
    </w:p>
    <w:p w:rsidR="00DC7687" w:rsidRDefault="00DC7687" w:rsidP="00DC7687">
      <w:r>
        <w:t xml:space="preserve">The SRDII Industry Steering Group is also currently discussing the opportunity to send a letter to the EU Commission to request the postponement of SRDII IR to 3 Sept. 2021. </w:t>
      </w:r>
    </w:p>
    <w:p w:rsidR="00DC7687" w:rsidRDefault="00DC7687" w:rsidP="00DC7687">
      <w:r>
        <w:t xml:space="preserve">Christine, Mari, Paola and Jacques are follow up the discussions. </w:t>
      </w:r>
    </w:p>
    <w:p w:rsidR="00A02D22" w:rsidRPr="00DC7687" w:rsidRDefault="00DC7687" w:rsidP="00DC7687">
      <w:pPr>
        <w:rPr>
          <w:b/>
          <w:color w:val="00B0F0"/>
          <w:u w:val="single"/>
        </w:rPr>
      </w:pPr>
      <w:r w:rsidRPr="00DC7687">
        <w:rPr>
          <w:b/>
          <w:color w:val="00B0F0"/>
          <w:u w:val="single"/>
        </w:rPr>
        <w:t>Post meeting comment</w:t>
      </w:r>
    </w:p>
    <w:p w:rsidR="00DC7687" w:rsidRDefault="00DC7687" w:rsidP="00DC7687">
      <w:pPr>
        <w:rPr>
          <w:color w:val="00B0F0"/>
          <w:lang w:val="en-GB"/>
        </w:rPr>
      </w:pPr>
      <w:r>
        <w:rPr>
          <w:color w:val="00B0F0"/>
          <w:lang w:val="en-GB"/>
        </w:rPr>
        <w:t>The SMPG SC has decided on April 8 to co-sign the following postponement letter to the Commission</w:t>
      </w:r>
      <w:r w:rsidR="00A46207">
        <w:rPr>
          <w:color w:val="00B0F0"/>
          <w:lang w:val="en-GB"/>
        </w:rPr>
        <w:t xml:space="preserve"> (the letter </w:t>
      </w:r>
      <w:proofErr w:type="gramStart"/>
      <w:r w:rsidR="00A46207">
        <w:rPr>
          <w:color w:val="00B0F0"/>
          <w:lang w:val="en-GB"/>
        </w:rPr>
        <w:t>was sent</w:t>
      </w:r>
      <w:proofErr w:type="gramEnd"/>
      <w:r w:rsidR="00A46207">
        <w:rPr>
          <w:color w:val="00B0F0"/>
          <w:lang w:val="en-GB"/>
        </w:rPr>
        <w:t xml:space="preserve"> </w:t>
      </w:r>
      <w:r>
        <w:rPr>
          <w:color w:val="00B0F0"/>
          <w:lang w:val="en-GB"/>
        </w:rPr>
        <w:t>on April 9</w:t>
      </w:r>
      <w:r w:rsidR="00A46207">
        <w:rPr>
          <w:color w:val="00B0F0"/>
          <w:lang w:val="en-GB"/>
        </w:rPr>
        <w:t>)</w:t>
      </w:r>
      <w:r>
        <w:rPr>
          <w:color w:val="00B0F0"/>
          <w:lang w:val="en-GB"/>
        </w:rPr>
        <w:t>:</w:t>
      </w:r>
    </w:p>
    <w:p w:rsidR="00DC7687" w:rsidRPr="00DC7687" w:rsidRDefault="00DC7687" w:rsidP="00DC7687">
      <w:pPr>
        <w:rPr>
          <w:color w:val="00B0F0"/>
          <w:lang w:val="en-GB"/>
        </w:rPr>
      </w:pPr>
      <w:r>
        <w:rPr>
          <w:color w:val="00B0F0"/>
          <w:lang w:val="en-GB"/>
        </w:rPr>
        <w:object w:dxaOrig="1541" w:dyaOrig="998">
          <v:shape id="_x0000_i1028" type="#_x0000_t75" style="width:77.25pt;height:50.25pt" o:ole="">
            <v:imagedata r:id="rId21" o:title=""/>
          </v:shape>
          <o:OLEObject Type="Embed" ProgID="AcroExch.Document.DC" ShapeID="_x0000_i1028" DrawAspect="Icon" ObjectID="_1650442442" r:id="rId22"/>
        </w:object>
      </w:r>
    </w:p>
    <w:p w:rsidR="004B2613" w:rsidRDefault="004B2613" w:rsidP="004B2613">
      <w:pPr>
        <w:pStyle w:val="Heading1"/>
      </w:pPr>
      <w:bookmarkStart w:id="17" w:name="_Toc39829672"/>
      <w:r w:rsidRPr="007C47BA">
        <w:t>CA437</w:t>
      </w:r>
      <w:r w:rsidR="00473631" w:rsidRPr="007C47BA">
        <w:tab/>
      </w:r>
      <w:r w:rsidRPr="007C47BA">
        <w:t>Auto-FX - Update of GMP1 Section 8.6</w:t>
      </w:r>
      <w:bookmarkEnd w:id="17"/>
    </w:p>
    <w:p w:rsidR="003B45D3" w:rsidRPr="00716C49" w:rsidRDefault="003B45D3" w:rsidP="003B45D3">
      <w:pPr>
        <w:rPr>
          <w:u w:val="single"/>
        </w:rPr>
      </w:pPr>
      <w:r w:rsidRPr="00716C49">
        <w:rPr>
          <w:u w:val="single"/>
        </w:rPr>
        <w:t>Véronique (BE) input received:</w:t>
      </w:r>
    </w:p>
    <w:p w:rsidR="003B45D3" w:rsidRPr="003B45D3" w:rsidRDefault="003B45D3" w:rsidP="003B45D3">
      <w:pPr>
        <w:ind w:left="900" w:right="1112"/>
        <w:rPr>
          <w:rFonts w:ascii="Calibri" w:hAnsi="Calibri" w:cs="Calibri"/>
          <w:i/>
          <w:lang w:eastAsia="en-GB"/>
        </w:rPr>
      </w:pPr>
      <w:r w:rsidRPr="003B45D3">
        <w:rPr>
          <w:i/>
        </w:rPr>
        <w:t xml:space="preserve">Proposal for the GMP1 update, to replace the current section 8.6. </w:t>
      </w:r>
    </w:p>
    <w:p w:rsidR="003B45D3" w:rsidRPr="003B45D3" w:rsidRDefault="003B45D3" w:rsidP="003B45D3">
      <w:pPr>
        <w:ind w:left="900" w:right="1112"/>
        <w:rPr>
          <w:i/>
        </w:rPr>
      </w:pPr>
      <w:r w:rsidRPr="003B45D3">
        <w:rPr>
          <w:i/>
        </w:rPr>
        <w:t>Question: How to report a forex in a confirmation of payment message?</w:t>
      </w:r>
    </w:p>
    <w:p w:rsidR="00716C49" w:rsidRPr="003B45D3" w:rsidRDefault="00716C49" w:rsidP="003B45D3">
      <w:pPr>
        <w:ind w:left="900" w:right="1112"/>
        <w:rPr>
          <w:i/>
          <w:color w:val="4472C4"/>
          <w:lang w:val="en-GB"/>
        </w:rPr>
      </w:pPr>
      <w:r w:rsidRPr="003B45D3">
        <w:rPr>
          <w:i/>
          <w:color w:val="000000"/>
        </w:rPr>
        <w:t xml:space="preserve">The FX rate should be indicated in the confirmation of payment message </w:t>
      </w:r>
      <w:r w:rsidRPr="003B45D3">
        <w:rPr>
          <w:i/>
          <w:color w:val="4472C4"/>
        </w:rPr>
        <w:t>(MT566/seev.xxx).</w:t>
      </w:r>
    </w:p>
    <w:p w:rsidR="00716C49" w:rsidRPr="003B45D3" w:rsidRDefault="00716C49" w:rsidP="003B45D3">
      <w:pPr>
        <w:ind w:left="900" w:right="1112"/>
        <w:rPr>
          <w:i/>
          <w:color w:val="000000"/>
        </w:rPr>
      </w:pPr>
      <w:r w:rsidRPr="003B45D3">
        <w:rPr>
          <w:i/>
          <w:color w:val="000000"/>
        </w:rPr>
        <w:t>The MT566 should contain the following information :</w:t>
      </w:r>
    </w:p>
    <w:p w:rsidR="00716C49" w:rsidRPr="003B45D3" w:rsidRDefault="00716C49" w:rsidP="00AF0869">
      <w:pPr>
        <w:pStyle w:val="ListParagraph"/>
        <w:numPr>
          <w:ilvl w:val="0"/>
          <w:numId w:val="13"/>
        </w:numPr>
        <w:spacing w:before="0" w:after="0"/>
        <w:ind w:left="900" w:right="1112"/>
        <w:rPr>
          <w:i/>
          <w:color w:val="4472C4"/>
        </w:rPr>
      </w:pPr>
      <w:r w:rsidRPr="003B45D3">
        <w:rPr>
          <w:i/>
          <w:color w:val="000000"/>
        </w:rPr>
        <w:t>Original amount and CCY  </w:t>
      </w:r>
      <w:r w:rsidRPr="003B45D3">
        <w:rPr>
          <w:i/>
          <w:color w:val="4472C4"/>
        </w:rPr>
        <w:t>(19B GRSS and/or NETT or iso20022 equivalent)</w:t>
      </w:r>
    </w:p>
    <w:p w:rsidR="00716C49" w:rsidRPr="003B45D3" w:rsidRDefault="00716C49" w:rsidP="00AF0869">
      <w:pPr>
        <w:pStyle w:val="ListParagraph"/>
        <w:numPr>
          <w:ilvl w:val="0"/>
          <w:numId w:val="13"/>
        </w:numPr>
        <w:spacing w:before="0" w:after="0"/>
        <w:ind w:left="900" w:right="1112"/>
        <w:rPr>
          <w:i/>
          <w:color w:val="4472C4"/>
        </w:rPr>
      </w:pPr>
      <w:r w:rsidRPr="003B45D3">
        <w:rPr>
          <w:i/>
          <w:color w:val="000000"/>
        </w:rPr>
        <w:t xml:space="preserve">Exchange rate </w:t>
      </w:r>
      <w:r w:rsidRPr="003B45D3">
        <w:rPr>
          <w:i/>
          <w:color w:val="4472C4"/>
        </w:rPr>
        <w:t>(92B EXCH//original currency/resulting currency/rate)</w:t>
      </w:r>
    </w:p>
    <w:p w:rsidR="00716C49" w:rsidRPr="003B45D3" w:rsidRDefault="00716C49" w:rsidP="00AF0869">
      <w:pPr>
        <w:pStyle w:val="ListParagraph"/>
        <w:numPr>
          <w:ilvl w:val="0"/>
          <w:numId w:val="13"/>
        </w:numPr>
        <w:spacing w:before="0" w:after="0"/>
        <w:ind w:left="900" w:right="1112"/>
        <w:rPr>
          <w:i/>
          <w:color w:val="4472C4"/>
        </w:rPr>
      </w:pPr>
      <w:r w:rsidRPr="003B45D3">
        <w:rPr>
          <w:i/>
          <w:color w:val="000000"/>
        </w:rPr>
        <w:t xml:space="preserve">Posting amount with new CCY and amount </w:t>
      </w:r>
      <w:r w:rsidR="006A438B" w:rsidRPr="003B45D3">
        <w:rPr>
          <w:i/>
          <w:color w:val="4472C4"/>
        </w:rPr>
        <w:t>(19B P</w:t>
      </w:r>
      <w:r w:rsidRPr="003B45D3">
        <w:rPr>
          <w:i/>
          <w:color w:val="4472C4"/>
        </w:rPr>
        <w:t>ST</w:t>
      </w:r>
      <w:r w:rsidR="006A438B" w:rsidRPr="003B45D3">
        <w:rPr>
          <w:i/>
          <w:color w:val="4472C4"/>
        </w:rPr>
        <w:t>A</w:t>
      </w:r>
      <w:r w:rsidRPr="003B45D3">
        <w:rPr>
          <w:i/>
          <w:color w:val="4472C4"/>
        </w:rPr>
        <w:t>)</w:t>
      </w:r>
    </w:p>
    <w:p w:rsidR="00716C49" w:rsidRPr="003B45D3" w:rsidRDefault="00716C49" w:rsidP="003B45D3">
      <w:pPr>
        <w:ind w:left="900" w:right="1112"/>
        <w:rPr>
          <w:i/>
        </w:rPr>
      </w:pPr>
      <w:r w:rsidRPr="003B45D3">
        <w:rPr>
          <w:i/>
        </w:rPr>
        <w:t>For the review at SMPG level, here is an example (that should not be included in GMP1):</w:t>
      </w:r>
    </w:p>
    <w:p w:rsidR="00716C49" w:rsidRPr="003B45D3" w:rsidRDefault="00716C49" w:rsidP="003B45D3">
      <w:pPr>
        <w:spacing w:before="0" w:after="0"/>
        <w:ind w:left="900" w:right="1112"/>
        <w:rPr>
          <w:i/>
          <w:color w:val="1F497D"/>
          <w:lang w:val="en-GB"/>
        </w:rPr>
      </w:pPr>
      <w:proofErr w:type="gramStart"/>
      <w:r w:rsidRPr="003B45D3">
        <w:rPr>
          <w:i/>
          <w:color w:val="1F497D"/>
        </w:rPr>
        <w:t>:16R:CASHMOVE</w:t>
      </w:r>
      <w:proofErr w:type="gramEnd"/>
    </w:p>
    <w:p w:rsidR="00716C49" w:rsidRPr="003B45D3" w:rsidRDefault="00716C49" w:rsidP="003B45D3">
      <w:pPr>
        <w:spacing w:before="0" w:after="0"/>
        <w:ind w:left="900" w:right="1112"/>
        <w:rPr>
          <w:i/>
          <w:color w:val="1F497D"/>
        </w:rPr>
      </w:pPr>
      <w:proofErr w:type="gramStart"/>
      <w:r w:rsidRPr="003B45D3">
        <w:rPr>
          <w:i/>
          <w:color w:val="1F497D"/>
        </w:rPr>
        <w:t>:22H</w:t>
      </w:r>
      <w:proofErr w:type="gramEnd"/>
      <w:r w:rsidRPr="003B45D3">
        <w:rPr>
          <w:i/>
          <w:color w:val="1F497D"/>
        </w:rPr>
        <w:t>::CRDB//CRED</w:t>
      </w:r>
    </w:p>
    <w:p w:rsidR="00716C49" w:rsidRPr="003B45D3" w:rsidRDefault="00716C49" w:rsidP="003B45D3">
      <w:pPr>
        <w:spacing w:before="0" w:after="0"/>
        <w:ind w:left="900" w:right="1112"/>
        <w:rPr>
          <w:i/>
          <w:color w:val="1F497D"/>
        </w:rPr>
      </w:pPr>
      <w:proofErr w:type="gramStart"/>
      <w:r w:rsidRPr="003B45D3">
        <w:rPr>
          <w:i/>
          <w:color w:val="1F497D"/>
        </w:rPr>
        <w:t>:97A</w:t>
      </w:r>
      <w:proofErr w:type="gramEnd"/>
      <w:r w:rsidRPr="003B45D3">
        <w:rPr>
          <w:i/>
          <w:color w:val="1F497D"/>
        </w:rPr>
        <w:t>::CASH//XXXXXXXXXXXXXXX</w:t>
      </w:r>
    </w:p>
    <w:p w:rsidR="00716C49" w:rsidRPr="003B45D3" w:rsidRDefault="00716C49" w:rsidP="003B45D3">
      <w:pPr>
        <w:spacing w:before="0" w:after="0"/>
        <w:ind w:left="900" w:right="1112"/>
        <w:rPr>
          <w:i/>
          <w:color w:val="FF0000"/>
        </w:rPr>
      </w:pPr>
      <w:proofErr w:type="gramStart"/>
      <w:r w:rsidRPr="003B45D3">
        <w:rPr>
          <w:i/>
          <w:color w:val="FF0000"/>
        </w:rPr>
        <w:t>:19B</w:t>
      </w:r>
      <w:proofErr w:type="gramEnd"/>
      <w:r w:rsidRPr="003B45D3">
        <w:rPr>
          <w:i/>
          <w:color w:val="FF0000"/>
        </w:rPr>
        <w:t>::PSTA//GBPXXXXX,</w:t>
      </w:r>
    </w:p>
    <w:p w:rsidR="00716C49" w:rsidRPr="003B45D3" w:rsidRDefault="00716C49" w:rsidP="003B45D3">
      <w:pPr>
        <w:spacing w:before="0" w:after="0"/>
        <w:ind w:left="900" w:right="1112"/>
        <w:rPr>
          <w:i/>
          <w:color w:val="FF0000"/>
        </w:rPr>
      </w:pPr>
      <w:proofErr w:type="gramStart"/>
      <w:r w:rsidRPr="003B45D3">
        <w:rPr>
          <w:i/>
          <w:color w:val="FF0000"/>
        </w:rPr>
        <w:t>:19B</w:t>
      </w:r>
      <w:proofErr w:type="gramEnd"/>
      <w:r w:rsidRPr="003B45D3">
        <w:rPr>
          <w:i/>
          <w:color w:val="FF0000"/>
        </w:rPr>
        <w:t>::RESU//GBPXXXXX,</w:t>
      </w:r>
    </w:p>
    <w:p w:rsidR="00716C49" w:rsidRPr="003B45D3" w:rsidRDefault="00716C49" w:rsidP="003B45D3">
      <w:pPr>
        <w:spacing w:before="0" w:after="0"/>
        <w:ind w:left="900" w:right="1112"/>
        <w:rPr>
          <w:i/>
          <w:color w:val="00B050"/>
        </w:rPr>
      </w:pPr>
      <w:proofErr w:type="gramStart"/>
      <w:r w:rsidRPr="003B45D3">
        <w:rPr>
          <w:i/>
          <w:color w:val="00B050"/>
        </w:rPr>
        <w:t>:19B</w:t>
      </w:r>
      <w:proofErr w:type="gramEnd"/>
      <w:r w:rsidRPr="003B45D3">
        <w:rPr>
          <w:i/>
          <w:color w:val="00B050"/>
        </w:rPr>
        <w:t>::TAXR//KRWXXXXX,</w:t>
      </w:r>
    </w:p>
    <w:p w:rsidR="00716C49" w:rsidRPr="003B45D3" w:rsidRDefault="00716C49" w:rsidP="003B45D3">
      <w:pPr>
        <w:spacing w:before="0" w:after="0"/>
        <w:ind w:left="900" w:right="1112"/>
        <w:rPr>
          <w:i/>
          <w:color w:val="00B050"/>
        </w:rPr>
      </w:pPr>
      <w:proofErr w:type="gramStart"/>
      <w:r w:rsidRPr="003B45D3">
        <w:rPr>
          <w:i/>
          <w:color w:val="00B050"/>
        </w:rPr>
        <w:t>:19B</w:t>
      </w:r>
      <w:proofErr w:type="gramEnd"/>
      <w:r w:rsidRPr="003B45D3">
        <w:rPr>
          <w:i/>
          <w:color w:val="00B050"/>
        </w:rPr>
        <w:t>::GRSS//KRWXXXXX,</w:t>
      </w:r>
    </w:p>
    <w:p w:rsidR="00716C49" w:rsidRPr="003B45D3" w:rsidRDefault="00716C49" w:rsidP="003B45D3">
      <w:pPr>
        <w:spacing w:before="0" w:after="0"/>
        <w:ind w:left="900" w:right="1112"/>
        <w:rPr>
          <w:i/>
          <w:color w:val="00B050"/>
        </w:rPr>
      </w:pPr>
      <w:proofErr w:type="gramStart"/>
      <w:r w:rsidRPr="003B45D3">
        <w:rPr>
          <w:i/>
          <w:color w:val="00B050"/>
        </w:rPr>
        <w:t>:19B</w:t>
      </w:r>
      <w:proofErr w:type="gramEnd"/>
      <w:r w:rsidRPr="003B45D3">
        <w:rPr>
          <w:i/>
          <w:color w:val="00B050"/>
        </w:rPr>
        <w:t>::NETT//KRWXXXXX,</w:t>
      </w:r>
    </w:p>
    <w:p w:rsidR="00716C49" w:rsidRPr="003B45D3" w:rsidRDefault="00716C49" w:rsidP="003B45D3">
      <w:pPr>
        <w:spacing w:before="0" w:after="0"/>
        <w:ind w:left="900" w:right="1112"/>
        <w:rPr>
          <w:i/>
          <w:color w:val="1F497D"/>
        </w:rPr>
      </w:pPr>
      <w:proofErr w:type="gramStart"/>
      <w:r w:rsidRPr="003B45D3">
        <w:rPr>
          <w:i/>
          <w:color w:val="1F497D"/>
        </w:rPr>
        <w:t>:98A</w:t>
      </w:r>
      <w:proofErr w:type="gramEnd"/>
      <w:r w:rsidRPr="003B45D3">
        <w:rPr>
          <w:i/>
          <w:color w:val="1F497D"/>
        </w:rPr>
        <w:t>::POST//20181123</w:t>
      </w:r>
    </w:p>
    <w:p w:rsidR="00716C49" w:rsidRPr="003B45D3" w:rsidRDefault="00716C49" w:rsidP="003B45D3">
      <w:pPr>
        <w:spacing w:before="0" w:after="0"/>
        <w:ind w:left="900" w:right="1112"/>
        <w:rPr>
          <w:i/>
          <w:color w:val="1F497D"/>
        </w:rPr>
      </w:pPr>
      <w:proofErr w:type="gramStart"/>
      <w:r w:rsidRPr="003B45D3">
        <w:rPr>
          <w:i/>
          <w:color w:val="1F497D"/>
        </w:rPr>
        <w:t>:98A</w:t>
      </w:r>
      <w:proofErr w:type="gramEnd"/>
      <w:r w:rsidRPr="003B45D3">
        <w:rPr>
          <w:i/>
          <w:color w:val="1F497D"/>
        </w:rPr>
        <w:t>::VALU//20181123</w:t>
      </w:r>
    </w:p>
    <w:p w:rsidR="00716C49" w:rsidRPr="003B45D3" w:rsidRDefault="00716C49" w:rsidP="003B45D3">
      <w:pPr>
        <w:spacing w:before="0" w:after="0"/>
        <w:ind w:left="900" w:right="1112"/>
        <w:rPr>
          <w:i/>
          <w:color w:val="1F497D"/>
        </w:rPr>
      </w:pPr>
      <w:proofErr w:type="gramStart"/>
      <w:r w:rsidRPr="003B45D3">
        <w:rPr>
          <w:i/>
          <w:color w:val="1F497D"/>
        </w:rPr>
        <w:t>:98A</w:t>
      </w:r>
      <w:proofErr w:type="gramEnd"/>
      <w:r w:rsidRPr="003B45D3">
        <w:rPr>
          <w:i/>
          <w:color w:val="1F497D"/>
        </w:rPr>
        <w:t>::PAYD//20181123</w:t>
      </w:r>
    </w:p>
    <w:p w:rsidR="00716C49" w:rsidRPr="003B45D3" w:rsidRDefault="00716C49" w:rsidP="003B45D3">
      <w:pPr>
        <w:spacing w:before="0" w:after="0"/>
        <w:ind w:left="900" w:right="1112"/>
        <w:rPr>
          <w:i/>
          <w:color w:val="1F497D"/>
        </w:rPr>
      </w:pPr>
      <w:proofErr w:type="gramStart"/>
      <w:r w:rsidRPr="003B45D3">
        <w:rPr>
          <w:i/>
          <w:color w:val="1F497D"/>
        </w:rPr>
        <w:t>:</w:t>
      </w:r>
      <w:r w:rsidRPr="003B45D3">
        <w:rPr>
          <w:i/>
          <w:color w:val="00B050"/>
        </w:rPr>
        <w:t>92F</w:t>
      </w:r>
      <w:proofErr w:type="gramEnd"/>
      <w:r w:rsidRPr="003B45D3">
        <w:rPr>
          <w:i/>
          <w:color w:val="00B050"/>
        </w:rPr>
        <w:t>::GRSS//KRWXXXX</w:t>
      </w:r>
      <w:r w:rsidRPr="003B45D3">
        <w:rPr>
          <w:i/>
          <w:color w:val="1F497D"/>
        </w:rPr>
        <w:t>,</w:t>
      </w:r>
    </w:p>
    <w:p w:rsidR="00716C49" w:rsidRPr="003B45D3" w:rsidRDefault="00716C49" w:rsidP="003B45D3">
      <w:pPr>
        <w:spacing w:before="0" w:after="0"/>
        <w:ind w:left="900" w:right="1112"/>
        <w:rPr>
          <w:i/>
          <w:color w:val="FF00FF"/>
        </w:rPr>
      </w:pPr>
      <w:proofErr w:type="gramStart"/>
      <w:r w:rsidRPr="003B45D3">
        <w:rPr>
          <w:i/>
          <w:color w:val="1F497D"/>
        </w:rPr>
        <w:t>:</w:t>
      </w:r>
      <w:r w:rsidRPr="003B45D3">
        <w:rPr>
          <w:i/>
          <w:color w:val="FF00FF"/>
        </w:rPr>
        <w:t>92B</w:t>
      </w:r>
      <w:proofErr w:type="gramEnd"/>
      <w:r w:rsidRPr="003B45D3">
        <w:rPr>
          <w:i/>
          <w:color w:val="FF00FF"/>
        </w:rPr>
        <w:t>::EXCH//KRW/GBP/XXXXXX</w:t>
      </w:r>
    </w:p>
    <w:p w:rsidR="00716C49" w:rsidRPr="003B45D3" w:rsidRDefault="00716C49" w:rsidP="003B45D3">
      <w:pPr>
        <w:spacing w:before="0" w:after="0"/>
        <w:ind w:left="900" w:right="1112"/>
        <w:rPr>
          <w:i/>
          <w:color w:val="1F497D"/>
        </w:rPr>
      </w:pPr>
      <w:proofErr w:type="gramStart"/>
      <w:r w:rsidRPr="003B45D3">
        <w:rPr>
          <w:i/>
          <w:color w:val="1F497D"/>
        </w:rPr>
        <w:t>:92A</w:t>
      </w:r>
      <w:proofErr w:type="gramEnd"/>
      <w:r w:rsidRPr="003B45D3">
        <w:rPr>
          <w:i/>
          <w:color w:val="1F497D"/>
        </w:rPr>
        <w:t>::TAXR//22,</w:t>
      </w:r>
    </w:p>
    <w:p w:rsidR="00716C49" w:rsidRPr="003B45D3" w:rsidRDefault="00716C49" w:rsidP="003B45D3">
      <w:pPr>
        <w:spacing w:before="0" w:after="0"/>
        <w:ind w:left="900" w:right="1112"/>
        <w:rPr>
          <w:i/>
          <w:color w:val="1F497D"/>
        </w:rPr>
      </w:pPr>
      <w:proofErr w:type="gramStart"/>
      <w:r w:rsidRPr="003B45D3">
        <w:rPr>
          <w:i/>
          <w:color w:val="1F497D"/>
        </w:rPr>
        <w:t>:16S:CASHMOVE</w:t>
      </w:r>
      <w:proofErr w:type="gramEnd"/>
    </w:p>
    <w:p w:rsidR="003B45D3" w:rsidRDefault="003B45D3" w:rsidP="003B45D3">
      <w:r>
        <w:lastRenderedPageBreak/>
        <w:t xml:space="preserve">The above example from Véronique </w:t>
      </w:r>
      <w:proofErr w:type="gramStart"/>
      <w:r>
        <w:t>is valid</w:t>
      </w:r>
      <w:r w:rsidR="00207E18">
        <w:t>at</w:t>
      </w:r>
      <w:r>
        <w:t xml:space="preserve">ed by the FR NMPG and </w:t>
      </w:r>
      <w:r w:rsidR="00A712AC">
        <w:t xml:space="preserve">agreed </w:t>
      </w:r>
      <w:r>
        <w:t>by all</w:t>
      </w:r>
      <w:proofErr w:type="gramEnd"/>
      <w:r>
        <w:t xml:space="preserve">. Nevertheless, we should also illustrate in the new MP the scenario involving an intermediary currency </w:t>
      </w:r>
      <w:r w:rsidR="00A46207">
        <w:t>i.e. 3 currencies in total</w:t>
      </w:r>
      <w:r>
        <w:t xml:space="preserve">. </w:t>
      </w:r>
    </w:p>
    <w:p w:rsidR="003B45D3" w:rsidRDefault="0014232C" w:rsidP="0014232C">
      <w:pPr>
        <w:pStyle w:val="Actions"/>
      </w:pPr>
      <w:r w:rsidRPr="00216683">
        <w:rPr>
          <w:b/>
          <w:u w:val="single"/>
        </w:rPr>
        <w:t>Action</w:t>
      </w:r>
      <w:r>
        <w:t xml:space="preserve">: </w:t>
      </w:r>
    </w:p>
    <w:p w:rsidR="003B45D3" w:rsidRDefault="003B45D3" w:rsidP="00AF0869">
      <w:pPr>
        <w:pStyle w:val="Actions"/>
        <w:numPr>
          <w:ilvl w:val="0"/>
          <w:numId w:val="17"/>
        </w:numPr>
      </w:pPr>
      <w:r>
        <w:rPr>
          <w:u w:val="single"/>
        </w:rPr>
        <w:t xml:space="preserve">Diego </w:t>
      </w:r>
      <w:r w:rsidRPr="003B45D3">
        <w:t>to illustrate the second scenario with 3 currencies involved</w:t>
      </w:r>
    </w:p>
    <w:p w:rsidR="003B45D3" w:rsidRPr="003B45D3" w:rsidRDefault="003B45D3" w:rsidP="00AF0869">
      <w:pPr>
        <w:pStyle w:val="Actions"/>
        <w:numPr>
          <w:ilvl w:val="0"/>
          <w:numId w:val="17"/>
        </w:numPr>
      </w:pPr>
      <w:r>
        <w:rPr>
          <w:u w:val="single"/>
        </w:rPr>
        <w:t xml:space="preserve">Christine </w:t>
      </w:r>
      <w:r w:rsidRPr="003B45D3">
        <w:t xml:space="preserve">to </w:t>
      </w:r>
      <w:r>
        <w:t xml:space="preserve">rewrite the whole MP as per the above. </w:t>
      </w:r>
    </w:p>
    <w:p w:rsidR="004B2613" w:rsidRDefault="00473631" w:rsidP="004B2613">
      <w:pPr>
        <w:pStyle w:val="Heading1"/>
      </w:pPr>
      <w:bookmarkStart w:id="18" w:name="_Toc39829673"/>
      <w:r>
        <w:t>CA444</w:t>
      </w:r>
      <w:r>
        <w:tab/>
      </w:r>
      <w:r w:rsidR="004B2613">
        <w:t>Usage of QINS as Requested Quantity</w:t>
      </w:r>
      <w:bookmarkEnd w:id="18"/>
    </w:p>
    <w:p w:rsidR="006D032F" w:rsidRDefault="006D032F" w:rsidP="008647D7">
      <w:pPr>
        <w:rPr>
          <w:b/>
          <w:color w:val="FF0000"/>
          <w:u w:val="single"/>
        </w:rPr>
      </w:pPr>
      <w:r>
        <w:t xml:space="preserve">The WG agrees to </w:t>
      </w:r>
      <w:r w:rsidR="00207E18">
        <w:t>add</w:t>
      </w:r>
      <w:r>
        <w:t xml:space="preserve"> new wording to section 5.5 to state that if the usage of QINS cannot be deduced from the event and option, then </w:t>
      </w:r>
      <w:r w:rsidR="00207E18">
        <w:t>it is</w:t>
      </w:r>
      <w:r>
        <w:t xml:space="preserve"> recom</w:t>
      </w:r>
      <w:r w:rsidR="00207E18">
        <w:t>mended that the usage of QINS be</w:t>
      </w:r>
      <w:r>
        <w:t xml:space="preserve"> specified in the announcement. </w:t>
      </w:r>
    </w:p>
    <w:p w:rsidR="001656E5" w:rsidRPr="008B0F87" w:rsidRDefault="008B0F87" w:rsidP="008647D7">
      <w:pPr>
        <w:rPr>
          <w:color w:val="FF0000"/>
        </w:rPr>
      </w:pPr>
      <w:r w:rsidRPr="008B0F87">
        <w:rPr>
          <w:b/>
          <w:color w:val="FF0000"/>
          <w:u w:val="single"/>
        </w:rPr>
        <w:t>Action</w:t>
      </w:r>
      <w:r w:rsidRPr="008B0F87">
        <w:rPr>
          <w:color w:val="FF0000"/>
        </w:rPr>
        <w:t>:</w:t>
      </w:r>
      <w:r w:rsidR="006D032F">
        <w:rPr>
          <w:color w:val="FF0000"/>
        </w:rPr>
        <w:t xml:space="preserve"> </w:t>
      </w:r>
      <w:r w:rsidR="006D032F" w:rsidRPr="006D032F">
        <w:rPr>
          <w:u w:val="single"/>
        </w:rPr>
        <w:t>Mari, Jean-Pierre and Christine</w:t>
      </w:r>
      <w:r w:rsidR="00A46207">
        <w:t xml:space="preserve"> </w:t>
      </w:r>
      <w:r w:rsidR="006D032F">
        <w:t>to draft an extra text to 5.5, for a recommendation to include narrative when it is not clear on what QINS will mean.</w:t>
      </w:r>
    </w:p>
    <w:p w:rsidR="004B2613" w:rsidRDefault="004B2613" w:rsidP="004B2613">
      <w:pPr>
        <w:pStyle w:val="Heading1"/>
      </w:pPr>
      <w:bookmarkStart w:id="19" w:name="_Toc39829674"/>
      <w:r>
        <w:t>CA448</w:t>
      </w:r>
      <w:r w:rsidR="00473631">
        <w:tab/>
      </w:r>
      <w:r>
        <w:t xml:space="preserve">Have repeatable WEBB URL </w:t>
      </w:r>
      <w:r w:rsidR="006C2124">
        <w:t>addresses in MT564 and add URL A</w:t>
      </w:r>
      <w:r>
        <w:t xml:space="preserve">ssociated to all </w:t>
      </w:r>
      <w:r w:rsidR="006C2124">
        <w:t>N</w:t>
      </w:r>
      <w:r>
        <w:t>arratives (SR2020 - CR1529 from HK)</w:t>
      </w:r>
      <w:bookmarkEnd w:id="19"/>
    </w:p>
    <w:p w:rsidR="00965854" w:rsidRDefault="00965854" w:rsidP="00965854">
      <w:pPr>
        <w:autoSpaceDE w:val="0"/>
        <w:autoSpaceDN w:val="0"/>
        <w:adjustRightInd w:val="0"/>
        <w:rPr>
          <w:rFonts w:asciiTheme="minorHAnsi" w:hAnsiTheme="minorHAnsi" w:cstheme="minorBidi"/>
          <w:lang w:val="en-GB" w:eastAsia="zh-CN"/>
        </w:rPr>
      </w:pPr>
      <w:r>
        <w:t xml:space="preserve">Most of the NMPGs do not see a valid business case for the HK request, however Jacques pointed out that we may need to look at a similar solution for </w:t>
      </w:r>
      <w:r w:rsidR="002644E5">
        <w:t xml:space="preserve">the support of </w:t>
      </w:r>
      <w:r>
        <w:t xml:space="preserve">multilingual narratives </w:t>
      </w:r>
      <w:r w:rsidR="002644E5">
        <w:t xml:space="preserve">in the </w:t>
      </w:r>
      <w:r>
        <w:t>SRD II</w:t>
      </w:r>
      <w:r w:rsidR="002644E5">
        <w:t xml:space="preserve"> context</w:t>
      </w:r>
      <w:r>
        <w:t>.</w:t>
      </w:r>
    </w:p>
    <w:p w:rsidR="00965854" w:rsidRDefault="00965854" w:rsidP="002644E5">
      <w:pPr>
        <w:pStyle w:val="Decisions"/>
      </w:pPr>
      <w:r w:rsidRPr="002644E5">
        <w:rPr>
          <w:b/>
          <w:u w:val="single"/>
        </w:rPr>
        <w:t>Decision</w:t>
      </w:r>
      <w:r>
        <w:rPr>
          <w:b/>
        </w:rPr>
        <w:t>:</w:t>
      </w:r>
      <w:r>
        <w:t xml:space="preserve"> Close the item, since the SMPG does not see a business case for the </w:t>
      </w:r>
      <w:r w:rsidR="002644E5">
        <w:t xml:space="preserve">HK </w:t>
      </w:r>
      <w:r w:rsidR="00207E18">
        <w:t>request;</w:t>
      </w:r>
      <w:r w:rsidR="002644E5">
        <w:t xml:space="preserve"> however, o</w:t>
      </w:r>
      <w:r>
        <w:t xml:space="preserve">pen a new item, </w:t>
      </w:r>
      <w:r w:rsidR="007736C4">
        <w:t xml:space="preserve">to </w:t>
      </w:r>
      <w:r w:rsidR="00A46207">
        <w:t>look at possibly enabling</w:t>
      </w:r>
      <w:r w:rsidR="007736C4">
        <w:t xml:space="preserve"> </w:t>
      </w:r>
      <w:r w:rsidR="00A46207">
        <w:t xml:space="preserve">repetitive </w:t>
      </w:r>
      <w:r>
        <w:t>narrative</w:t>
      </w:r>
      <w:r w:rsidR="007736C4">
        <w:t>s</w:t>
      </w:r>
      <w:r>
        <w:t xml:space="preserve"> and </w:t>
      </w:r>
      <w:r w:rsidR="00A46207">
        <w:t>repetitive URLs for</w:t>
      </w:r>
      <w:r>
        <w:t xml:space="preserve"> different languages.</w:t>
      </w:r>
    </w:p>
    <w:p w:rsidR="00EA4F81" w:rsidRPr="005A44BF" w:rsidRDefault="00EA4F81" w:rsidP="00EA4F81">
      <w:pPr>
        <w:pStyle w:val="Actions"/>
      </w:pPr>
      <w:r w:rsidRPr="00216683">
        <w:rPr>
          <w:b/>
          <w:u w:val="single"/>
        </w:rPr>
        <w:t>Action</w:t>
      </w:r>
      <w:r>
        <w:t xml:space="preserve">: </w:t>
      </w:r>
      <w:r w:rsidR="002644E5">
        <w:rPr>
          <w:u w:val="single"/>
        </w:rPr>
        <w:t>Jacques</w:t>
      </w:r>
      <w:r w:rsidR="002644E5" w:rsidRPr="00746B93">
        <w:t xml:space="preserve"> to </w:t>
      </w:r>
      <w:r w:rsidR="0036567D">
        <w:t xml:space="preserve">close and </w:t>
      </w:r>
      <w:r w:rsidR="002644E5" w:rsidRPr="00746B93">
        <w:t>create a new open item.</w:t>
      </w:r>
    </w:p>
    <w:p w:rsidR="004B2613" w:rsidRDefault="004B2613" w:rsidP="004B2613">
      <w:pPr>
        <w:pStyle w:val="Heading1"/>
      </w:pPr>
      <w:bookmarkStart w:id="20" w:name="_Toc39829675"/>
      <w:r>
        <w:t>CA450</w:t>
      </w:r>
      <w:r w:rsidR="0031056F">
        <w:tab/>
      </w:r>
      <w:r>
        <w:t>Usage of TBSP and UNSP for DTCH events (SR2020 - CR1533)</w:t>
      </w:r>
      <w:bookmarkEnd w:id="20"/>
    </w:p>
    <w:p w:rsidR="0047727E" w:rsidRDefault="0047727E" w:rsidP="0047727E">
      <w:pPr>
        <w:spacing w:after="0"/>
      </w:pPr>
      <w:r>
        <w:t xml:space="preserve">The WG compared the rejected CR from LU (CR001533) with the US MP. </w:t>
      </w:r>
    </w:p>
    <w:p w:rsidR="0047727E" w:rsidRDefault="0047727E" w:rsidP="0047727E">
      <w:pPr>
        <w:spacing w:after="0"/>
        <w:rPr>
          <w:rFonts w:asciiTheme="minorHAnsi" w:hAnsiTheme="minorHAnsi" w:cstheme="minorBidi"/>
          <w:lang w:val="en-GB" w:eastAsia="zh-CN"/>
        </w:rPr>
      </w:pPr>
      <w:r>
        <w:t>The WG suggested that LU has a dedicated so-called “competitive option” with an early consent / premium deadline.</w:t>
      </w:r>
    </w:p>
    <w:p w:rsidR="00EA4F81" w:rsidRDefault="00EA4F81" w:rsidP="00EA4F81">
      <w:pPr>
        <w:pStyle w:val="Actions"/>
      </w:pPr>
      <w:proofErr w:type="gramStart"/>
      <w:r w:rsidRPr="003E315F">
        <w:rPr>
          <w:b/>
          <w:u w:val="single"/>
        </w:rPr>
        <w:t>Action</w:t>
      </w:r>
      <w:r>
        <w:t xml:space="preserve">: </w:t>
      </w:r>
      <w:r w:rsidR="0047727E" w:rsidRPr="0047727E">
        <w:rPr>
          <w:u w:val="single"/>
        </w:rPr>
        <w:t>Catarina</w:t>
      </w:r>
      <w:r w:rsidR="0047727E">
        <w:t xml:space="preserve"> to draft an example based on the proposal, and send it for review and discussion by the April call.</w:t>
      </w:r>
      <w:proofErr w:type="gramEnd"/>
    </w:p>
    <w:p w:rsidR="006A7B25" w:rsidRDefault="00074D9A" w:rsidP="006A7B25">
      <w:pPr>
        <w:pStyle w:val="Heading1"/>
      </w:pPr>
      <w:bookmarkStart w:id="21" w:name="_Toc39829676"/>
      <w:r>
        <w:t>CA451</w:t>
      </w:r>
      <w:r>
        <w:tab/>
      </w:r>
      <w:r w:rsidR="006A7B25" w:rsidRPr="006A7B25">
        <w:t>Create CR for MITI in Confirmation (SR2020 - CR1517)</w:t>
      </w:r>
      <w:bookmarkEnd w:id="21"/>
    </w:p>
    <w:p w:rsidR="001638BD" w:rsidRDefault="006A7B25" w:rsidP="006A7B25">
      <w:r>
        <w:t>DE proposal to be circulated for discussion</w:t>
      </w:r>
      <w:r w:rsidR="001638BD">
        <w:t>:</w:t>
      </w:r>
    </w:p>
    <w:bookmarkStart w:id="22" w:name="_MON_1642862130"/>
    <w:bookmarkEnd w:id="22"/>
    <w:p w:rsidR="001638BD" w:rsidRDefault="001638BD" w:rsidP="006A7B25">
      <w:r>
        <w:object w:dxaOrig="1539" w:dyaOrig="997">
          <v:shape id="_x0000_i1029" type="#_x0000_t75" style="width:77.25pt;height:49.5pt" o:ole="">
            <v:imagedata r:id="rId23" o:title=""/>
          </v:shape>
          <o:OLEObject Type="Embed" ProgID="Word.Document.12" ShapeID="_x0000_i1029" DrawAspect="Icon" ObjectID="_1650442443" r:id="rId24">
            <o:FieldCodes>\s</o:FieldCodes>
          </o:OLEObject>
        </w:object>
      </w:r>
    </w:p>
    <w:p w:rsidR="007242BC" w:rsidRDefault="007242BC" w:rsidP="007242BC">
      <w:pPr>
        <w:spacing w:after="0"/>
        <w:rPr>
          <w:rFonts w:asciiTheme="minorHAnsi" w:hAnsiTheme="minorHAnsi" w:cstheme="minorBidi"/>
          <w:lang w:val="en-GB" w:eastAsia="zh-CN"/>
        </w:rPr>
      </w:pPr>
      <w:r>
        <w:t xml:space="preserve">Everyone agreed on the purpose to recommend use of MITI in all cases where it is needed for reconciliation, but the text is focused more on a T2S description. </w:t>
      </w:r>
      <w:r w:rsidR="007736C4">
        <w:t xml:space="preserve">It is agreed to remove the focus on T2S.  The </w:t>
      </w:r>
      <w:r>
        <w:t xml:space="preserve">resulting text </w:t>
      </w:r>
      <w:r w:rsidR="007736C4">
        <w:t xml:space="preserve">should rather </w:t>
      </w:r>
      <w:r>
        <w:t>focus</w:t>
      </w:r>
      <w:r w:rsidR="007736C4">
        <w:t xml:space="preserve"> </w:t>
      </w:r>
      <w:r>
        <w:t>on CSD participants/DCA holders receiving MITI from their account servicers.</w:t>
      </w:r>
    </w:p>
    <w:p w:rsidR="001638BD" w:rsidRPr="006A7B25" w:rsidRDefault="001638BD" w:rsidP="001638BD">
      <w:pPr>
        <w:pStyle w:val="Actions"/>
      </w:pPr>
      <w:r w:rsidRPr="001638BD">
        <w:rPr>
          <w:b/>
          <w:u w:val="single"/>
        </w:rPr>
        <w:t>Action</w:t>
      </w:r>
      <w:r>
        <w:t xml:space="preserve">: </w:t>
      </w:r>
      <w:r w:rsidR="007242BC" w:rsidRPr="007242BC">
        <w:rPr>
          <w:u w:val="single"/>
        </w:rPr>
        <w:t>Daniel</w:t>
      </w:r>
      <w:r w:rsidR="007242BC">
        <w:t xml:space="preserve"> to create a revised draft, based on the above discussion and to be reviewed at next call.</w:t>
      </w:r>
    </w:p>
    <w:p w:rsidR="004B2613" w:rsidRDefault="004B2613" w:rsidP="004B2613">
      <w:pPr>
        <w:pStyle w:val="Heading1"/>
      </w:pPr>
      <w:bookmarkStart w:id="23" w:name="_Toc39829677"/>
      <w:r>
        <w:lastRenderedPageBreak/>
        <w:t>CA45</w:t>
      </w:r>
      <w:r w:rsidR="00473631">
        <w:t>3</w:t>
      </w:r>
      <w:r w:rsidR="0031056F">
        <w:tab/>
      </w:r>
      <w:r w:rsidR="00473631">
        <w:t xml:space="preserve">Key </w:t>
      </w:r>
      <w:r w:rsidR="0031056F">
        <w:t>D</w:t>
      </w:r>
      <w:r w:rsidR="00473631">
        <w:t xml:space="preserve">ata for TEND with </w:t>
      </w:r>
      <w:r w:rsidR="0031056F">
        <w:t>E</w:t>
      </w:r>
      <w:r w:rsidR="00473631">
        <w:t>arly Tender Premium</w:t>
      </w:r>
      <w:bookmarkEnd w:id="23"/>
    </w:p>
    <w:p w:rsidR="003C492D" w:rsidRPr="003C492D" w:rsidRDefault="00315711" w:rsidP="003C492D">
      <w:r>
        <w:t>Laura has not received anything from Steve. She has seen some examples, but would really like to see what DTCC sends.</w:t>
      </w:r>
    </w:p>
    <w:p w:rsidR="0031056F" w:rsidRDefault="0031056F" w:rsidP="0031056F">
      <w:r>
        <w:object w:dxaOrig="1531" w:dyaOrig="990">
          <v:shape id="_x0000_i1030" type="#_x0000_t75" style="width:76.5pt;height:49.5pt" o:ole="">
            <v:imagedata r:id="rId25" o:title=""/>
          </v:shape>
          <o:OLEObject Type="Embed" ProgID="Excel.Sheet.12" ShapeID="_x0000_i1030" DrawAspect="Icon" ObjectID="_1650442444" r:id="rId26"/>
        </w:object>
      </w:r>
    </w:p>
    <w:p w:rsidR="0031056F" w:rsidRPr="0031056F" w:rsidRDefault="00B80C77" w:rsidP="00B80C77">
      <w:pPr>
        <w:pStyle w:val="Actions"/>
      </w:pPr>
      <w:r w:rsidRPr="00B80C77">
        <w:rPr>
          <w:b/>
          <w:u w:val="single"/>
        </w:rPr>
        <w:t>Action</w:t>
      </w:r>
      <w:r>
        <w:t xml:space="preserve">: </w:t>
      </w:r>
      <w:r w:rsidR="0031056F" w:rsidRPr="00B80C77">
        <w:rPr>
          <w:u w:val="single"/>
          <w:lang w:val="en-US"/>
        </w:rPr>
        <w:t>Pau</w:t>
      </w:r>
      <w:r w:rsidR="0000445D">
        <w:rPr>
          <w:u w:val="single"/>
          <w:lang w:val="en-US"/>
        </w:rPr>
        <w:t>/Steve</w:t>
      </w:r>
      <w:r w:rsidR="0031056F" w:rsidRPr="00B80C77">
        <w:rPr>
          <w:u w:val="single"/>
          <w:lang w:val="en-US"/>
        </w:rPr>
        <w:t xml:space="preserve"> </w:t>
      </w:r>
      <w:r w:rsidR="00D142D7" w:rsidRPr="00D142D7">
        <w:rPr>
          <w:lang w:val="en-US"/>
        </w:rPr>
        <w:t xml:space="preserve">to </w:t>
      </w:r>
      <w:r w:rsidR="0000445D">
        <w:rPr>
          <w:lang w:val="en-US"/>
        </w:rPr>
        <w:t>f</w:t>
      </w:r>
      <w:r w:rsidR="0031056F">
        <w:rPr>
          <w:lang w:val="en-US"/>
        </w:rPr>
        <w:t>ind</w:t>
      </w:r>
      <w:r>
        <w:t xml:space="preserve"> out about what DTCC is sending for this type of event.</w:t>
      </w:r>
    </w:p>
    <w:p w:rsidR="003E27A6" w:rsidRDefault="00074D9A" w:rsidP="00480034">
      <w:pPr>
        <w:pStyle w:val="Heading1"/>
      </w:pPr>
      <w:bookmarkStart w:id="24" w:name="_Toc39829678"/>
      <w:bookmarkEnd w:id="5"/>
      <w:bookmarkEnd w:id="6"/>
      <w:r>
        <w:t>CA454</w:t>
      </w:r>
      <w:r>
        <w:tab/>
      </w:r>
      <w:r w:rsidR="003E27A6">
        <w:t>SR2020 MP Updates</w:t>
      </w:r>
      <w:bookmarkEnd w:id="24"/>
    </w:p>
    <w:p w:rsidR="00E22420" w:rsidRDefault="00E22420" w:rsidP="00E22420">
      <w:pPr>
        <w:spacing w:after="0"/>
      </w:pPr>
      <w:r>
        <w:t>All MP documents for SR2020 have been published as “draft” on the SMPG website.</w:t>
      </w:r>
    </w:p>
    <w:p w:rsidR="00E22420" w:rsidRPr="00E22420" w:rsidRDefault="00E22420" w:rsidP="00E22420">
      <w:pPr>
        <w:pStyle w:val="Actions"/>
        <w:rPr>
          <w:rFonts w:asciiTheme="minorHAnsi" w:hAnsiTheme="minorHAnsi" w:cstheme="minorBidi"/>
          <w:lang w:eastAsia="zh-CN"/>
        </w:rPr>
      </w:pPr>
      <w:r w:rsidRPr="00E22420">
        <w:rPr>
          <w:u w:val="single"/>
        </w:rPr>
        <w:t>Action</w:t>
      </w:r>
      <w:r>
        <w:t xml:space="preserve">: </w:t>
      </w:r>
      <w:r w:rsidR="00734B94" w:rsidRPr="00E22420">
        <w:rPr>
          <w:u w:val="single"/>
        </w:rPr>
        <w:t>Jacques</w:t>
      </w:r>
      <w:r w:rsidR="00734B94">
        <w:t xml:space="preserve"> to publish</w:t>
      </w:r>
      <w:r>
        <w:t xml:space="preserve"> as “Final” </w:t>
      </w:r>
      <w:r w:rsidR="00734B94">
        <w:t>an</w:t>
      </w:r>
      <w:r w:rsidR="00CA454B">
        <w:t xml:space="preserve">d </w:t>
      </w:r>
      <w:r w:rsidR="00734B94">
        <w:t>close item.</w:t>
      </w:r>
    </w:p>
    <w:p w:rsidR="005C2947" w:rsidRDefault="00074D9A" w:rsidP="00480034">
      <w:pPr>
        <w:pStyle w:val="Heading1"/>
      </w:pPr>
      <w:bookmarkStart w:id="25" w:name="_Toc39829679"/>
      <w:r>
        <w:t>CA457</w:t>
      </w:r>
      <w:r>
        <w:tab/>
      </w:r>
      <w:r w:rsidR="005C2947">
        <w:t>GMP1 Section 8.17 on Usage of DateTime with Format Option E (UTC)</w:t>
      </w:r>
      <w:bookmarkEnd w:id="25"/>
    </w:p>
    <w:p w:rsidR="005B34F1" w:rsidRDefault="00C955D0" w:rsidP="00C955D0">
      <w:pPr>
        <w:spacing w:after="0"/>
      </w:pPr>
      <w:r>
        <w:t>Section 8.17 in GMP1 recommend the usage of UTC time with Offset for 5 deadlines whilst the SRDII IR recommend the usage of UTC (Zulu) time only (without offset) for</w:t>
      </w:r>
      <w:r w:rsidR="005B34F1">
        <w:t xml:space="preserve"> all dates and t</w:t>
      </w:r>
      <w:r>
        <w:t xml:space="preserve">ime </w:t>
      </w:r>
      <w:r w:rsidR="005B34F1">
        <w:t xml:space="preserve">elements (and deadlines). </w:t>
      </w:r>
    </w:p>
    <w:p w:rsidR="00C955D0" w:rsidRDefault="005B34F1" w:rsidP="00C955D0">
      <w:pPr>
        <w:spacing w:after="0"/>
      </w:pPr>
      <w:r>
        <w:t xml:space="preserve">Mari proposes that section 8.17 </w:t>
      </w:r>
      <w:proofErr w:type="gramStart"/>
      <w:r>
        <w:t xml:space="preserve">be reviewed </w:t>
      </w:r>
      <w:r w:rsidR="00207E18">
        <w:t>to</w:t>
      </w:r>
      <w:r>
        <w:t xml:space="preserve"> be fully aligned</w:t>
      </w:r>
      <w:proofErr w:type="gramEnd"/>
      <w:r>
        <w:t xml:space="preserve"> with the SRDII IR</w:t>
      </w:r>
      <w:r w:rsidR="00AE6468">
        <w:t xml:space="preserve"> and therefore recommend</w:t>
      </w:r>
      <w:r w:rsidR="00207E18">
        <w:t>s</w:t>
      </w:r>
      <w:r w:rsidR="00AE6468">
        <w:t xml:space="preserve"> the usage of UTC Zulu time for all deadlines. T</w:t>
      </w:r>
      <w:r w:rsidR="00C955D0">
        <w:t xml:space="preserve">his </w:t>
      </w:r>
      <w:r w:rsidR="00AE6468">
        <w:t>would also be t</w:t>
      </w:r>
      <w:r w:rsidR="00C955D0">
        <w:t>he proposal for a</w:t>
      </w:r>
      <w:r w:rsidR="00AE6468">
        <w:t>ll types of events under SRD II</w:t>
      </w:r>
      <w:r w:rsidR="00C955D0">
        <w:t>.</w:t>
      </w:r>
    </w:p>
    <w:p w:rsidR="00C955D0" w:rsidRDefault="00AE6468" w:rsidP="00C955D0">
      <w:pPr>
        <w:spacing w:after="0"/>
      </w:pPr>
      <w:r>
        <w:t>T</w:t>
      </w:r>
      <w:r w:rsidR="00C955D0">
        <w:t xml:space="preserve">he Danish CSD </w:t>
      </w:r>
      <w:r>
        <w:t xml:space="preserve">confirms that they </w:t>
      </w:r>
      <w:r w:rsidR="00C955D0">
        <w:t>will use UTC Zulu</w:t>
      </w:r>
      <w:r>
        <w:t xml:space="preserve"> time</w:t>
      </w:r>
      <w:r w:rsidR="00A3692D">
        <w:t xml:space="preserve"> for all dates and time</w:t>
      </w:r>
      <w:r w:rsidR="00C955D0">
        <w:t>.</w:t>
      </w:r>
    </w:p>
    <w:p w:rsidR="0004014F" w:rsidRPr="0004014F" w:rsidRDefault="0004014F" w:rsidP="008D040C">
      <w:pPr>
        <w:ind w:left="630" w:right="662"/>
        <w:rPr>
          <w:b/>
          <w:i/>
          <w:color w:val="00B0F0"/>
          <w:u w:val="single"/>
          <w:lang w:val="en-GB"/>
        </w:rPr>
      </w:pPr>
      <w:r w:rsidRPr="0004014F">
        <w:rPr>
          <w:b/>
          <w:i/>
          <w:color w:val="00B0F0"/>
          <w:u w:val="single"/>
          <w:lang w:val="en-GB"/>
        </w:rPr>
        <w:t xml:space="preserve">Post meeting </w:t>
      </w:r>
      <w:r w:rsidR="008D040C">
        <w:rPr>
          <w:b/>
          <w:i/>
          <w:color w:val="00B0F0"/>
          <w:u w:val="single"/>
          <w:lang w:val="en-GB"/>
        </w:rPr>
        <w:t>MP proposal</w:t>
      </w:r>
    </w:p>
    <w:p w:rsidR="0004014F" w:rsidRPr="0004014F" w:rsidRDefault="0004014F" w:rsidP="008D040C">
      <w:pPr>
        <w:ind w:left="630" w:right="662"/>
        <w:rPr>
          <w:i/>
          <w:color w:val="00B0F0"/>
          <w:lang w:val="en-GB"/>
        </w:rPr>
      </w:pPr>
      <w:r w:rsidRPr="0004014F">
        <w:rPr>
          <w:i/>
          <w:color w:val="00B0F0"/>
          <w:lang w:val="en-GB"/>
        </w:rPr>
        <w:t xml:space="preserve">The following </w:t>
      </w:r>
      <w:r>
        <w:rPr>
          <w:i/>
          <w:color w:val="00B0F0"/>
          <w:lang w:val="en-GB"/>
        </w:rPr>
        <w:t xml:space="preserve">draft </w:t>
      </w:r>
      <w:r w:rsidRPr="0004014F">
        <w:rPr>
          <w:i/>
          <w:color w:val="00B0F0"/>
          <w:lang w:val="en-GB"/>
        </w:rPr>
        <w:t xml:space="preserve">market practice </w:t>
      </w:r>
      <w:proofErr w:type="gramStart"/>
      <w:r w:rsidRPr="0004014F">
        <w:rPr>
          <w:i/>
          <w:color w:val="00B0F0"/>
          <w:lang w:val="en-GB"/>
        </w:rPr>
        <w:t>is proposed</w:t>
      </w:r>
      <w:proofErr w:type="gramEnd"/>
      <w:r w:rsidR="002A38BC">
        <w:rPr>
          <w:i/>
          <w:color w:val="00B0F0"/>
          <w:lang w:val="en-GB"/>
        </w:rPr>
        <w:t xml:space="preserve"> for section 8.17</w:t>
      </w:r>
      <w:r>
        <w:rPr>
          <w:i/>
          <w:color w:val="00B0F0"/>
          <w:lang w:val="en-GB"/>
        </w:rPr>
        <w:t>:</w:t>
      </w:r>
    </w:p>
    <w:p w:rsidR="0004014F" w:rsidRPr="0004014F" w:rsidRDefault="0004014F" w:rsidP="008D040C">
      <w:pPr>
        <w:ind w:left="630" w:right="662"/>
        <w:rPr>
          <w:rFonts w:ascii="Times New Roman" w:hAnsi="Times New Roman" w:cs="Times New Roman"/>
          <w:b/>
          <w:i/>
          <w:color w:val="00B0F0"/>
          <w:u w:val="single"/>
          <w:lang w:val="en-GB"/>
        </w:rPr>
      </w:pPr>
      <w:r w:rsidRPr="0004014F">
        <w:rPr>
          <w:b/>
          <w:i/>
          <w:color w:val="00B0F0"/>
          <w:u w:val="single"/>
          <w:lang w:val="en-GB"/>
        </w:rPr>
        <w:t>Usage of Date and Time (UTC Time) for Deadlines</w:t>
      </w:r>
    </w:p>
    <w:p w:rsidR="0004014F" w:rsidRPr="0004014F" w:rsidRDefault="0004014F" w:rsidP="008D040C">
      <w:pPr>
        <w:ind w:left="630" w:right="662"/>
        <w:rPr>
          <w:i/>
          <w:color w:val="00B0F0"/>
          <w:lang w:val="en-GB"/>
        </w:rPr>
      </w:pPr>
      <w:r w:rsidRPr="0004014F">
        <w:rPr>
          <w:i/>
          <w:color w:val="00B0F0"/>
          <w:lang w:val="en-GB"/>
        </w:rPr>
        <w:t xml:space="preserve">All deadlines </w:t>
      </w:r>
      <w:proofErr w:type="gramStart"/>
      <w:r w:rsidRPr="0004014F">
        <w:rPr>
          <w:i/>
          <w:color w:val="00B0F0"/>
          <w:lang w:val="en-GB"/>
        </w:rPr>
        <w:t>should be expressed</w:t>
      </w:r>
      <w:proofErr w:type="gramEnd"/>
      <w:r w:rsidRPr="0004014F">
        <w:rPr>
          <w:i/>
          <w:color w:val="00B0F0"/>
          <w:lang w:val="en-GB"/>
        </w:rPr>
        <w:t xml:space="preserve"> in coordinated universal time (UTC) format.</w:t>
      </w:r>
    </w:p>
    <w:p w:rsidR="0004014F" w:rsidRPr="0004014F" w:rsidRDefault="002A38BC" w:rsidP="008D040C">
      <w:pPr>
        <w:ind w:left="630" w:right="662"/>
        <w:rPr>
          <w:b/>
          <w:i/>
          <w:color w:val="00B0F0"/>
          <w:lang w:val="en-GB"/>
        </w:rPr>
      </w:pPr>
      <w:r>
        <w:rPr>
          <w:i/>
          <w:color w:val="00B0F0"/>
          <w:lang w:val="en-GB"/>
        </w:rPr>
        <w:t>In</w:t>
      </w:r>
      <w:r w:rsidR="0004014F" w:rsidRPr="0004014F">
        <w:rPr>
          <w:i/>
          <w:color w:val="00B0F0"/>
          <w:lang w:val="en-GB"/>
        </w:rPr>
        <w:t xml:space="preserve"> ISO 20022, the “</w:t>
      </w:r>
      <w:proofErr w:type="spellStart"/>
      <w:r w:rsidR="0004014F" w:rsidRPr="0004014F">
        <w:rPr>
          <w:i/>
          <w:color w:val="00B0F0"/>
          <w:lang w:val="en-GB"/>
        </w:rPr>
        <w:t>ISODateTime</w:t>
      </w:r>
      <w:proofErr w:type="spellEnd"/>
      <w:r w:rsidR="0004014F" w:rsidRPr="0004014F">
        <w:rPr>
          <w:i/>
          <w:color w:val="00B0F0"/>
          <w:lang w:val="en-GB"/>
        </w:rPr>
        <w:t xml:space="preserve">” data type should be used with the UTC time (i.e. Zulu Time ≡ zero UTC offset) as follows: </w:t>
      </w:r>
      <w:proofErr w:type="spellStart"/>
      <w:r w:rsidR="0004014F" w:rsidRPr="0004014F">
        <w:rPr>
          <w:b/>
          <w:i/>
          <w:color w:val="00B0F0"/>
          <w:lang w:val="en-GB"/>
        </w:rPr>
        <w:t>YYYY-MM-DDThh</w:t>
      </w:r>
      <w:proofErr w:type="gramStart"/>
      <w:r w:rsidR="0004014F" w:rsidRPr="0004014F">
        <w:rPr>
          <w:b/>
          <w:i/>
          <w:color w:val="00B0F0"/>
          <w:lang w:val="en-GB"/>
        </w:rPr>
        <w:t>:mm:ss.sssZ</w:t>
      </w:r>
      <w:proofErr w:type="spellEnd"/>
      <w:proofErr w:type="gramEnd"/>
      <w:r w:rsidR="0004014F" w:rsidRPr="0004014F">
        <w:rPr>
          <w:b/>
          <w:i/>
          <w:color w:val="00B0F0"/>
          <w:lang w:val="en-GB"/>
        </w:rPr>
        <w:t xml:space="preserve"> </w:t>
      </w:r>
    </w:p>
    <w:p w:rsidR="002A38BC" w:rsidRPr="00E66612" w:rsidRDefault="002A38BC" w:rsidP="008D040C">
      <w:pPr>
        <w:ind w:left="630" w:right="662"/>
        <w:rPr>
          <w:rFonts w:cs="Times New Roman"/>
          <w:i/>
          <w:color w:val="00B0F0"/>
          <w:lang w:val="en-GB"/>
        </w:rPr>
      </w:pPr>
      <w:r w:rsidRPr="00E66612">
        <w:rPr>
          <w:i/>
          <w:color w:val="00B0F0"/>
          <w:lang w:val="en-GB"/>
        </w:rPr>
        <w:t>In</w:t>
      </w:r>
      <w:r w:rsidR="0004014F" w:rsidRPr="00E66612">
        <w:rPr>
          <w:i/>
          <w:color w:val="00B0F0"/>
          <w:lang w:val="en-GB"/>
        </w:rPr>
        <w:t xml:space="preserve"> ISO 15022, </w:t>
      </w:r>
      <w:r w:rsidRPr="00E66612">
        <w:rPr>
          <w:i/>
          <w:color w:val="00B0F0"/>
          <w:lang w:val="en-GB"/>
        </w:rPr>
        <w:t>a Format Option :98E: has been created in the Standards for the Date/Time fields in sequences D, E, E1 and E2 of the MT564 and C, D, D1, D2 of the MT 566 with the following syntax:</w:t>
      </w:r>
    </w:p>
    <w:p w:rsidR="002A38BC" w:rsidRPr="00E66612" w:rsidRDefault="002A38BC" w:rsidP="008D040C">
      <w:pPr>
        <w:ind w:left="630" w:right="662"/>
        <w:rPr>
          <w:rStyle w:val="HTMLTypewriter"/>
          <w:rFonts w:cs="Arial"/>
          <w:i/>
          <w:color w:val="00B0F0"/>
          <w:sz w:val="18"/>
          <w:szCs w:val="18"/>
        </w:rPr>
      </w:pPr>
      <w:r w:rsidRPr="00E66612">
        <w:rPr>
          <w:rStyle w:val="HTMLTypewriter"/>
          <w:i/>
          <w:color w:val="00B0F0"/>
          <w:sz w:val="18"/>
          <w:szCs w:val="18"/>
        </w:rPr>
        <w:t>Field :98a: Date/Time   Option E :4!c//8!n6!n[,3n][/[N]2!n[2!n]]   (Qualifier)(Date)(Time)(Decimals)(UTC Indicator)</w:t>
      </w:r>
    </w:p>
    <w:p w:rsidR="0004014F" w:rsidRPr="0004014F" w:rsidRDefault="002A38BC" w:rsidP="008D040C">
      <w:pPr>
        <w:ind w:left="630" w:right="662"/>
        <w:rPr>
          <w:i/>
          <w:color w:val="00B0F0"/>
          <w:lang w:val="en-GB"/>
        </w:rPr>
      </w:pPr>
      <w:r>
        <w:rPr>
          <w:i/>
          <w:color w:val="00B0F0"/>
          <w:lang w:val="en-GB"/>
        </w:rPr>
        <w:t>For deadlines, F</w:t>
      </w:r>
      <w:r w:rsidR="0004014F" w:rsidRPr="0004014F">
        <w:rPr>
          <w:i/>
          <w:color w:val="00B0F0"/>
          <w:lang w:val="en-GB"/>
        </w:rPr>
        <w:t xml:space="preserve">ield 98a: Date/Time with format Option E </w:t>
      </w:r>
      <w:proofErr w:type="gramStart"/>
      <w:r w:rsidR="0004014F" w:rsidRPr="0004014F">
        <w:rPr>
          <w:i/>
          <w:color w:val="00B0F0"/>
          <w:lang w:val="en-GB"/>
        </w:rPr>
        <w:t>should be used</w:t>
      </w:r>
      <w:proofErr w:type="gramEnd"/>
      <w:r w:rsidR="0004014F" w:rsidRPr="0004014F">
        <w:rPr>
          <w:i/>
          <w:color w:val="00B0F0"/>
          <w:lang w:val="en-GB"/>
        </w:rPr>
        <w:t xml:space="preserve"> with a zero offset as follows: </w:t>
      </w:r>
    </w:p>
    <w:p w:rsidR="0004014F" w:rsidRPr="0004014F" w:rsidRDefault="0004014F" w:rsidP="008D040C">
      <w:pPr>
        <w:ind w:left="630" w:right="662"/>
        <w:rPr>
          <w:i/>
          <w:color w:val="00B0F0"/>
          <w:sz w:val="19"/>
          <w:szCs w:val="19"/>
          <w:lang w:val="en-GB"/>
        </w:rPr>
      </w:pPr>
      <w:r w:rsidRPr="0004014F">
        <w:rPr>
          <w:i/>
          <w:color w:val="00B0F0"/>
          <w:sz w:val="19"/>
          <w:szCs w:val="19"/>
          <w:lang w:val="en-GB"/>
        </w:rPr>
        <w:t xml:space="preserve"> </w:t>
      </w:r>
      <w:r w:rsidRPr="0004014F">
        <w:rPr>
          <w:i/>
          <w:color w:val="00B0F0"/>
        </w:rPr>
        <w:t>“:98E:</w:t>
      </w:r>
      <w:proofErr w:type="gramStart"/>
      <w:r w:rsidRPr="0004014F">
        <w:rPr>
          <w:i/>
          <w:color w:val="00B0F0"/>
        </w:rPr>
        <w:t>:YYYYMMDDHHMMSS</w:t>
      </w:r>
      <w:proofErr w:type="gramEnd"/>
      <w:r w:rsidRPr="0004014F">
        <w:rPr>
          <w:i/>
          <w:color w:val="00B0F0"/>
        </w:rPr>
        <w:t>/00”.</w:t>
      </w:r>
    </w:p>
    <w:p w:rsidR="00777F1A" w:rsidRDefault="00777F1A" w:rsidP="00777F1A">
      <w:pPr>
        <w:pStyle w:val="Actions"/>
      </w:pPr>
      <w:r w:rsidRPr="00E4757A">
        <w:rPr>
          <w:b/>
          <w:u w:val="single"/>
        </w:rPr>
        <w:t>Action</w:t>
      </w:r>
      <w:r>
        <w:t xml:space="preserve">:  </w:t>
      </w:r>
      <w:r w:rsidRPr="00B92578">
        <w:rPr>
          <w:u w:val="single"/>
        </w:rPr>
        <w:t>NMPGs</w:t>
      </w:r>
      <w:r>
        <w:t xml:space="preserve"> to provide feedback on the proposed draft MP (using 98E with UTC time (zero offset) for all deadlines).</w:t>
      </w:r>
    </w:p>
    <w:p w:rsidR="005C2947" w:rsidRDefault="005801D1" w:rsidP="00480034">
      <w:pPr>
        <w:pStyle w:val="Heading1"/>
      </w:pPr>
      <w:bookmarkStart w:id="26" w:name="_Toc39829680"/>
      <w:r>
        <w:t>CA458</w:t>
      </w:r>
      <w:r>
        <w:tab/>
      </w:r>
      <w:r w:rsidR="005C2947">
        <w:t xml:space="preserve">Add Format Option E (UTC) for ANOU date and ECPD, ECRD </w:t>
      </w:r>
      <w:proofErr w:type="gramStart"/>
      <w:r w:rsidR="00207E18">
        <w:t>Deadlines?</w:t>
      </w:r>
      <w:bookmarkEnd w:id="26"/>
      <w:proofErr w:type="gramEnd"/>
    </w:p>
    <w:p w:rsidR="004173E5" w:rsidRDefault="00737876" w:rsidP="00737876">
      <w:pPr>
        <w:spacing w:after="0"/>
      </w:pPr>
      <w:r>
        <w:t>It is also proposed that Option E be added to ANOU in the MT but this requires a CR.</w:t>
      </w:r>
      <w:r w:rsidR="004173E5" w:rsidRPr="004173E5">
        <w:t xml:space="preserve"> </w:t>
      </w:r>
    </w:p>
    <w:p w:rsidR="004173E5" w:rsidRDefault="004173E5" w:rsidP="00737876">
      <w:pPr>
        <w:spacing w:after="0"/>
      </w:pPr>
      <w:r>
        <w:lastRenderedPageBreak/>
        <w:t>ECPD and ECRD are currently missing in the deadlines listed in section 8.17 and should be added as well.</w:t>
      </w:r>
    </w:p>
    <w:p w:rsidR="00737876" w:rsidRDefault="00737876" w:rsidP="00737876">
      <w:pPr>
        <w:spacing w:after="0"/>
      </w:pPr>
      <w:r>
        <w:t>In ISO15022, the expression of the UTC (Zulu) Time could be done when using format E for tag 98 as follows: “:</w:t>
      </w:r>
      <w:r>
        <w:rPr>
          <w:color w:val="0000FF"/>
        </w:rPr>
        <w:t>98E:</w:t>
      </w:r>
      <w:proofErr w:type="gramStart"/>
      <w:r>
        <w:rPr>
          <w:color w:val="0000FF"/>
        </w:rPr>
        <w:t>:YYYYMMDDHHMMSS</w:t>
      </w:r>
      <w:proofErr w:type="gramEnd"/>
      <w:r>
        <w:rPr>
          <w:color w:val="0000FF"/>
        </w:rPr>
        <w:t>/00”</w:t>
      </w:r>
      <w:r>
        <w:t xml:space="preserve"> </w:t>
      </w:r>
    </w:p>
    <w:p w:rsidR="00737876" w:rsidRDefault="00737876" w:rsidP="00737876">
      <w:pPr>
        <w:pStyle w:val="Actions"/>
      </w:pPr>
      <w:r w:rsidRPr="00E4757A">
        <w:rPr>
          <w:b/>
          <w:u w:val="single"/>
        </w:rPr>
        <w:t>Action</w:t>
      </w:r>
      <w:r>
        <w:t xml:space="preserve">: </w:t>
      </w:r>
    </w:p>
    <w:p w:rsidR="00737876" w:rsidRDefault="00737876" w:rsidP="00AF0869">
      <w:pPr>
        <w:pStyle w:val="Actions"/>
        <w:numPr>
          <w:ilvl w:val="0"/>
          <w:numId w:val="16"/>
        </w:numPr>
      </w:pPr>
      <w:r w:rsidRPr="00D053BF">
        <w:rPr>
          <w:u w:val="single"/>
        </w:rPr>
        <w:t>Jacques</w:t>
      </w:r>
      <w:r>
        <w:t xml:space="preserve"> to check that all deadlines in ISO15022 have format Option E and check that section 8.17 lists all CA deadlines elements.</w:t>
      </w:r>
    </w:p>
    <w:p w:rsidR="00737876" w:rsidRDefault="00737876" w:rsidP="00AF0869">
      <w:pPr>
        <w:pStyle w:val="Actions"/>
        <w:numPr>
          <w:ilvl w:val="0"/>
          <w:numId w:val="16"/>
        </w:numPr>
      </w:pPr>
      <w:r w:rsidRPr="00B92578">
        <w:rPr>
          <w:u w:val="single"/>
        </w:rPr>
        <w:t>NMPGs</w:t>
      </w:r>
      <w:r>
        <w:t xml:space="preserve"> to provide feedback </w:t>
      </w:r>
      <w:r w:rsidR="004173E5">
        <w:t xml:space="preserve">if they think ANOU is usually provided in their market with a time and feedback on the proposal to </w:t>
      </w:r>
      <w:r>
        <w:t>add Option E to ANOU in a new CR for SR2021.</w:t>
      </w:r>
    </w:p>
    <w:p w:rsidR="005C2947" w:rsidRDefault="005801D1" w:rsidP="00480034">
      <w:pPr>
        <w:pStyle w:val="Heading1"/>
      </w:pPr>
      <w:bookmarkStart w:id="27" w:name="_Toc39829681"/>
      <w:r>
        <w:t>CA459</w:t>
      </w:r>
      <w:r>
        <w:tab/>
      </w:r>
      <w:r w:rsidR="005C2947">
        <w:t>Sharehol</w:t>
      </w:r>
      <w:r w:rsidR="00E470C4">
        <w:t>der</w:t>
      </w:r>
      <w:r w:rsidR="00207E18">
        <w:t xml:space="preserve"> </w:t>
      </w:r>
      <w:r w:rsidR="00E470C4">
        <w:t>Rights</w:t>
      </w:r>
      <w:r w:rsidR="00207E18">
        <w:t xml:space="preserve"> </w:t>
      </w:r>
      <w:r w:rsidR="00E470C4">
        <w:t>Directive Flag Market P</w:t>
      </w:r>
      <w:r w:rsidR="005C2947">
        <w:t>ractice (Fast Track CR 1616)</w:t>
      </w:r>
      <w:bookmarkEnd w:id="27"/>
    </w:p>
    <w:p w:rsidR="005B396F" w:rsidRDefault="005B396F" w:rsidP="005B396F">
      <w:pPr>
        <w:spacing w:after="0"/>
      </w:pPr>
      <w:r>
        <w:t xml:space="preserve">The group discusses whether the MP should state that the indicator should only be set by the first intermediary (Issuer CSD) and all intermediaries in the chain should simply reflect it. </w:t>
      </w:r>
    </w:p>
    <w:p w:rsidR="005B396F" w:rsidRDefault="005B396F" w:rsidP="005B396F">
      <w:pPr>
        <w:spacing w:after="0"/>
      </w:pPr>
      <w:r>
        <w:t>If it is not set by the first intermediary, or the notification was not sent via the first intermediary, the indicator should not be used. Not including it would then not necessarily not mean that the event is not deemed to be in scope of SRD II; but if set to Yes by the first intermediary, all intermediaries in the chain will need to comply with the requirements set by the IR.</w:t>
      </w:r>
    </w:p>
    <w:p w:rsidR="005B396F" w:rsidRDefault="005B396F" w:rsidP="005B396F">
      <w:pPr>
        <w:spacing w:after="0"/>
      </w:pPr>
      <w:r>
        <w:t xml:space="preserve">The new MP will also be discussed by the SRDII ISO Msg TF </w:t>
      </w:r>
      <w:r w:rsidR="00645225">
        <w:t>after being redrafted by Mari.</w:t>
      </w:r>
    </w:p>
    <w:p w:rsidR="00DE3CEB" w:rsidRPr="00DE3CEB" w:rsidRDefault="00DE3CEB" w:rsidP="00DE3CEB">
      <w:pPr>
        <w:pStyle w:val="Actions"/>
        <w:ind w:left="540" w:right="752"/>
        <w:rPr>
          <w:b/>
          <w:i/>
          <w:color w:val="00B0F0"/>
          <w:u w:val="single"/>
        </w:rPr>
      </w:pPr>
      <w:r w:rsidRPr="00DE3CEB">
        <w:rPr>
          <w:b/>
          <w:i/>
          <w:color w:val="00B0F0"/>
          <w:u w:val="single"/>
        </w:rPr>
        <w:t>Post meeting MP proposal by Mari:</w:t>
      </w:r>
    </w:p>
    <w:p w:rsidR="00DE3CEB" w:rsidRPr="00DE3CEB" w:rsidRDefault="00DE3CEB" w:rsidP="00DE3CEB">
      <w:pPr>
        <w:ind w:left="540" w:right="752"/>
        <w:rPr>
          <w:rFonts w:ascii="Times New Roman" w:hAnsi="Times New Roman" w:cs="Times New Roman"/>
          <w:i/>
          <w:color w:val="00B0F0"/>
          <w:lang w:val="en-GB"/>
        </w:rPr>
      </w:pPr>
      <w:r w:rsidRPr="00DE3CEB">
        <w:rPr>
          <w:i/>
          <w:color w:val="00B0F0"/>
          <w:lang w:val="en-GB"/>
        </w:rPr>
        <w:t xml:space="preserve">This indicator should be set by the issuer CSD or first intermediary. It should be set to YES (value “true”) only when the corporate event is in scope of SRD II and the notification/event information has been received from the issuer, as per SRDII. </w:t>
      </w:r>
    </w:p>
    <w:p w:rsidR="00DE3CEB" w:rsidRPr="00DE3CEB" w:rsidRDefault="00DE3CEB" w:rsidP="00DE3CEB">
      <w:pPr>
        <w:ind w:left="540" w:right="752"/>
        <w:rPr>
          <w:i/>
          <w:color w:val="00B0F0"/>
          <w:lang w:val="en-GB"/>
        </w:rPr>
      </w:pPr>
      <w:r w:rsidRPr="00DE3CEB">
        <w:rPr>
          <w:i/>
          <w:color w:val="00B0F0"/>
          <w:lang w:val="en-GB"/>
        </w:rPr>
        <w:t xml:space="preserve">When the indicator is set to NO, the notification is to be intended as in scope of SRDII but the issuer CSD or first intermediary did not receive the event information from the issuer. </w:t>
      </w:r>
    </w:p>
    <w:p w:rsidR="00DE3CEB" w:rsidRPr="00DE3CEB" w:rsidRDefault="00DE3CEB" w:rsidP="00DE3CEB">
      <w:pPr>
        <w:ind w:left="540" w:right="752"/>
        <w:rPr>
          <w:i/>
          <w:color w:val="00B0F0"/>
          <w:lang w:val="en-GB"/>
        </w:rPr>
      </w:pPr>
      <w:r w:rsidRPr="00DE3CEB">
        <w:rPr>
          <w:i/>
          <w:color w:val="00B0F0"/>
          <w:lang w:val="en-GB"/>
        </w:rPr>
        <w:t>Any other intermediary in the chain should report the value of this indicator as per the value received from the previous intermediary.</w:t>
      </w:r>
      <w:r>
        <w:rPr>
          <w:i/>
          <w:color w:val="00B0F0"/>
          <w:lang w:val="en-GB"/>
        </w:rPr>
        <w:t xml:space="preserve"> </w:t>
      </w:r>
    </w:p>
    <w:p w:rsidR="00BB0D0E" w:rsidRPr="00BB0D0E" w:rsidRDefault="00DE3CEB" w:rsidP="00BB0D0E">
      <w:pPr>
        <w:ind w:left="540" w:right="752"/>
        <w:rPr>
          <w:i/>
          <w:color w:val="00B0F0"/>
          <w:lang w:val="en-GB"/>
        </w:rPr>
      </w:pPr>
      <w:r w:rsidRPr="00DE3CEB">
        <w:rPr>
          <w:i/>
          <w:color w:val="00B0F0"/>
          <w:lang w:val="en-GB"/>
        </w:rPr>
        <w:t>If the corporate event is outside the scope of SRD II, this in</w:t>
      </w:r>
      <w:r>
        <w:rPr>
          <w:i/>
          <w:color w:val="00B0F0"/>
          <w:lang w:val="en-GB"/>
        </w:rPr>
        <w:t xml:space="preserve">dicator </w:t>
      </w:r>
      <w:proofErr w:type="gramStart"/>
      <w:r>
        <w:rPr>
          <w:i/>
          <w:color w:val="00B0F0"/>
          <w:lang w:val="en-GB"/>
        </w:rPr>
        <w:t>should not be populated</w:t>
      </w:r>
      <w:proofErr w:type="gramEnd"/>
      <w:r>
        <w:rPr>
          <w:i/>
          <w:color w:val="00B0F0"/>
          <w:lang w:val="en-GB"/>
        </w:rPr>
        <w:t>.</w:t>
      </w:r>
      <w:r w:rsidR="00BB0D0E" w:rsidRPr="00BB0D0E">
        <w:rPr>
          <w:i/>
          <w:color w:val="00B0F0"/>
          <w:lang w:val="en-GB"/>
        </w:rPr>
        <w:t xml:space="preserve"> </w:t>
      </w:r>
    </w:p>
    <w:p w:rsidR="00DE3CEB" w:rsidRPr="00052040" w:rsidRDefault="00BB0D0E" w:rsidP="00052040">
      <w:pPr>
        <w:spacing w:after="0"/>
        <w:rPr>
          <w:color w:val="FF0000"/>
        </w:rPr>
      </w:pPr>
      <w:r w:rsidRPr="00052040">
        <w:rPr>
          <w:b/>
          <w:color w:val="FF0000"/>
          <w:u w:val="single"/>
        </w:rPr>
        <w:t>Action</w:t>
      </w:r>
      <w:r w:rsidRPr="00052040">
        <w:rPr>
          <w:b/>
          <w:color w:val="FF0000"/>
        </w:rPr>
        <w:t>:</w:t>
      </w:r>
      <w:r w:rsidRPr="00052040">
        <w:rPr>
          <w:color w:val="FF0000"/>
        </w:rPr>
        <w:t xml:space="preserve"> </w:t>
      </w:r>
      <w:r w:rsidR="00052040" w:rsidRPr="00052040">
        <w:rPr>
          <w:color w:val="FF0000"/>
          <w:u w:val="single"/>
        </w:rPr>
        <w:t>NMPGs</w:t>
      </w:r>
      <w:r w:rsidR="00052040" w:rsidRPr="00052040">
        <w:rPr>
          <w:color w:val="FF0000"/>
        </w:rPr>
        <w:t xml:space="preserve"> to provide feedback on the proposed draft MP</w:t>
      </w:r>
      <w:r w:rsidR="00052040">
        <w:rPr>
          <w:color w:val="FF0000"/>
        </w:rPr>
        <w:t>.</w:t>
      </w:r>
    </w:p>
    <w:p w:rsidR="005C2947" w:rsidRDefault="005801D1" w:rsidP="00480034">
      <w:pPr>
        <w:pStyle w:val="Heading1"/>
      </w:pPr>
      <w:bookmarkStart w:id="28" w:name="_Toc39829682"/>
      <w:r>
        <w:t>CA460</w:t>
      </w:r>
      <w:r>
        <w:tab/>
      </w:r>
      <w:r w:rsidR="005C2947">
        <w:t xml:space="preserve">Move of Index Factor for INT and Redemptions to </w:t>
      </w:r>
      <w:r w:rsidR="00074D9A">
        <w:t>CADTL Seq.</w:t>
      </w:r>
      <w:bookmarkEnd w:id="28"/>
    </w:p>
    <w:p w:rsidR="005801D1" w:rsidRPr="005801D1" w:rsidRDefault="005801D1" w:rsidP="005801D1">
      <w:pPr>
        <w:spacing w:after="0"/>
      </w:pPr>
      <w:r w:rsidRPr="005801D1">
        <w:t>Alexander question on GMP1 section 3.12.7</w:t>
      </w:r>
      <w:r>
        <w:t>: shou</w:t>
      </w:r>
      <w:r w:rsidR="00207E18">
        <w:t>ld</w:t>
      </w:r>
      <w:r>
        <w:t xml:space="preserve"> we move INDX to seq. D?</w:t>
      </w:r>
    </w:p>
    <w:p w:rsidR="005801D1" w:rsidRDefault="005801D1" w:rsidP="005801D1">
      <w:pPr>
        <w:pStyle w:val="Actions"/>
      </w:pPr>
      <w:r w:rsidRPr="005801D1">
        <w:rPr>
          <w:b/>
          <w:u w:val="single"/>
        </w:rPr>
        <w:t>Action</w:t>
      </w:r>
      <w:r>
        <w:rPr>
          <w:b/>
        </w:rPr>
        <w:t xml:space="preserve">: </w:t>
      </w:r>
      <w:r w:rsidR="00162F58" w:rsidRPr="00916A98">
        <w:rPr>
          <w:u w:val="single"/>
        </w:rPr>
        <w:t>Alex</w:t>
      </w:r>
      <w:r w:rsidR="00162F58">
        <w:t xml:space="preserve"> to </w:t>
      </w:r>
      <w:r>
        <w:t>draft a CR to move INDX from E to D for SR2021, unless NMPGs object.</w:t>
      </w:r>
    </w:p>
    <w:p w:rsidR="00E470C4" w:rsidRDefault="00E470C4" w:rsidP="00E470C4">
      <w:pPr>
        <w:pStyle w:val="Heading1"/>
      </w:pPr>
      <w:bookmarkStart w:id="29" w:name="_Toc39829683"/>
      <w:r>
        <w:t>Tax Subgroup Update</w:t>
      </w:r>
      <w:bookmarkEnd w:id="29"/>
    </w:p>
    <w:p w:rsidR="00E470C4" w:rsidRDefault="00E470C4" w:rsidP="00E470C4">
      <w:pPr>
        <w:spacing w:after="0"/>
      </w:pPr>
      <w:r>
        <w:t>Jean-Pierre provided an update on the Tax SG. Last Tax SG call was on Feb 6; next one is on April 9.</w:t>
      </w:r>
    </w:p>
    <w:p w:rsidR="00E470C4" w:rsidRDefault="00E470C4" w:rsidP="00E470C4">
      <w:pPr>
        <w:spacing w:after="0"/>
      </w:pPr>
      <w:r>
        <w:t>The SG has closed several issues, and hence only a few items remain on the agenda.</w:t>
      </w:r>
    </w:p>
    <w:p w:rsidR="00E470C4" w:rsidRDefault="00E470C4" w:rsidP="00E470C4">
      <w:pPr>
        <w:spacing w:after="0"/>
      </w:pPr>
      <w:r>
        <w:t>Mari drafted a first version of the tax breakdown MP and the SG has reviewed it and agreed on some minor changes.</w:t>
      </w:r>
    </w:p>
    <w:p w:rsidR="00E470C4" w:rsidRDefault="00E470C4" w:rsidP="00E470C4">
      <w:pPr>
        <w:spacing w:after="0"/>
      </w:pPr>
      <w:r>
        <w:t>The Tax SG is also working on CA447 and on CA443.</w:t>
      </w:r>
    </w:p>
    <w:p w:rsidR="00E470C4" w:rsidRDefault="00E470C4" w:rsidP="00E470C4">
      <w:pPr>
        <w:spacing w:after="0"/>
      </w:pPr>
      <w:r>
        <w:t>The issue of tax on trade activities has been raised again, but at this time, the Tax SG will not look at it.</w:t>
      </w:r>
    </w:p>
    <w:p w:rsidR="00E470C4" w:rsidRDefault="00E470C4" w:rsidP="00E470C4">
      <w:pPr>
        <w:spacing w:after="0"/>
      </w:pPr>
      <w:r>
        <w:lastRenderedPageBreak/>
        <w:t>The SG has launched a market initiative update follow-up, including monitoring tax changes in countries like Denmark and Finland.</w:t>
      </w:r>
    </w:p>
    <w:p w:rsidR="00541D6A" w:rsidRDefault="00541D6A" w:rsidP="00541D6A">
      <w:pPr>
        <w:pStyle w:val="Heading1"/>
      </w:pPr>
      <w:bookmarkStart w:id="30" w:name="_Toc39829684"/>
      <w:r>
        <w:t>AOB</w:t>
      </w:r>
      <w:bookmarkEnd w:id="30"/>
    </w:p>
    <w:p w:rsidR="00541D6A" w:rsidRPr="00541D6A" w:rsidRDefault="00541D6A" w:rsidP="00AF0869">
      <w:pPr>
        <w:pStyle w:val="ListParagraph"/>
        <w:numPr>
          <w:ilvl w:val="0"/>
          <w:numId w:val="18"/>
        </w:numPr>
        <w:spacing w:after="0"/>
        <w:rPr>
          <w:rFonts w:asciiTheme="minorHAnsi" w:hAnsiTheme="minorHAnsi" w:cstheme="minorBidi"/>
          <w:u w:val="none"/>
          <w:lang w:eastAsia="zh-CN"/>
        </w:rPr>
      </w:pPr>
      <w:r>
        <w:t xml:space="preserve">Jean-Pierre: </w:t>
      </w:r>
      <w:r w:rsidRPr="00541D6A">
        <w:rPr>
          <w:u w:val="none"/>
        </w:rPr>
        <w:t xml:space="preserve">The French market may have two CRs related to registered shares. </w:t>
      </w:r>
    </w:p>
    <w:p w:rsidR="00541D6A" w:rsidRPr="00541D6A" w:rsidRDefault="00541D6A" w:rsidP="00AF0869">
      <w:pPr>
        <w:pStyle w:val="ListParagraph"/>
        <w:numPr>
          <w:ilvl w:val="1"/>
          <w:numId w:val="18"/>
        </w:numPr>
        <w:spacing w:after="0"/>
        <w:rPr>
          <w:rFonts w:asciiTheme="minorHAnsi" w:hAnsiTheme="minorHAnsi" w:cstheme="minorBidi"/>
          <w:lang w:eastAsia="zh-CN"/>
        </w:rPr>
      </w:pPr>
      <w:r w:rsidRPr="00541D6A">
        <w:rPr>
          <w:u w:val="none"/>
        </w:rPr>
        <w:t xml:space="preserve">A new qualifier/code that states that the event only applies to the registered shares. In certain cases, the same ISIN can exist in both bearer and registered form. </w:t>
      </w:r>
    </w:p>
    <w:p w:rsidR="00541D6A" w:rsidRPr="00541D6A" w:rsidRDefault="00541D6A" w:rsidP="00AF0869">
      <w:pPr>
        <w:pStyle w:val="ListParagraph"/>
        <w:numPr>
          <w:ilvl w:val="1"/>
          <w:numId w:val="18"/>
        </w:numPr>
        <w:spacing w:after="0"/>
        <w:rPr>
          <w:rFonts w:asciiTheme="minorHAnsi" w:hAnsiTheme="minorHAnsi" w:cstheme="minorBidi"/>
          <w:lang w:eastAsia="zh-CN"/>
        </w:rPr>
      </w:pPr>
      <w:r w:rsidRPr="00541D6A">
        <w:rPr>
          <w:u w:val="none"/>
        </w:rPr>
        <w:t xml:space="preserve">Some events </w:t>
      </w:r>
      <w:proofErr w:type="gramStart"/>
      <w:r w:rsidRPr="00541D6A">
        <w:rPr>
          <w:u w:val="none"/>
        </w:rPr>
        <w:t>will be applied</w:t>
      </w:r>
      <w:proofErr w:type="gramEnd"/>
      <w:r w:rsidRPr="00541D6A">
        <w:rPr>
          <w:u w:val="none"/>
        </w:rPr>
        <w:t xml:space="preserve"> not on the CSD positions, but the positions at the registrar. A new qualifier/code stating this </w:t>
      </w:r>
      <w:proofErr w:type="gramStart"/>
      <w:r w:rsidRPr="00541D6A">
        <w:rPr>
          <w:u w:val="none"/>
        </w:rPr>
        <w:t>may also be needed</w:t>
      </w:r>
      <w:proofErr w:type="gramEnd"/>
      <w:r w:rsidRPr="00541D6A">
        <w:rPr>
          <w:u w:val="none"/>
        </w:rPr>
        <w:t>.</w:t>
      </w:r>
    </w:p>
    <w:p w:rsidR="00541D6A" w:rsidRDefault="00541D6A" w:rsidP="00AF0869">
      <w:pPr>
        <w:pStyle w:val="ListParagraph"/>
        <w:numPr>
          <w:ilvl w:val="0"/>
          <w:numId w:val="18"/>
        </w:numPr>
        <w:spacing w:after="0"/>
      </w:pPr>
      <w:r>
        <w:t xml:space="preserve">Catarina: </w:t>
      </w:r>
      <w:r w:rsidRPr="00541D6A">
        <w:rPr>
          <w:u w:val="none"/>
        </w:rPr>
        <w:t xml:space="preserve">Would like to bring back the discussion of the COAF, both market practice and making it mandatory. There is significant discrepancy between markets and usage of COAF, but a number of market standards, e.g. CAJWG and ECMS, as well as the SRD II IR, state that a COAF </w:t>
      </w:r>
      <w:proofErr w:type="gramStart"/>
      <w:r w:rsidRPr="00541D6A">
        <w:rPr>
          <w:u w:val="none"/>
        </w:rPr>
        <w:t>should be used</w:t>
      </w:r>
      <w:proofErr w:type="gramEnd"/>
      <w:r w:rsidRPr="00541D6A">
        <w:rPr>
          <w:u w:val="none"/>
        </w:rPr>
        <w:t>.</w:t>
      </w:r>
    </w:p>
    <w:p w:rsidR="00165FF9" w:rsidRDefault="00541D6A" w:rsidP="00541D6A">
      <w:pPr>
        <w:spacing w:after="0"/>
        <w:rPr>
          <w:color w:val="FF0000"/>
        </w:rPr>
      </w:pPr>
      <w:r w:rsidRPr="00541D6A">
        <w:rPr>
          <w:b/>
          <w:color w:val="FF0000"/>
          <w:u w:val="single"/>
        </w:rPr>
        <w:t>Action</w:t>
      </w:r>
      <w:r w:rsidRPr="00541D6A">
        <w:rPr>
          <w:b/>
          <w:color w:val="FF0000"/>
        </w:rPr>
        <w:t>:</w:t>
      </w:r>
      <w:r w:rsidR="00165FF9">
        <w:rPr>
          <w:b/>
          <w:color w:val="FF0000"/>
        </w:rPr>
        <w:t xml:space="preserve"> </w:t>
      </w:r>
      <w:r w:rsidR="00165FF9" w:rsidRPr="00165FF9">
        <w:rPr>
          <w:color w:val="FF0000"/>
          <w:u w:val="single"/>
        </w:rPr>
        <w:t>Jacques</w:t>
      </w:r>
      <w:r w:rsidR="00165FF9" w:rsidRPr="00165FF9">
        <w:rPr>
          <w:color w:val="FF0000"/>
        </w:rPr>
        <w:t xml:space="preserve"> create new Open Item</w:t>
      </w:r>
    </w:p>
    <w:p w:rsidR="00541D6A" w:rsidRDefault="00541D6A" w:rsidP="00AF0869">
      <w:pPr>
        <w:pStyle w:val="ListParagraph"/>
        <w:numPr>
          <w:ilvl w:val="0"/>
          <w:numId w:val="18"/>
        </w:numPr>
        <w:spacing w:after="0"/>
      </w:pPr>
      <w:r w:rsidRPr="007F1434">
        <w:t xml:space="preserve">Mari, Catarina and </w:t>
      </w:r>
      <w:r w:rsidRPr="00AC19D0">
        <w:t>Christine</w:t>
      </w:r>
      <w:r w:rsidRPr="00AC19D0">
        <w:rPr>
          <w:u w:val="none"/>
        </w:rPr>
        <w:t xml:space="preserve"> to draft a document linking the </w:t>
      </w:r>
      <w:r w:rsidR="00AC19D0" w:rsidRPr="00AC19D0">
        <w:rPr>
          <w:u w:val="none"/>
        </w:rPr>
        <w:t xml:space="preserve">SRDII </w:t>
      </w:r>
      <w:r w:rsidRPr="00AC19D0">
        <w:rPr>
          <w:u w:val="none"/>
        </w:rPr>
        <w:t xml:space="preserve">IR table </w:t>
      </w:r>
      <w:proofErr w:type="gramStart"/>
      <w:r w:rsidRPr="00AC19D0">
        <w:rPr>
          <w:u w:val="none"/>
        </w:rPr>
        <w:t>8</w:t>
      </w:r>
      <w:proofErr w:type="gramEnd"/>
      <w:r w:rsidRPr="00AC19D0">
        <w:rPr>
          <w:u w:val="none"/>
        </w:rPr>
        <w:t xml:space="preserve"> </w:t>
      </w:r>
      <w:r w:rsidR="00AC19D0" w:rsidRPr="00AC19D0">
        <w:rPr>
          <w:u w:val="none"/>
        </w:rPr>
        <w:t xml:space="preserve">(CA announcement requirements) </w:t>
      </w:r>
      <w:r w:rsidRPr="00AC19D0">
        <w:rPr>
          <w:u w:val="none"/>
        </w:rPr>
        <w:t>to the correct ISO 15022 fields.</w:t>
      </w:r>
    </w:p>
    <w:p w:rsidR="007F1434" w:rsidRPr="00AC19D0" w:rsidRDefault="00AC19D0" w:rsidP="007F1434">
      <w:pPr>
        <w:spacing w:after="0"/>
        <w:rPr>
          <w:color w:val="00B0F0"/>
          <w:u w:val="single"/>
        </w:rPr>
      </w:pPr>
      <w:r w:rsidRPr="00AC19D0">
        <w:rPr>
          <w:color w:val="00B0F0"/>
          <w:u w:val="single"/>
        </w:rPr>
        <w:t>Post meeting input</w:t>
      </w:r>
      <w:r>
        <w:rPr>
          <w:color w:val="00B0F0"/>
          <w:u w:val="single"/>
        </w:rPr>
        <w:t xml:space="preserve"> from Mari on the mapping table</w:t>
      </w:r>
    </w:p>
    <w:bookmarkStart w:id="31" w:name="_MON_1648453621"/>
    <w:bookmarkEnd w:id="31"/>
    <w:p w:rsidR="00541D6A" w:rsidRDefault="007F1434" w:rsidP="00541D6A">
      <w:r>
        <w:object w:dxaOrig="1541" w:dyaOrig="998">
          <v:shape id="_x0000_i1031" type="#_x0000_t75" style="width:77.25pt;height:50.25pt" o:ole="">
            <v:imagedata r:id="rId27" o:title=""/>
          </v:shape>
          <o:OLEObject Type="Embed" ProgID="Word.Document.12" ShapeID="_x0000_i1031" DrawAspect="Icon" ObjectID="_1650442445" r:id="rId28">
            <o:FieldCodes>\s</o:FieldCodes>
          </o:OLEObject>
        </w:object>
      </w:r>
    </w:p>
    <w:p w:rsidR="002F717A" w:rsidRDefault="001C5690" w:rsidP="001C5690">
      <w:pPr>
        <w:pStyle w:val="Heading1"/>
      </w:pPr>
      <w:bookmarkStart w:id="32" w:name="_Toc39829685"/>
      <w:r>
        <w:t>End of meeting</w:t>
      </w:r>
      <w:bookmarkEnd w:id="32"/>
      <w:r>
        <w:t xml:space="preserve"> </w:t>
      </w:r>
    </w:p>
    <w:p w:rsidR="00541D6A" w:rsidRPr="001C5690" w:rsidRDefault="001C5690" w:rsidP="001C5690">
      <w:pPr>
        <w:spacing w:after="0"/>
        <w:rPr>
          <w:rFonts w:asciiTheme="minorHAnsi" w:hAnsiTheme="minorHAnsi" w:cstheme="minorBidi"/>
          <w:lang w:val="en-GB" w:eastAsia="zh-CN"/>
        </w:rPr>
      </w:pPr>
      <w:r>
        <w:t>The meeting/WebEx ended by the co-chairs and facilitator thanking the South African community for hosting the meeting In Johannesburg under these difficult conditions.</w:t>
      </w:r>
    </w:p>
    <w:p w:rsidR="001C5690" w:rsidRDefault="001C5690" w:rsidP="002F717A">
      <w:pPr>
        <w:pStyle w:val="ListParagraph"/>
        <w:numPr>
          <w:ilvl w:val="0"/>
          <w:numId w:val="0"/>
        </w:numPr>
        <w:ind w:left="720"/>
      </w:pPr>
    </w:p>
    <w:p w:rsidR="00042840" w:rsidRDefault="001B0369" w:rsidP="00900A63">
      <w:pPr>
        <w:rPr>
          <w:sz w:val="28"/>
          <w:szCs w:val="28"/>
          <w:u w:val="single"/>
        </w:rPr>
      </w:pPr>
      <w:r w:rsidRPr="001B0369">
        <w:rPr>
          <w:b/>
          <w:sz w:val="28"/>
          <w:szCs w:val="28"/>
          <w:u w:val="single"/>
        </w:rPr>
        <w:t xml:space="preserve">Next </w:t>
      </w:r>
      <w:r w:rsidR="00902693">
        <w:rPr>
          <w:b/>
          <w:sz w:val="28"/>
          <w:szCs w:val="28"/>
          <w:u w:val="single"/>
        </w:rPr>
        <w:t>WG call</w:t>
      </w:r>
      <w:r w:rsidR="00FA682E">
        <w:rPr>
          <w:b/>
          <w:sz w:val="28"/>
          <w:szCs w:val="28"/>
          <w:u w:val="single"/>
        </w:rPr>
        <w:t>/Webex</w:t>
      </w:r>
      <w:r w:rsidRPr="001B0369">
        <w:rPr>
          <w:b/>
          <w:sz w:val="28"/>
          <w:szCs w:val="28"/>
        </w:rPr>
        <w:t xml:space="preserve">: </w:t>
      </w:r>
      <w:r>
        <w:rPr>
          <w:b/>
          <w:sz w:val="28"/>
          <w:szCs w:val="28"/>
        </w:rPr>
        <w:t xml:space="preserve"> </w:t>
      </w:r>
      <w:r w:rsidR="00D2758B">
        <w:rPr>
          <w:sz w:val="28"/>
          <w:szCs w:val="28"/>
        </w:rPr>
        <w:t xml:space="preserve"> </w:t>
      </w:r>
      <w:r w:rsidR="00902693">
        <w:rPr>
          <w:sz w:val="28"/>
          <w:szCs w:val="28"/>
        </w:rPr>
        <w:t xml:space="preserve">April </w:t>
      </w:r>
      <w:r w:rsidR="00FA682E">
        <w:rPr>
          <w:sz w:val="28"/>
          <w:szCs w:val="28"/>
        </w:rPr>
        <w:t>21</w:t>
      </w:r>
      <w:r w:rsidR="004B2613">
        <w:rPr>
          <w:sz w:val="28"/>
          <w:szCs w:val="28"/>
        </w:rPr>
        <w:t xml:space="preserve">, </w:t>
      </w:r>
      <w:r w:rsidR="00077815">
        <w:rPr>
          <w:sz w:val="28"/>
          <w:szCs w:val="28"/>
        </w:rPr>
        <w:t>2020</w:t>
      </w:r>
      <w:r w:rsidR="00D2758B">
        <w:rPr>
          <w:sz w:val="28"/>
          <w:szCs w:val="28"/>
        </w:rPr>
        <w:t xml:space="preserve"> </w:t>
      </w:r>
      <w:r w:rsidR="00FA682E">
        <w:rPr>
          <w:sz w:val="28"/>
          <w:szCs w:val="28"/>
        </w:rPr>
        <w:t>from 2:00 to 3:30 PM CET</w:t>
      </w:r>
      <w:r w:rsidR="003C492D">
        <w:rPr>
          <w:sz w:val="28"/>
          <w:szCs w:val="28"/>
        </w:rPr>
        <w:t xml:space="preserve"> </w:t>
      </w:r>
    </w:p>
    <w:p w:rsidR="00F16615" w:rsidRDefault="00F16615" w:rsidP="00900A63">
      <w:pPr>
        <w:rPr>
          <w:b/>
          <w:sz w:val="28"/>
          <w:szCs w:val="28"/>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9"/>
      <w:headerReference w:type="default" r:id="rId30"/>
      <w:headerReference w:type="first" r:id="rId31"/>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82" w:rsidRDefault="00702782" w:rsidP="00592037">
      <w:r>
        <w:separator/>
      </w:r>
    </w:p>
    <w:p w:rsidR="00702782" w:rsidRDefault="00702782" w:rsidP="00592037"/>
  </w:endnote>
  <w:endnote w:type="continuationSeparator" w:id="0">
    <w:p w:rsidR="00702782" w:rsidRDefault="00702782" w:rsidP="00592037">
      <w:r>
        <w:continuationSeparator/>
      </w:r>
    </w:p>
    <w:p w:rsidR="00702782" w:rsidRDefault="00702782"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B Basic">
    <w:altName w:val="Arial"/>
    <w:panose1 w:val="00000000000000000000"/>
    <w:charset w:val="00"/>
    <w:family w:val="modern"/>
    <w:notTrueType/>
    <w:pitch w:val="variable"/>
    <w:sig w:usb0="00000001"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7E18" w:rsidRDefault="00207E18"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Pr="00C40CE5" w:rsidRDefault="00207E18"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470678">
      <w:rPr>
        <w:noProof/>
        <w:sz w:val="16"/>
        <w:szCs w:val="16"/>
        <w:lang w:val="sv-SE"/>
      </w:rPr>
      <w:t>Johannesburg_Mar2020_CA_FINAL_Minutes_v1_0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1F2C19">
      <w:rPr>
        <w:noProof/>
        <w:lang w:val="en-GB"/>
      </w:rPr>
      <w:t>2</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8" w:rsidRDefault="0047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82" w:rsidRDefault="00702782" w:rsidP="00592037">
      <w:r>
        <w:separator/>
      </w:r>
    </w:p>
    <w:p w:rsidR="00702782" w:rsidRDefault="00702782" w:rsidP="00592037"/>
  </w:footnote>
  <w:footnote w:type="continuationSeparator" w:id="0">
    <w:p w:rsidR="00702782" w:rsidRDefault="00702782" w:rsidP="00592037">
      <w:r>
        <w:continuationSeparator/>
      </w:r>
    </w:p>
    <w:p w:rsidR="00702782" w:rsidRDefault="00702782"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8" w:rsidRDefault="00470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8" w:rsidRDefault="004706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Pr="00284B42" w:rsidRDefault="00207E18"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Johannesburg Meeting Minutes – 10 - 12 March 2020</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D6143"/>
    <w:multiLevelType w:val="hybridMultilevel"/>
    <w:tmpl w:val="389A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E291C"/>
    <w:multiLevelType w:val="hybridMultilevel"/>
    <w:tmpl w:val="D57450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603E1"/>
    <w:multiLevelType w:val="hybridMultilevel"/>
    <w:tmpl w:val="1930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3667B"/>
    <w:multiLevelType w:val="hybridMultilevel"/>
    <w:tmpl w:val="7C3EB896"/>
    <w:lvl w:ilvl="0" w:tplc="2AB25928">
      <w:start w:val="1"/>
      <w:numFmt w:val="decimal"/>
      <w:lvlText w:val="%1)"/>
      <w:lvlJc w:val="left"/>
      <w:pPr>
        <w:ind w:left="360" w:hanging="360"/>
      </w:pPr>
      <w:rPr>
        <w:rFonts w:ascii="Arial" w:hAnsi="Arial" w:cs="Arial"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9" w15:restartNumberingAfterBreak="0">
    <w:nsid w:val="42CE10E1"/>
    <w:multiLevelType w:val="hybridMultilevel"/>
    <w:tmpl w:val="0BBEB638"/>
    <w:lvl w:ilvl="0" w:tplc="8886E0E4">
      <w:numFmt w:val="bullet"/>
      <w:lvlText w:val="·"/>
      <w:lvlJc w:val="left"/>
      <w:pPr>
        <w:ind w:left="810" w:hanging="45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F94E6C"/>
    <w:multiLevelType w:val="hybridMultilevel"/>
    <w:tmpl w:val="920A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2172233"/>
    <w:multiLevelType w:val="hybridMultilevel"/>
    <w:tmpl w:val="847C0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18"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5"/>
  </w:num>
  <w:num w:numId="5">
    <w:abstractNumId w:val="3"/>
  </w:num>
  <w:num w:numId="6">
    <w:abstractNumId w:val="14"/>
  </w:num>
  <w:num w:numId="7">
    <w:abstractNumId w:val="13"/>
  </w:num>
  <w:num w:numId="8">
    <w:abstractNumId w:val="11"/>
  </w:num>
  <w:num w:numId="9">
    <w:abstractNumId w:val="18"/>
  </w:num>
  <w:num w:numId="10">
    <w:abstractNumId w:val="7"/>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0"/>
  </w:num>
  <w:num w:numId="16">
    <w:abstractNumId w:val="4"/>
  </w:num>
  <w:num w:numId="17">
    <w:abstractNumId w:val="1"/>
  </w:num>
  <w:num w:numId="18">
    <w:abstractNumId w:val="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45D"/>
    <w:rsid w:val="00004F11"/>
    <w:rsid w:val="000051B3"/>
    <w:rsid w:val="00005A1F"/>
    <w:rsid w:val="00005B96"/>
    <w:rsid w:val="00006B00"/>
    <w:rsid w:val="0000748A"/>
    <w:rsid w:val="0000776E"/>
    <w:rsid w:val="0001004E"/>
    <w:rsid w:val="00010813"/>
    <w:rsid w:val="00010AB6"/>
    <w:rsid w:val="0001137D"/>
    <w:rsid w:val="00011536"/>
    <w:rsid w:val="00011E7E"/>
    <w:rsid w:val="00012441"/>
    <w:rsid w:val="00012453"/>
    <w:rsid w:val="000131FB"/>
    <w:rsid w:val="000136C5"/>
    <w:rsid w:val="000142B1"/>
    <w:rsid w:val="0001473C"/>
    <w:rsid w:val="00014866"/>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14F"/>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040"/>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4D9A"/>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399E"/>
    <w:rsid w:val="00085EE0"/>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121"/>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490"/>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A78"/>
    <w:rsid w:val="001021B7"/>
    <w:rsid w:val="0010266C"/>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E13"/>
    <w:rsid w:val="001170FE"/>
    <w:rsid w:val="0011741B"/>
    <w:rsid w:val="00120B68"/>
    <w:rsid w:val="001210F0"/>
    <w:rsid w:val="0012159E"/>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B18"/>
    <w:rsid w:val="00152F80"/>
    <w:rsid w:val="001535DD"/>
    <w:rsid w:val="0015574B"/>
    <w:rsid w:val="0015583E"/>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2F58"/>
    <w:rsid w:val="00163115"/>
    <w:rsid w:val="00163878"/>
    <w:rsid w:val="001638BD"/>
    <w:rsid w:val="00163C98"/>
    <w:rsid w:val="00163E9F"/>
    <w:rsid w:val="00164CCB"/>
    <w:rsid w:val="0016508C"/>
    <w:rsid w:val="001656E5"/>
    <w:rsid w:val="00165FF9"/>
    <w:rsid w:val="001661A6"/>
    <w:rsid w:val="001671A7"/>
    <w:rsid w:val="001676C8"/>
    <w:rsid w:val="00167B04"/>
    <w:rsid w:val="0017019E"/>
    <w:rsid w:val="001715C7"/>
    <w:rsid w:val="00171970"/>
    <w:rsid w:val="00171F2F"/>
    <w:rsid w:val="001725CB"/>
    <w:rsid w:val="00172745"/>
    <w:rsid w:val="0017306F"/>
    <w:rsid w:val="00173C0D"/>
    <w:rsid w:val="001753F9"/>
    <w:rsid w:val="001758E4"/>
    <w:rsid w:val="00175E31"/>
    <w:rsid w:val="0017663A"/>
    <w:rsid w:val="00176E6C"/>
    <w:rsid w:val="001773E9"/>
    <w:rsid w:val="00177C8A"/>
    <w:rsid w:val="001803DE"/>
    <w:rsid w:val="00182C75"/>
    <w:rsid w:val="00182F65"/>
    <w:rsid w:val="0018324D"/>
    <w:rsid w:val="0018360E"/>
    <w:rsid w:val="001838FC"/>
    <w:rsid w:val="00185A76"/>
    <w:rsid w:val="00185C5A"/>
    <w:rsid w:val="00186352"/>
    <w:rsid w:val="001865D5"/>
    <w:rsid w:val="001868D6"/>
    <w:rsid w:val="001869F3"/>
    <w:rsid w:val="00186EEA"/>
    <w:rsid w:val="00186F88"/>
    <w:rsid w:val="00187EB0"/>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690"/>
    <w:rsid w:val="001C5824"/>
    <w:rsid w:val="001C6483"/>
    <w:rsid w:val="001C6771"/>
    <w:rsid w:val="001C67E6"/>
    <w:rsid w:val="001C7F55"/>
    <w:rsid w:val="001D053B"/>
    <w:rsid w:val="001D092F"/>
    <w:rsid w:val="001D0BE6"/>
    <w:rsid w:val="001D0D2F"/>
    <w:rsid w:val="001D0D7A"/>
    <w:rsid w:val="001D0FDF"/>
    <w:rsid w:val="001D1050"/>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19"/>
    <w:rsid w:val="001F2C65"/>
    <w:rsid w:val="001F3F45"/>
    <w:rsid w:val="001F4708"/>
    <w:rsid w:val="001F4ED6"/>
    <w:rsid w:val="001F5A02"/>
    <w:rsid w:val="001F5F52"/>
    <w:rsid w:val="001F642E"/>
    <w:rsid w:val="001F6AC5"/>
    <w:rsid w:val="001F70B4"/>
    <w:rsid w:val="00200451"/>
    <w:rsid w:val="0020115E"/>
    <w:rsid w:val="00201BDB"/>
    <w:rsid w:val="00201FAD"/>
    <w:rsid w:val="00202058"/>
    <w:rsid w:val="0020312B"/>
    <w:rsid w:val="0020323F"/>
    <w:rsid w:val="0020391C"/>
    <w:rsid w:val="002042AE"/>
    <w:rsid w:val="002043AA"/>
    <w:rsid w:val="00204617"/>
    <w:rsid w:val="00205310"/>
    <w:rsid w:val="002053BA"/>
    <w:rsid w:val="00206DF5"/>
    <w:rsid w:val="00207E18"/>
    <w:rsid w:val="00211C67"/>
    <w:rsid w:val="002127BA"/>
    <w:rsid w:val="00212BFF"/>
    <w:rsid w:val="002131AF"/>
    <w:rsid w:val="00213FDC"/>
    <w:rsid w:val="0021554D"/>
    <w:rsid w:val="00215780"/>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C46"/>
    <w:rsid w:val="002421C4"/>
    <w:rsid w:val="002424EE"/>
    <w:rsid w:val="00242D9F"/>
    <w:rsid w:val="002433C0"/>
    <w:rsid w:val="002441FE"/>
    <w:rsid w:val="00244740"/>
    <w:rsid w:val="00244DB8"/>
    <w:rsid w:val="002450E4"/>
    <w:rsid w:val="002454FF"/>
    <w:rsid w:val="002456C7"/>
    <w:rsid w:val="00245BAF"/>
    <w:rsid w:val="0024663A"/>
    <w:rsid w:val="00246A6A"/>
    <w:rsid w:val="00246C2F"/>
    <w:rsid w:val="0024719E"/>
    <w:rsid w:val="002471A6"/>
    <w:rsid w:val="002508BC"/>
    <w:rsid w:val="00251E0B"/>
    <w:rsid w:val="0025223A"/>
    <w:rsid w:val="002533BB"/>
    <w:rsid w:val="002549AE"/>
    <w:rsid w:val="00254D61"/>
    <w:rsid w:val="00254E98"/>
    <w:rsid w:val="00256DB8"/>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4E5"/>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38BC"/>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8BB"/>
    <w:rsid w:val="002E10E4"/>
    <w:rsid w:val="002E145D"/>
    <w:rsid w:val="002E1D3A"/>
    <w:rsid w:val="002E2A49"/>
    <w:rsid w:val="002E395C"/>
    <w:rsid w:val="002E47D9"/>
    <w:rsid w:val="002E4D77"/>
    <w:rsid w:val="002E6D4B"/>
    <w:rsid w:val="002E6F31"/>
    <w:rsid w:val="002F0817"/>
    <w:rsid w:val="002F0EA9"/>
    <w:rsid w:val="002F144B"/>
    <w:rsid w:val="002F1567"/>
    <w:rsid w:val="002F15ED"/>
    <w:rsid w:val="002F1879"/>
    <w:rsid w:val="002F18DE"/>
    <w:rsid w:val="002F3775"/>
    <w:rsid w:val="002F434C"/>
    <w:rsid w:val="002F4917"/>
    <w:rsid w:val="002F6FEE"/>
    <w:rsid w:val="002F717A"/>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06E68"/>
    <w:rsid w:val="0031056F"/>
    <w:rsid w:val="00311763"/>
    <w:rsid w:val="003119EC"/>
    <w:rsid w:val="00311D66"/>
    <w:rsid w:val="00311F02"/>
    <w:rsid w:val="00312754"/>
    <w:rsid w:val="0031281B"/>
    <w:rsid w:val="00312E97"/>
    <w:rsid w:val="00313942"/>
    <w:rsid w:val="00313B3A"/>
    <w:rsid w:val="00314C7D"/>
    <w:rsid w:val="00315711"/>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3620"/>
    <w:rsid w:val="00363AF2"/>
    <w:rsid w:val="00363C0E"/>
    <w:rsid w:val="00363C12"/>
    <w:rsid w:val="00363FDA"/>
    <w:rsid w:val="0036404F"/>
    <w:rsid w:val="00365519"/>
    <w:rsid w:val="003655CA"/>
    <w:rsid w:val="0036567D"/>
    <w:rsid w:val="003656AB"/>
    <w:rsid w:val="003657AB"/>
    <w:rsid w:val="0036770E"/>
    <w:rsid w:val="003679E4"/>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5D3"/>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11E8"/>
    <w:rsid w:val="003C292A"/>
    <w:rsid w:val="003C3076"/>
    <w:rsid w:val="003C3419"/>
    <w:rsid w:val="003C44DF"/>
    <w:rsid w:val="003C492D"/>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223A"/>
    <w:rsid w:val="003E2320"/>
    <w:rsid w:val="003E27A6"/>
    <w:rsid w:val="003E2AA0"/>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3E5"/>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3F88"/>
    <w:rsid w:val="00454A63"/>
    <w:rsid w:val="00455E90"/>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678"/>
    <w:rsid w:val="00470AEF"/>
    <w:rsid w:val="004723CD"/>
    <w:rsid w:val="00472755"/>
    <w:rsid w:val="00473631"/>
    <w:rsid w:val="004738C4"/>
    <w:rsid w:val="00475B64"/>
    <w:rsid w:val="00476581"/>
    <w:rsid w:val="0047727E"/>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D4F"/>
    <w:rsid w:val="00490E39"/>
    <w:rsid w:val="00490FC6"/>
    <w:rsid w:val="004918A6"/>
    <w:rsid w:val="004920EA"/>
    <w:rsid w:val="00494600"/>
    <w:rsid w:val="00494C4C"/>
    <w:rsid w:val="00494EED"/>
    <w:rsid w:val="00495039"/>
    <w:rsid w:val="00495EA4"/>
    <w:rsid w:val="004962EF"/>
    <w:rsid w:val="00496351"/>
    <w:rsid w:val="0049666D"/>
    <w:rsid w:val="00497810"/>
    <w:rsid w:val="00497D76"/>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6D7"/>
    <w:rsid w:val="004F38BF"/>
    <w:rsid w:val="004F3C38"/>
    <w:rsid w:val="004F41A4"/>
    <w:rsid w:val="004F4B63"/>
    <w:rsid w:val="004F4CBF"/>
    <w:rsid w:val="004F4DA3"/>
    <w:rsid w:val="004F506B"/>
    <w:rsid w:val="004F55F7"/>
    <w:rsid w:val="004F5E10"/>
    <w:rsid w:val="004F6152"/>
    <w:rsid w:val="004F657D"/>
    <w:rsid w:val="004F73EA"/>
    <w:rsid w:val="004F768F"/>
    <w:rsid w:val="004F76FA"/>
    <w:rsid w:val="005004D8"/>
    <w:rsid w:val="005011F7"/>
    <w:rsid w:val="005015B4"/>
    <w:rsid w:val="00501DA3"/>
    <w:rsid w:val="005022C8"/>
    <w:rsid w:val="00502323"/>
    <w:rsid w:val="005023A2"/>
    <w:rsid w:val="005028FD"/>
    <w:rsid w:val="00502FC1"/>
    <w:rsid w:val="0050363D"/>
    <w:rsid w:val="00504854"/>
    <w:rsid w:val="00504906"/>
    <w:rsid w:val="00505067"/>
    <w:rsid w:val="00506869"/>
    <w:rsid w:val="005071CE"/>
    <w:rsid w:val="00507357"/>
    <w:rsid w:val="00510025"/>
    <w:rsid w:val="00510058"/>
    <w:rsid w:val="00510BCA"/>
    <w:rsid w:val="005110C4"/>
    <w:rsid w:val="00511783"/>
    <w:rsid w:val="00511F28"/>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2C7"/>
    <w:rsid w:val="00527D1F"/>
    <w:rsid w:val="00530589"/>
    <w:rsid w:val="00530D13"/>
    <w:rsid w:val="0053156A"/>
    <w:rsid w:val="005315FD"/>
    <w:rsid w:val="00531AA8"/>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1D6A"/>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4EF"/>
    <w:rsid w:val="00551882"/>
    <w:rsid w:val="005518C3"/>
    <w:rsid w:val="00551B6C"/>
    <w:rsid w:val="00551C03"/>
    <w:rsid w:val="00551C79"/>
    <w:rsid w:val="00552A54"/>
    <w:rsid w:val="0055350C"/>
    <w:rsid w:val="005549B2"/>
    <w:rsid w:val="00555506"/>
    <w:rsid w:val="005556F8"/>
    <w:rsid w:val="00555748"/>
    <w:rsid w:val="005558D8"/>
    <w:rsid w:val="00555BDD"/>
    <w:rsid w:val="00556B69"/>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1D1"/>
    <w:rsid w:val="00580DD2"/>
    <w:rsid w:val="00580E4D"/>
    <w:rsid w:val="005815EF"/>
    <w:rsid w:val="00581D77"/>
    <w:rsid w:val="005825D2"/>
    <w:rsid w:val="005829CD"/>
    <w:rsid w:val="005838A4"/>
    <w:rsid w:val="00583B21"/>
    <w:rsid w:val="005843FF"/>
    <w:rsid w:val="00584B64"/>
    <w:rsid w:val="00584F4F"/>
    <w:rsid w:val="005850FF"/>
    <w:rsid w:val="00585DE9"/>
    <w:rsid w:val="00587697"/>
    <w:rsid w:val="00587DBE"/>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4F1"/>
    <w:rsid w:val="005B396B"/>
    <w:rsid w:val="005B396F"/>
    <w:rsid w:val="005B4156"/>
    <w:rsid w:val="005B44C7"/>
    <w:rsid w:val="005B4768"/>
    <w:rsid w:val="005B4F87"/>
    <w:rsid w:val="005B553F"/>
    <w:rsid w:val="005B6528"/>
    <w:rsid w:val="005B7B50"/>
    <w:rsid w:val="005C033A"/>
    <w:rsid w:val="005C066C"/>
    <w:rsid w:val="005C0760"/>
    <w:rsid w:val="005C2069"/>
    <w:rsid w:val="005C2324"/>
    <w:rsid w:val="005C2947"/>
    <w:rsid w:val="005C2A8B"/>
    <w:rsid w:val="005C39DE"/>
    <w:rsid w:val="005C3E37"/>
    <w:rsid w:val="005C3FCB"/>
    <w:rsid w:val="005C410F"/>
    <w:rsid w:val="005C54C3"/>
    <w:rsid w:val="005C61DB"/>
    <w:rsid w:val="005C7169"/>
    <w:rsid w:val="005C7F1C"/>
    <w:rsid w:val="005D082A"/>
    <w:rsid w:val="005D0D09"/>
    <w:rsid w:val="005D186A"/>
    <w:rsid w:val="005D19BD"/>
    <w:rsid w:val="005D1CB8"/>
    <w:rsid w:val="005D1D53"/>
    <w:rsid w:val="005D20BE"/>
    <w:rsid w:val="005D432C"/>
    <w:rsid w:val="005D4748"/>
    <w:rsid w:val="005D495D"/>
    <w:rsid w:val="005D5BCC"/>
    <w:rsid w:val="005D5EFF"/>
    <w:rsid w:val="005D6D52"/>
    <w:rsid w:val="005D7750"/>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2C0B"/>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225"/>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08ED"/>
    <w:rsid w:val="00681363"/>
    <w:rsid w:val="006830D0"/>
    <w:rsid w:val="006831EF"/>
    <w:rsid w:val="006833D2"/>
    <w:rsid w:val="0068361F"/>
    <w:rsid w:val="0068464B"/>
    <w:rsid w:val="006846A1"/>
    <w:rsid w:val="006859A1"/>
    <w:rsid w:val="006863FE"/>
    <w:rsid w:val="00686F7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2124"/>
    <w:rsid w:val="006C216A"/>
    <w:rsid w:val="006C2ADA"/>
    <w:rsid w:val="006C2DBA"/>
    <w:rsid w:val="006C2DE6"/>
    <w:rsid w:val="006C3A85"/>
    <w:rsid w:val="006C3FBA"/>
    <w:rsid w:val="006C4331"/>
    <w:rsid w:val="006C550B"/>
    <w:rsid w:val="006C5C86"/>
    <w:rsid w:val="006C6187"/>
    <w:rsid w:val="006C699B"/>
    <w:rsid w:val="006C6F72"/>
    <w:rsid w:val="006C7749"/>
    <w:rsid w:val="006D0112"/>
    <w:rsid w:val="006D032F"/>
    <w:rsid w:val="006D151A"/>
    <w:rsid w:val="006D1985"/>
    <w:rsid w:val="006D1C81"/>
    <w:rsid w:val="006D1DE0"/>
    <w:rsid w:val="006D259C"/>
    <w:rsid w:val="006D290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A11"/>
    <w:rsid w:val="006E6E56"/>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782"/>
    <w:rsid w:val="00702CB8"/>
    <w:rsid w:val="0070379B"/>
    <w:rsid w:val="007042E7"/>
    <w:rsid w:val="00704886"/>
    <w:rsid w:val="00705477"/>
    <w:rsid w:val="00705DEB"/>
    <w:rsid w:val="00705E60"/>
    <w:rsid w:val="007065DB"/>
    <w:rsid w:val="00707026"/>
    <w:rsid w:val="0070770C"/>
    <w:rsid w:val="00707DB2"/>
    <w:rsid w:val="007107F2"/>
    <w:rsid w:val="00710E8F"/>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AD3"/>
    <w:rsid w:val="00720E02"/>
    <w:rsid w:val="007211A9"/>
    <w:rsid w:val="00722184"/>
    <w:rsid w:val="00722447"/>
    <w:rsid w:val="00722DCB"/>
    <w:rsid w:val="007242BC"/>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B94"/>
    <w:rsid w:val="00734DE6"/>
    <w:rsid w:val="00735574"/>
    <w:rsid w:val="0073586F"/>
    <w:rsid w:val="007359F5"/>
    <w:rsid w:val="0073674F"/>
    <w:rsid w:val="00736FC5"/>
    <w:rsid w:val="0073707E"/>
    <w:rsid w:val="007374B0"/>
    <w:rsid w:val="0073772C"/>
    <w:rsid w:val="00737876"/>
    <w:rsid w:val="00737A76"/>
    <w:rsid w:val="00737BF1"/>
    <w:rsid w:val="00740040"/>
    <w:rsid w:val="00740398"/>
    <w:rsid w:val="0074040B"/>
    <w:rsid w:val="00740DD0"/>
    <w:rsid w:val="007413C2"/>
    <w:rsid w:val="0074191F"/>
    <w:rsid w:val="00741B99"/>
    <w:rsid w:val="0074230D"/>
    <w:rsid w:val="007435CA"/>
    <w:rsid w:val="00743D18"/>
    <w:rsid w:val="007442EB"/>
    <w:rsid w:val="007444CA"/>
    <w:rsid w:val="00746488"/>
    <w:rsid w:val="00746B93"/>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8FE"/>
    <w:rsid w:val="00772BEC"/>
    <w:rsid w:val="00772F5C"/>
    <w:rsid w:val="0077339B"/>
    <w:rsid w:val="007736C4"/>
    <w:rsid w:val="00773B73"/>
    <w:rsid w:val="00774BF3"/>
    <w:rsid w:val="00775A74"/>
    <w:rsid w:val="00776E2D"/>
    <w:rsid w:val="0077776D"/>
    <w:rsid w:val="0077793A"/>
    <w:rsid w:val="00777A59"/>
    <w:rsid w:val="00777F1A"/>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2BA"/>
    <w:rsid w:val="007A3668"/>
    <w:rsid w:val="007A38B8"/>
    <w:rsid w:val="007A3D8D"/>
    <w:rsid w:val="007A3E2D"/>
    <w:rsid w:val="007A4384"/>
    <w:rsid w:val="007A4699"/>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515A"/>
    <w:rsid w:val="007D5C82"/>
    <w:rsid w:val="007D629A"/>
    <w:rsid w:val="007D63F1"/>
    <w:rsid w:val="007D66B9"/>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2F0"/>
    <w:rsid w:val="007E6459"/>
    <w:rsid w:val="007E6AC9"/>
    <w:rsid w:val="007E6B60"/>
    <w:rsid w:val="007E6E79"/>
    <w:rsid w:val="007E7693"/>
    <w:rsid w:val="007E7D0D"/>
    <w:rsid w:val="007E7F3F"/>
    <w:rsid w:val="007F0338"/>
    <w:rsid w:val="007F0AA6"/>
    <w:rsid w:val="007F0C1D"/>
    <w:rsid w:val="007F1434"/>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5BD"/>
    <w:rsid w:val="00804A04"/>
    <w:rsid w:val="00804D45"/>
    <w:rsid w:val="00804FDA"/>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ED3"/>
    <w:rsid w:val="00840E17"/>
    <w:rsid w:val="008410A0"/>
    <w:rsid w:val="00841778"/>
    <w:rsid w:val="00841BEC"/>
    <w:rsid w:val="00842022"/>
    <w:rsid w:val="0084250A"/>
    <w:rsid w:val="00842E6E"/>
    <w:rsid w:val="0084330E"/>
    <w:rsid w:val="0084372E"/>
    <w:rsid w:val="008438B8"/>
    <w:rsid w:val="00843A07"/>
    <w:rsid w:val="00843A53"/>
    <w:rsid w:val="0084496A"/>
    <w:rsid w:val="00845724"/>
    <w:rsid w:val="008458A6"/>
    <w:rsid w:val="00845AB7"/>
    <w:rsid w:val="008472C8"/>
    <w:rsid w:val="0085019F"/>
    <w:rsid w:val="00850250"/>
    <w:rsid w:val="0085065A"/>
    <w:rsid w:val="008514D3"/>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1339"/>
    <w:rsid w:val="008622C9"/>
    <w:rsid w:val="008646C4"/>
    <w:rsid w:val="008647D7"/>
    <w:rsid w:val="0086538F"/>
    <w:rsid w:val="008656CB"/>
    <w:rsid w:val="0086577B"/>
    <w:rsid w:val="00866267"/>
    <w:rsid w:val="00866279"/>
    <w:rsid w:val="008666D1"/>
    <w:rsid w:val="008666D8"/>
    <w:rsid w:val="00866D52"/>
    <w:rsid w:val="008676D0"/>
    <w:rsid w:val="008708D6"/>
    <w:rsid w:val="00870ACC"/>
    <w:rsid w:val="00870D88"/>
    <w:rsid w:val="008716E9"/>
    <w:rsid w:val="00872579"/>
    <w:rsid w:val="00873E0F"/>
    <w:rsid w:val="00874AF2"/>
    <w:rsid w:val="008756B9"/>
    <w:rsid w:val="0087571E"/>
    <w:rsid w:val="00875C2E"/>
    <w:rsid w:val="00875E99"/>
    <w:rsid w:val="00876A96"/>
    <w:rsid w:val="00877B1F"/>
    <w:rsid w:val="00877C7A"/>
    <w:rsid w:val="0088093C"/>
    <w:rsid w:val="00880977"/>
    <w:rsid w:val="00880C71"/>
    <w:rsid w:val="00881F16"/>
    <w:rsid w:val="00881F98"/>
    <w:rsid w:val="00882CA0"/>
    <w:rsid w:val="00882FB3"/>
    <w:rsid w:val="00882FBE"/>
    <w:rsid w:val="0088324F"/>
    <w:rsid w:val="00883904"/>
    <w:rsid w:val="0088496F"/>
    <w:rsid w:val="008856E7"/>
    <w:rsid w:val="008856E8"/>
    <w:rsid w:val="008860F3"/>
    <w:rsid w:val="00886677"/>
    <w:rsid w:val="00887246"/>
    <w:rsid w:val="00887449"/>
    <w:rsid w:val="00887648"/>
    <w:rsid w:val="008878DA"/>
    <w:rsid w:val="00887D8B"/>
    <w:rsid w:val="008903C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32F8"/>
    <w:rsid w:val="008A355C"/>
    <w:rsid w:val="008A397F"/>
    <w:rsid w:val="008A4A96"/>
    <w:rsid w:val="008A5CB5"/>
    <w:rsid w:val="008A6521"/>
    <w:rsid w:val="008A6ACE"/>
    <w:rsid w:val="008A6F42"/>
    <w:rsid w:val="008B014F"/>
    <w:rsid w:val="008B0BA9"/>
    <w:rsid w:val="008B0D0A"/>
    <w:rsid w:val="008B0F87"/>
    <w:rsid w:val="008B0FD7"/>
    <w:rsid w:val="008B12B3"/>
    <w:rsid w:val="008B162C"/>
    <w:rsid w:val="008B1ADB"/>
    <w:rsid w:val="008B1C4C"/>
    <w:rsid w:val="008B1C8A"/>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40C"/>
    <w:rsid w:val="008D0E2B"/>
    <w:rsid w:val="008D12E8"/>
    <w:rsid w:val="008D1C1D"/>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693"/>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6A98"/>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397C"/>
    <w:rsid w:val="00953EEB"/>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5854"/>
    <w:rsid w:val="0096595B"/>
    <w:rsid w:val="009660AE"/>
    <w:rsid w:val="00966710"/>
    <w:rsid w:val="009671BC"/>
    <w:rsid w:val="00970323"/>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5F56"/>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4CF2"/>
    <w:rsid w:val="009A5647"/>
    <w:rsid w:val="009A56CE"/>
    <w:rsid w:val="009A5877"/>
    <w:rsid w:val="009A667B"/>
    <w:rsid w:val="009A6691"/>
    <w:rsid w:val="009A6B47"/>
    <w:rsid w:val="009B05F4"/>
    <w:rsid w:val="009B2BA0"/>
    <w:rsid w:val="009B2C8E"/>
    <w:rsid w:val="009B34B5"/>
    <w:rsid w:val="009B38E8"/>
    <w:rsid w:val="009B3FA2"/>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D033F"/>
    <w:rsid w:val="009D0394"/>
    <w:rsid w:val="009D14D0"/>
    <w:rsid w:val="009D188D"/>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6B1"/>
    <w:rsid w:val="009E7703"/>
    <w:rsid w:val="009E786F"/>
    <w:rsid w:val="009E7871"/>
    <w:rsid w:val="009E7A7F"/>
    <w:rsid w:val="009E7B6E"/>
    <w:rsid w:val="009F021E"/>
    <w:rsid w:val="009F0493"/>
    <w:rsid w:val="009F13EF"/>
    <w:rsid w:val="009F156D"/>
    <w:rsid w:val="009F25B5"/>
    <w:rsid w:val="009F26B9"/>
    <w:rsid w:val="009F3B02"/>
    <w:rsid w:val="009F415C"/>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2D22"/>
    <w:rsid w:val="00A033BD"/>
    <w:rsid w:val="00A040E2"/>
    <w:rsid w:val="00A048D0"/>
    <w:rsid w:val="00A054ED"/>
    <w:rsid w:val="00A0635A"/>
    <w:rsid w:val="00A06939"/>
    <w:rsid w:val="00A06EE5"/>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413"/>
    <w:rsid w:val="00A22B3A"/>
    <w:rsid w:val="00A232E0"/>
    <w:rsid w:val="00A24683"/>
    <w:rsid w:val="00A24AA4"/>
    <w:rsid w:val="00A24D8E"/>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92D"/>
    <w:rsid w:val="00A36A94"/>
    <w:rsid w:val="00A37CBE"/>
    <w:rsid w:val="00A4048E"/>
    <w:rsid w:val="00A40575"/>
    <w:rsid w:val="00A40DEC"/>
    <w:rsid w:val="00A425AE"/>
    <w:rsid w:val="00A4265C"/>
    <w:rsid w:val="00A42D4E"/>
    <w:rsid w:val="00A43511"/>
    <w:rsid w:val="00A44221"/>
    <w:rsid w:val="00A44A41"/>
    <w:rsid w:val="00A45CAE"/>
    <w:rsid w:val="00A46158"/>
    <w:rsid w:val="00A46207"/>
    <w:rsid w:val="00A46449"/>
    <w:rsid w:val="00A46815"/>
    <w:rsid w:val="00A4716B"/>
    <w:rsid w:val="00A47481"/>
    <w:rsid w:val="00A503EC"/>
    <w:rsid w:val="00A50D47"/>
    <w:rsid w:val="00A50F32"/>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2EC"/>
    <w:rsid w:val="00A70BB3"/>
    <w:rsid w:val="00A70D43"/>
    <w:rsid w:val="00A710AA"/>
    <w:rsid w:val="00A712AC"/>
    <w:rsid w:val="00A718E5"/>
    <w:rsid w:val="00A71AFE"/>
    <w:rsid w:val="00A71F9F"/>
    <w:rsid w:val="00A726EC"/>
    <w:rsid w:val="00A73404"/>
    <w:rsid w:val="00A734B9"/>
    <w:rsid w:val="00A73A70"/>
    <w:rsid w:val="00A74053"/>
    <w:rsid w:val="00A74410"/>
    <w:rsid w:val="00A7483C"/>
    <w:rsid w:val="00A755D3"/>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476"/>
    <w:rsid w:val="00AA5600"/>
    <w:rsid w:val="00AA581D"/>
    <w:rsid w:val="00AA6CFD"/>
    <w:rsid w:val="00AA74EE"/>
    <w:rsid w:val="00AB0264"/>
    <w:rsid w:val="00AB18C0"/>
    <w:rsid w:val="00AB30F5"/>
    <w:rsid w:val="00AB36CF"/>
    <w:rsid w:val="00AB4F14"/>
    <w:rsid w:val="00AB5229"/>
    <w:rsid w:val="00AB5D12"/>
    <w:rsid w:val="00AB6103"/>
    <w:rsid w:val="00AB6283"/>
    <w:rsid w:val="00AB71E2"/>
    <w:rsid w:val="00AB7794"/>
    <w:rsid w:val="00AB7EDB"/>
    <w:rsid w:val="00AC03B4"/>
    <w:rsid w:val="00AC0617"/>
    <w:rsid w:val="00AC0752"/>
    <w:rsid w:val="00AC0DEA"/>
    <w:rsid w:val="00AC1347"/>
    <w:rsid w:val="00AC173A"/>
    <w:rsid w:val="00AC19D0"/>
    <w:rsid w:val="00AC1EC3"/>
    <w:rsid w:val="00AC258F"/>
    <w:rsid w:val="00AC27D4"/>
    <w:rsid w:val="00AC33D2"/>
    <w:rsid w:val="00AC3A73"/>
    <w:rsid w:val="00AC3B87"/>
    <w:rsid w:val="00AC3EB5"/>
    <w:rsid w:val="00AC4BD6"/>
    <w:rsid w:val="00AC4E74"/>
    <w:rsid w:val="00AC51B8"/>
    <w:rsid w:val="00AC5425"/>
    <w:rsid w:val="00AC555A"/>
    <w:rsid w:val="00AC564B"/>
    <w:rsid w:val="00AC5C5B"/>
    <w:rsid w:val="00AC639A"/>
    <w:rsid w:val="00AC74CF"/>
    <w:rsid w:val="00AD0A2E"/>
    <w:rsid w:val="00AD1979"/>
    <w:rsid w:val="00AD21E5"/>
    <w:rsid w:val="00AD2728"/>
    <w:rsid w:val="00AD28BB"/>
    <w:rsid w:val="00AD32C0"/>
    <w:rsid w:val="00AD3A2D"/>
    <w:rsid w:val="00AD4824"/>
    <w:rsid w:val="00AD498B"/>
    <w:rsid w:val="00AD5B9B"/>
    <w:rsid w:val="00AD6414"/>
    <w:rsid w:val="00AD7983"/>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5D8E"/>
    <w:rsid w:val="00AE6237"/>
    <w:rsid w:val="00AE6468"/>
    <w:rsid w:val="00AE679C"/>
    <w:rsid w:val="00AE68A5"/>
    <w:rsid w:val="00AE6BE7"/>
    <w:rsid w:val="00AE6D46"/>
    <w:rsid w:val="00AE785F"/>
    <w:rsid w:val="00AE7D6F"/>
    <w:rsid w:val="00AE7FD3"/>
    <w:rsid w:val="00AF020C"/>
    <w:rsid w:val="00AF0815"/>
    <w:rsid w:val="00AF0869"/>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5DF"/>
    <w:rsid w:val="00B1342F"/>
    <w:rsid w:val="00B13B69"/>
    <w:rsid w:val="00B15953"/>
    <w:rsid w:val="00B1607A"/>
    <w:rsid w:val="00B161D0"/>
    <w:rsid w:val="00B164CC"/>
    <w:rsid w:val="00B1654C"/>
    <w:rsid w:val="00B16F5B"/>
    <w:rsid w:val="00B17CCD"/>
    <w:rsid w:val="00B17E30"/>
    <w:rsid w:val="00B2045A"/>
    <w:rsid w:val="00B20795"/>
    <w:rsid w:val="00B2080A"/>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379B3"/>
    <w:rsid w:val="00B40C8B"/>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FDD"/>
    <w:rsid w:val="00B833F1"/>
    <w:rsid w:val="00B83662"/>
    <w:rsid w:val="00B83851"/>
    <w:rsid w:val="00B83CF7"/>
    <w:rsid w:val="00B83E2B"/>
    <w:rsid w:val="00B84CD0"/>
    <w:rsid w:val="00B84D27"/>
    <w:rsid w:val="00B850F1"/>
    <w:rsid w:val="00B8585A"/>
    <w:rsid w:val="00B86519"/>
    <w:rsid w:val="00B8655C"/>
    <w:rsid w:val="00B9125A"/>
    <w:rsid w:val="00B91A64"/>
    <w:rsid w:val="00B91AC1"/>
    <w:rsid w:val="00B92578"/>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D0E"/>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D17"/>
    <w:rsid w:val="00BC0FCC"/>
    <w:rsid w:val="00BC16B1"/>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0C9C"/>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714A"/>
    <w:rsid w:val="00C17ED7"/>
    <w:rsid w:val="00C2132B"/>
    <w:rsid w:val="00C2193A"/>
    <w:rsid w:val="00C21F19"/>
    <w:rsid w:val="00C21F32"/>
    <w:rsid w:val="00C229ED"/>
    <w:rsid w:val="00C230F9"/>
    <w:rsid w:val="00C233B8"/>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53E"/>
    <w:rsid w:val="00C46DCD"/>
    <w:rsid w:val="00C475EA"/>
    <w:rsid w:val="00C47EBA"/>
    <w:rsid w:val="00C50009"/>
    <w:rsid w:val="00C5015F"/>
    <w:rsid w:val="00C50C30"/>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4CC4"/>
    <w:rsid w:val="00C84E49"/>
    <w:rsid w:val="00C85770"/>
    <w:rsid w:val="00C858AB"/>
    <w:rsid w:val="00C85975"/>
    <w:rsid w:val="00C8662D"/>
    <w:rsid w:val="00C9018E"/>
    <w:rsid w:val="00C90612"/>
    <w:rsid w:val="00C90AC6"/>
    <w:rsid w:val="00C90DFA"/>
    <w:rsid w:val="00C9159E"/>
    <w:rsid w:val="00C92A5B"/>
    <w:rsid w:val="00C92B71"/>
    <w:rsid w:val="00C92BFC"/>
    <w:rsid w:val="00C9319C"/>
    <w:rsid w:val="00C9321D"/>
    <w:rsid w:val="00C94B30"/>
    <w:rsid w:val="00C94C9D"/>
    <w:rsid w:val="00C94F20"/>
    <w:rsid w:val="00C95486"/>
    <w:rsid w:val="00C955D0"/>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454B"/>
    <w:rsid w:val="00CA58A2"/>
    <w:rsid w:val="00CA58E8"/>
    <w:rsid w:val="00CA5A2E"/>
    <w:rsid w:val="00CA6B04"/>
    <w:rsid w:val="00CA6BF1"/>
    <w:rsid w:val="00CA7C44"/>
    <w:rsid w:val="00CA7E4F"/>
    <w:rsid w:val="00CB187E"/>
    <w:rsid w:val="00CB1D85"/>
    <w:rsid w:val="00CB2316"/>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071"/>
    <w:rsid w:val="00CE2177"/>
    <w:rsid w:val="00CE2620"/>
    <w:rsid w:val="00CE2B3D"/>
    <w:rsid w:val="00CE3C8B"/>
    <w:rsid w:val="00CE4500"/>
    <w:rsid w:val="00CE4F28"/>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039C"/>
    <w:rsid w:val="00D01241"/>
    <w:rsid w:val="00D012D7"/>
    <w:rsid w:val="00D021DA"/>
    <w:rsid w:val="00D02CE4"/>
    <w:rsid w:val="00D03E65"/>
    <w:rsid w:val="00D04B91"/>
    <w:rsid w:val="00D051DE"/>
    <w:rsid w:val="00D053BF"/>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2D7"/>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94A"/>
    <w:rsid w:val="00D744CF"/>
    <w:rsid w:val="00D747F6"/>
    <w:rsid w:val="00D74881"/>
    <w:rsid w:val="00D74CEB"/>
    <w:rsid w:val="00D75BD8"/>
    <w:rsid w:val="00D75C80"/>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739B"/>
    <w:rsid w:val="00DB7D5C"/>
    <w:rsid w:val="00DB7FAD"/>
    <w:rsid w:val="00DC0CCE"/>
    <w:rsid w:val="00DC1231"/>
    <w:rsid w:val="00DC23B9"/>
    <w:rsid w:val="00DC23DC"/>
    <w:rsid w:val="00DC2795"/>
    <w:rsid w:val="00DC2B7F"/>
    <w:rsid w:val="00DC3831"/>
    <w:rsid w:val="00DC57E4"/>
    <w:rsid w:val="00DC6614"/>
    <w:rsid w:val="00DC67C8"/>
    <w:rsid w:val="00DC7013"/>
    <w:rsid w:val="00DC75B5"/>
    <w:rsid w:val="00DC7687"/>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3CEB"/>
    <w:rsid w:val="00DE507E"/>
    <w:rsid w:val="00DE631F"/>
    <w:rsid w:val="00DE706A"/>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C12"/>
    <w:rsid w:val="00E04C97"/>
    <w:rsid w:val="00E05479"/>
    <w:rsid w:val="00E062F7"/>
    <w:rsid w:val="00E07780"/>
    <w:rsid w:val="00E07A86"/>
    <w:rsid w:val="00E07E9C"/>
    <w:rsid w:val="00E109D2"/>
    <w:rsid w:val="00E11636"/>
    <w:rsid w:val="00E1242A"/>
    <w:rsid w:val="00E12934"/>
    <w:rsid w:val="00E13163"/>
    <w:rsid w:val="00E1392C"/>
    <w:rsid w:val="00E13CF9"/>
    <w:rsid w:val="00E14015"/>
    <w:rsid w:val="00E14873"/>
    <w:rsid w:val="00E148D8"/>
    <w:rsid w:val="00E149A4"/>
    <w:rsid w:val="00E14A09"/>
    <w:rsid w:val="00E14BD4"/>
    <w:rsid w:val="00E154A3"/>
    <w:rsid w:val="00E16EA5"/>
    <w:rsid w:val="00E1730E"/>
    <w:rsid w:val="00E17A68"/>
    <w:rsid w:val="00E206B9"/>
    <w:rsid w:val="00E20F2A"/>
    <w:rsid w:val="00E2111D"/>
    <w:rsid w:val="00E217D7"/>
    <w:rsid w:val="00E21BED"/>
    <w:rsid w:val="00E22420"/>
    <w:rsid w:val="00E22F4A"/>
    <w:rsid w:val="00E23197"/>
    <w:rsid w:val="00E235E2"/>
    <w:rsid w:val="00E241BE"/>
    <w:rsid w:val="00E24A3E"/>
    <w:rsid w:val="00E2633D"/>
    <w:rsid w:val="00E26F96"/>
    <w:rsid w:val="00E27463"/>
    <w:rsid w:val="00E30301"/>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E17"/>
    <w:rsid w:val="00E43EE6"/>
    <w:rsid w:val="00E4455A"/>
    <w:rsid w:val="00E45C02"/>
    <w:rsid w:val="00E470C4"/>
    <w:rsid w:val="00E472D9"/>
    <w:rsid w:val="00E4757A"/>
    <w:rsid w:val="00E47B77"/>
    <w:rsid w:val="00E47BFA"/>
    <w:rsid w:val="00E47EAE"/>
    <w:rsid w:val="00E5097E"/>
    <w:rsid w:val="00E51CF6"/>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6612"/>
    <w:rsid w:val="00E6740D"/>
    <w:rsid w:val="00E67BB9"/>
    <w:rsid w:val="00E7241C"/>
    <w:rsid w:val="00E73359"/>
    <w:rsid w:val="00E74338"/>
    <w:rsid w:val="00E74826"/>
    <w:rsid w:val="00E74F75"/>
    <w:rsid w:val="00E75098"/>
    <w:rsid w:val="00E75507"/>
    <w:rsid w:val="00E76FC3"/>
    <w:rsid w:val="00E77E2C"/>
    <w:rsid w:val="00E80485"/>
    <w:rsid w:val="00E81D81"/>
    <w:rsid w:val="00E82007"/>
    <w:rsid w:val="00E82056"/>
    <w:rsid w:val="00E820C0"/>
    <w:rsid w:val="00E82181"/>
    <w:rsid w:val="00E83030"/>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4F81"/>
    <w:rsid w:val="00EA502B"/>
    <w:rsid w:val="00EA50DB"/>
    <w:rsid w:val="00EA5310"/>
    <w:rsid w:val="00EA5765"/>
    <w:rsid w:val="00EA5AAA"/>
    <w:rsid w:val="00EA604F"/>
    <w:rsid w:val="00EA71CF"/>
    <w:rsid w:val="00EA7601"/>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AC8"/>
    <w:rsid w:val="00EE0C63"/>
    <w:rsid w:val="00EE1123"/>
    <w:rsid w:val="00EE1145"/>
    <w:rsid w:val="00EE16B7"/>
    <w:rsid w:val="00EE2914"/>
    <w:rsid w:val="00EE2E3D"/>
    <w:rsid w:val="00EE3180"/>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5101"/>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AB5"/>
    <w:rsid w:val="00F27D2A"/>
    <w:rsid w:val="00F3131F"/>
    <w:rsid w:val="00F31D03"/>
    <w:rsid w:val="00F32358"/>
    <w:rsid w:val="00F3262C"/>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88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288"/>
    <w:rsid w:val="00F56DB8"/>
    <w:rsid w:val="00F57226"/>
    <w:rsid w:val="00F6196D"/>
    <w:rsid w:val="00F619DF"/>
    <w:rsid w:val="00F61E3E"/>
    <w:rsid w:val="00F627D2"/>
    <w:rsid w:val="00F629E8"/>
    <w:rsid w:val="00F6334C"/>
    <w:rsid w:val="00F63C91"/>
    <w:rsid w:val="00F66169"/>
    <w:rsid w:val="00F66436"/>
    <w:rsid w:val="00F671DF"/>
    <w:rsid w:val="00F67872"/>
    <w:rsid w:val="00F710D3"/>
    <w:rsid w:val="00F71C26"/>
    <w:rsid w:val="00F72CB7"/>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82E"/>
    <w:rsid w:val="00FA6ABD"/>
    <w:rsid w:val="00FA6AEA"/>
    <w:rsid w:val="00FA7052"/>
    <w:rsid w:val="00FB0931"/>
    <w:rsid w:val="00FB17AB"/>
    <w:rsid w:val="00FB1C33"/>
    <w:rsid w:val="00FB1FF6"/>
    <w:rsid w:val="00FB2254"/>
    <w:rsid w:val="00FB23D8"/>
    <w:rsid w:val="00FB367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F4"/>
    <w:rsid w:val="00FE5593"/>
    <w:rsid w:val="00FE55CF"/>
    <w:rsid w:val="00FE5F32"/>
    <w:rsid w:val="00FE6579"/>
    <w:rsid w:val="00FE69B3"/>
    <w:rsid w:val="00FE6B5D"/>
    <w:rsid w:val="00FE7466"/>
    <w:rsid w:val="00FE7BF6"/>
    <w:rsid w:val="00FF0069"/>
    <w:rsid w:val="00FF06E9"/>
    <w:rsid w:val="00FF0B77"/>
    <w:rsid w:val="00FF0C00"/>
    <w:rsid w:val="00FF1B67"/>
    <w:rsid w:val="00FF2320"/>
    <w:rsid w:val="00FF3ADC"/>
    <w:rsid w:val="00FF3F57"/>
    <w:rsid w:val="00FF6CA5"/>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4D5B"/>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2A38BC"/>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29582117">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0880581">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44732624">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26684919">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798642399">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10191454">
      <w:bodyDiv w:val="1"/>
      <w:marLeft w:val="0"/>
      <w:marRight w:val="0"/>
      <w:marTop w:val="0"/>
      <w:marBottom w:val="0"/>
      <w:divBdr>
        <w:top w:val="none" w:sz="0" w:space="0" w:color="auto"/>
        <w:left w:val="none" w:sz="0" w:space="0" w:color="auto"/>
        <w:bottom w:val="none" w:sz="0" w:space="0" w:color="auto"/>
        <w:right w:val="none" w:sz="0" w:space="0" w:color="auto"/>
      </w:divBdr>
    </w:div>
    <w:div w:id="939144312">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368037">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5886823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88581108">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665311">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44825166">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69862340">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3184825">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36391777">
      <w:bodyDiv w:val="1"/>
      <w:marLeft w:val="0"/>
      <w:marRight w:val="0"/>
      <w:marTop w:val="0"/>
      <w:marBottom w:val="0"/>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026163">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56979490">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4372407">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37059177">
      <w:bodyDiv w:val="1"/>
      <w:marLeft w:val="0"/>
      <w:marRight w:val="0"/>
      <w:marTop w:val="0"/>
      <w:marBottom w:val="0"/>
      <w:divBdr>
        <w:top w:val="none" w:sz="0" w:space="0" w:color="auto"/>
        <w:left w:val="none" w:sz="0" w:space="0" w:color="auto"/>
        <w:bottom w:val="none" w:sz="0" w:space="0" w:color="auto"/>
        <w:right w:val="none" w:sz="0" w:space="0" w:color="auto"/>
      </w:divBdr>
    </w:div>
    <w:div w:id="1949114892">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Word_Document1.docx"/><Relationship Id="rId26"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Word_Document3.doc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Word_Document4.docx"/><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header" Target="header5.xml"/><Relationship Id="rId8"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C6F3-A20C-4213-81BE-B18C0594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TotalTime>
  <Pages>10</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20130</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83</cp:revision>
  <cp:lastPrinted>2017-10-19T12:45:00Z</cp:lastPrinted>
  <dcterms:created xsi:type="dcterms:W3CDTF">2020-03-10T10:27:00Z</dcterms:created>
  <dcterms:modified xsi:type="dcterms:W3CDTF">2020-05-08T09:27:00Z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