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bookmarkStart w:id="0" w:name="_GoBack"/>
      <w:bookmarkEnd w:id="0"/>
      <w:r>
        <w:rPr>
          <w:noProof/>
          <w:lang w:val="en-GB" w:eastAsia="en-GB"/>
        </w:rPr>
        <w:drawing>
          <wp:anchor distT="0" distB="0" distL="114300" distR="114300" simplePos="0" relativeHeight="251659264" behindDoc="0" locked="0" layoutInCell="1" allowOverlap="1" wp14:anchorId="35E63BA2" wp14:editId="5C8A820D">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B55CCB" w:rsidP="00C50CA2">
      <w:pPr>
        <w:pStyle w:val="Header"/>
        <w:rPr>
          <w:lang w:val="en-GB"/>
        </w:rPr>
      </w:pPr>
      <w:r>
        <w:rPr>
          <w:lang w:val="en-GB"/>
        </w:rPr>
        <w:t xml:space="preserve">Minutes of </w:t>
      </w:r>
      <w:r w:rsidR="00F35560">
        <w:rPr>
          <w:lang w:val="en-GB"/>
        </w:rPr>
        <w:t>Dublin</w:t>
      </w:r>
      <w:r>
        <w:rPr>
          <w:lang w:val="en-GB"/>
        </w:rPr>
        <w:t xml:space="preserve"> Meeting</w:t>
      </w:r>
    </w:p>
    <w:p w:rsidR="00AB6103" w:rsidRPr="00C10F02" w:rsidRDefault="00B55CCB" w:rsidP="00592037">
      <w:pPr>
        <w:pStyle w:val="Header"/>
        <w:rPr>
          <w:lang w:val="en-GB"/>
        </w:rPr>
      </w:pPr>
      <w:r>
        <w:rPr>
          <w:lang w:val="en-GB"/>
        </w:rPr>
        <w:t>2</w:t>
      </w:r>
      <w:r w:rsidR="00F35560">
        <w:rPr>
          <w:lang w:val="en-GB"/>
        </w:rPr>
        <w:t>6 – 28 April</w:t>
      </w:r>
      <w:r w:rsidR="00843A07">
        <w:rPr>
          <w:lang w:val="en-GB"/>
        </w:rPr>
        <w:t>,</w:t>
      </w:r>
      <w:r w:rsidR="00DE11F7">
        <w:rPr>
          <w:lang w:val="en-GB"/>
        </w:rPr>
        <w:t xml:space="preserve"> </w:t>
      </w:r>
      <w:r w:rsidR="00B20795" w:rsidRPr="00C10F02">
        <w:rPr>
          <w:lang w:val="en-GB"/>
        </w:rPr>
        <w:t>201</w:t>
      </w:r>
      <w:r w:rsidR="00F35560">
        <w:rPr>
          <w:lang w:val="en-GB"/>
        </w:rPr>
        <w:t>7</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945741"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1" w:name="_Toc54501830"/>
      <w:r>
        <w:rPr>
          <w:lang w:val="en-GB"/>
        </w:rPr>
        <w:t>FINAL</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Pr>
          <w:lang w:val="en-GB"/>
        </w:rPr>
        <w:t>1.0</w:t>
      </w:r>
      <w:r w:rsidR="005B2C4D">
        <w:rPr>
          <w:lang w:val="en-GB"/>
        </w:rPr>
        <w:t xml:space="preserve"> –</w:t>
      </w:r>
      <w:r w:rsidR="002D2DC4">
        <w:rPr>
          <w:lang w:val="en-GB"/>
        </w:rPr>
        <w:t xml:space="preserve"> </w:t>
      </w:r>
      <w:r>
        <w:rPr>
          <w:lang w:val="en-GB"/>
        </w:rPr>
        <w:t>May 23</w:t>
      </w:r>
      <w:r w:rsidR="00906C70">
        <w:rPr>
          <w:lang w:val="en-GB"/>
        </w:rPr>
        <w:t>,</w:t>
      </w:r>
      <w:r w:rsidR="00F35560">
        <w:rPr>
          <w:lang w:val="en-GB"/>
        </w:rPr>
        <w:t xml:space="preserve"> 2017</w:t>
      </w:r>
    </w:p>
    <w:p w:rsidR="00AB6103" w:rsidRDefault="00E81D81" w:rsidP="00592037">
      <w:pPr>
        <w:pStyle w:val="Title1"/>
      </w:pPr>
      <w:r>
        <w:lastRenderedPageBreak/>
        <w:t>Table of Contents</w:t>
      </w:r>
    </w:p>
    <w:p w:rsidR="009456C4"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482870651" w:history="1">
        <w:r w:rsidR="009456C4" w:rsidRPr="00D0227E">
          <w:rPr>
            <w:rStyle w:val="Hyperlink"/>
            <w:lang w:val="en-GB"/>
          </w:rPr>
          <w:t>1.</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Welcome</w:t>
        </w:r>
        <w:r w:rsidR="009456C4">
          <w:rPr>
            <w:webHidden/>
          </w:rPr>
          <w:tab/>
        </w:r>
        <w:r w:rsidR="009456C4">
          <w:rPr>
            <w:webHidden/>
          </w:rPr>
          <w:fldChar w:fldCharType="begin"/>
        </w:r>
        <w:r w:rsidR="009456C4">
          <w:rPr>
            <w:webHidden/>
          </w:rPr>
          <w:instrText xml:space="preserve"> PAGEREF _Toc482870651 \h </w:instrText>
        </w:r>
        <w:r w:rsidR="009456C4">
          <w:rPr>
            <w:webHidden/>
          </w:rPr>
        </w:r>
        <w:r w:rsidR="009456C4">
          <w:rPr>
            <w:webHidden/>
          </w:rPr>
          <w:fldChar w:fldCharType="separate"/>
        </w:r>
        <w:r w:rsidR="009456C4">
          <w:rPr>
            <w:webHidden/>
          </w:rPr>
          <w:t>3</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52" w:history="1">
        <w:r w:rsidR="009456C4" w:rsidRPr="00D0227E">
          <w:rPr>
            <w:rStyle w:val="Hyperlink"/>
            <w:lang w:val="en-GB"/>
          </w:rPr>
          <w:t>2.</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Meeting Agenda</w:t>
        </w:r>
        <w:r w:rsidR="009456C4">
          <w:rPr>
            <w:webHidden/>
          </w:rPr>
          <w:tab/>
        </w:r>
        <w:r w:rsidR="009456C4">
          <w:rPr>
            <w:webHidden/>
          </w:rPr>
          <w:fldChar w:fldCharType="begin"/>
        </w:r>
        <w:r w:rsidR="009456C4">
          <w:rPr>
            <w:webHidden/>
          </w:rPr>
          <w:instrText xml:space="preserve"> PAGEREF _Toc482870652 \h </w:instrText>
        </w:r>
        <w:r w:rsidR="009456C4">
          <w:rPr>
            <w:webHidden/>
          </w:rPr>
        </w:r>
        <w:r w:rsidR="009456C4">
          <w:rPr>
            <w:webHidden/>
          </w:rPr>
          <w:fldChar w:fldCharType="separate"/>
        </w:r>
        <w:r w:rsidR="009456C4">
          <w:rPr>
            <w:webHidden/>
          </w:rPr>
          <w:t>3</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53" w:history="1">
        <w:r w:rsidR="009456C4" w:rsidRPr="00D0227E">
          <w:rPr>
            <w:rStyle w:val="Hyperlink"/>
            <w:lang w:val="en-GB"/>
          </w:rPr>
          <w:t>3.</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Next Telco/Meeting Schedule for 2017 Q3 and 4</w:t>
        </w:r>
        <w:r w:rsidR="009456C4">
          <w:rPr>
            <w:webHidden/>
          </w:rPr>
          <w:tab/>
        </w:r>
        <w:r w:rsidR="009456C4">
          <w:rPr>
            <w:webHidden/>
          </w:rPr>
          <w:fldChar w:fldCharType="begin"/>
        </w:r>
        <w:r w:rsidR="009456C4">
          <w:rPr>
            <w:webHidden/>
          </w:rPr>
          <w:instrText xml:space="preserve"> PAGEREF _Toc482870653 \h </w:instrText>
        </w:r>
        <w:r w:rsidR="009456C4">
          <w:rPr>
            <w:webHidden/>
          </w:rPr>
        </w:r>
        <w:r w:rsidR="009456C4">
          <w:rPr>
            <w:webHidden/>
          </w:rPr>
          <w:fldChar w:fldCharType="separate"/>
        </w:r>
        <w:r w:rsidR="009456C4">
          <w:rPr>
            <w:webHidden/>
          </w:rPr>
          <w:t>3</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54" w:history="1">
        <w:r w:rsidR="009456C4" w:rsidRPr="00D0227E">
          <w:rPr>
            <w:rStyle w:val="Hyperlink"/>
            <w:lang w:val="en-GB"/>
          </w:rPr>
          <w:t>4.</w:t>
        </w:r>
        <w:r w:rsidR="009456C4">
          <w:rPr>
            <w:rFonts w:asciiTheme="minorHAnsi" w:eastAsiaTheme="minorEastAsia" w:hAnsiTheme="minorHAnsi" w:cstheme="minorBidi"/>
            <w:b w:val="0"/>
            <w:bCs w:val="0"/>
            <w:sz w:val="22"/>
            <w:szCs w:val="22"/>
            <w:lang w:val="en-GB" w:eastAsia="en-GB"/>
          </w:rPr>
          <w:tab/>
        </w:r>
        <w:r w:rsidR="009456C4" w:rsidRPr="00D0227E">
          <w:rPr>
            <w:rStyle w:val="Hyperlink"/>
            <w:lang w:eastAsia="en-GB"/>
          </w:rPr>
          <w:t>Approval of March 28 conf. call minutes</w:t>
        </w:r>
        <w:r w:rsidR="009456C4">
          <w:rPr>
            <w:webHidden/>
          </w:rPr>
          <w:tab/>
        </w:r>
        <w:r w:rsidR="009456C4">
          <w:rPr>
            <w:webHidden/>
          </w:rPr>
          <w:fldChar w:fldCharType="begin"/>
        </w:r>
        <w:r w:rsidR="009456C4">
          <w:rPr>
            <w:webHidden/>
          </w:rPr>
          <w:instrText xml:space="preserve"> PAGEREF _Toc482870654 \h </w:instrText>
        </w:r>
        <w:r w:rsidR="009456C4">
          <w:rPr>
            <w:webHidden/>
          </w:rPr>
        </w:r>
        <w:r w:rsidR="009456C4">
          <w:rPr>
            <w:webHidden/>
          </w:rPr>
          <w:fldChar w:fldCharType="separate"/>
        </w:r>
        <w:r w:rsidR="009456C4">
          <w:rPr>
            <w:webHidden/>
          </w:rPr>
          <w:t>4</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55" w:history="1">
        <w:r w:rsidR="009456C4" w:rsidRPr="00D0227E">
          <w:rPr>
            <w:rStyle w:val="Hyperlink"/>
            <w:lang w:val="en-GB"/>
          </w:rPr>
          <w:t>5.</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CA203 SR2017 – AVAL in EIG &amp; Remaining SR2017 Template Questions</w:t>
        </w:r>
        <w:r w:rsidR="009456C4">
          <w:rPr>
            <w:webHidden/>
          </w:rPr>
          <w:tab/>
        </w:r>
        <w:r w:rsidR="009456C4">
          <w:rPr>
            <w:webHidden/>
          </w:rPr>
          <w:fldChar w:fldCharType="begin"/>
        </w:r>
        <w:r w:rsidR="009456C4">
          <w:rPr>
            <w:webHidden/>
          </w:rPr>
          <w:instrText xml:space="preserve"> PAGEREF _Toc482870655 \h </w:instrText>
        </w:r>
        <w:r w:rsidR="009456C4">
          <w:rPr>
            <w:webHidden/>
          </w:rPr>
        </w:r>
        <w:r w:rsidR="009456C4">
          <w:rPr>
            <w:webHidden/>
          </w:rPr>
          <w:fldChar w:fldCharType="separate"/>
        </w:r>
        <w:r w:rsidR="009456C4">
          <w:rPr>
            <w:webHidden/>
          </w:rPr>
          <w:t>4</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56" w:history="1">
        <w:r w:rsidR="009456C4" w:rsidRPr="00D0227E">
          <w:rPr>
            <w:rStyle w:val="Hyperlink"/>
            <w:lang w:val="en-GB"/>
          </w:rPr>
          <w:t>6.</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CA221 Tax Certification Process</w:t>
        </w:r>
        <w:r w:rsidR="009456C4">
          <w:rPr>
            <w:webHidden/>
          </w:rPr>
          <w:tab/>
        </w:r>
        <w:r w:rsidR="009456C4">
          <w:rPr>
            <w:webHidden/>
          </w:rPr>
          <w:fldChar w:fldCharType="begin"/>
        </w:r>
        <w:r w:rsidR="009456C4">
          <w:rPr>
            <w:webHidden/>
          </w:rPr>
          <w:instrText xml:space="preserve"> PAGEREF _Toc482870656 \h </w:instrText>
        </w:r>
        <w:r w:rsidR="009456C4">
          <w:rPr>
            <w:webHidden/>
          </w:rPr>
        </w:r>
        <w:r w:rsidR="009456C4">
          <w:rPr>
            <w:webHidden/>
          </w:rPr>
          <w:fldChar w:fldCharType="separate"/>
        </w:r>
        <w:r w:rsidR="009456C4">
          <w:rPr>
            <w:webHidden/>
          </w:rPr>
          <w:t>4</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57" w:history="1">
        <w:r w:rsidR="009456C4" w:rsidRPr="00D0227E">
          <w:rPr>
            <w:rStyle w:val="Hyperlink"/>
            <w:lang w:val="en-GB"/>
          </w:rPr>
          <w:t>7.</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CA279 Claims in the T2S context</w:t>
        </w:r>
        <w:r w:rsidR="009456C4">
          <w:rPr>
            <w:webHidden/>
          </w:rPr>
          <w:tab/>
        </w:r>
        <w:r w:rsidR="009456C4">
          <w:rPr>
            <w:webHidden/>
          </w:rPr>
          <w:fldChar w:fldCharType="begin"/>
        </w:r>
        <w:r w:rsidR="009456C4">
          <w:rPr>
            <w:webHidden/>
          </w:rPr>
          <w:instrText xml:space="preserve"> PAGEREF _Toc482870657 \h </w:instrText>
        </w:r>
        <w:r w:rsidR="009456C4">
          <w:rPr>
            <w:webHidden/>
          </w:rPr>
        </w:r>
        <w:r w:rsidR="009456C4">
          <w:rPr>
            <w:webHidden/>
          </w:rPr>
          <w:fldChar w:fldCharType="separate"/>
        </w:r>
        <w:r w:rsidR="009456C4">
          <w:rPr>
            <w:webHidden/>
          </w:rPr>
          <w:t>5</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58" w:history="1">
        <w:r w:rsidR="009456C4" w:rsidRPr="00D0227E">
          <w:rPr>
            <w:rStyle w:val="Hyperlink"/>
            <w:lang w:val="en-GB"/>
          </w:rPr>
          <w:t>8.</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CA315 Extending CA MPs to ISO 20022</w:t>
        </w:r>
        <w:r w:rsidR="009456C4">
          <w:rPr>
            <w:webHidden/>
          </w:rPr>
          <w:tab/>
        </w:r>
        <w:r w:rsidR="009456C4">
          <w:rPr>
            <w:webHidden/>
          </w:rPr>
          <w:fldChar w:fldCharType="begin"/>
        </w:r>
        <w:r w:rsidR="009456C4">
          <w:rPr>
            <w:webHidden/>
          </w:rPr>
          <w:instrText xml:space="preserve"> PAGEREF _Toc482870658 \h </w:instrText>
        </w:r>
        <w:r w:rsidR="009456C4">
          <w:rPr>
            <w:webHidden/>
          </w:rPr>
        </w:r>
        <w:r w:rsidR="009456C4">
          <w:rPr>
            <w:webHidden/>
          </w:rPr>
          <w:fldChar w:fldCharType="separate"/>
        </w:r>
        <w:r w:rsidR="009456C4">
          <w:rPr>
            <w:webHidden/>
          </w:rPr>
          <w:t>7</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59" w:history="1">
        <w:r w:rsidR="009456C4" w:rsidRPr="00D0227E">
          <w:rPr>
            <w:rStyle w:val="Hyperlink"/>
            <w:lang w:val="en-GB"/>
          </w:rPr>
          <w:t>9.</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CA342 Issue with Stock Lending Deadline (BORD) repeatability MT Implementation</w:t>
        </w:r>
        <w:r w:rsidR="009456C4">
          <w:rPr>
            <w:webHidden/>
          </w:rPr>
          <w:tab/>
        </w:r>
        <w:r w:rsidR="009456C4">
          <w:rPr>
            <w:webHidden/>
          </w:rPr>
          <w:fldChar w:fldCharType="begin"/>
        </w:r>
        <w:r w:rsidR="009456C4">
          <w:rPr>
            <w:webHidden/>
          </w:rPr>
          <w:instrText xml:space="preserve"> PAGEREF _Toc482870659 \h </w:instrText>
        </w:r>
        <w:r w:rsidR="009456C4">
          <w:rPr>
            <w:webHidden/>
          </w:rPr>
        </w:r>
        <w:r w:rsidR="009456C4">
          <w:rPr>
            <w:webHidden/>
          </w:rPr>
          <w:fldChar w:fldCharType="separate"/>
        </w:r>
        <w:r w:rsidR="009456C4">
          <w:rPr>
            <w:webHidden/>
          </w:rPr>
          <w:t>7</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0" w:history="1">
        <w:r w:rsidR="009456C4" w:rsidRPr="00D0227E">
          <w:rPr>
            <w:rStyle w:val="Hyperlink"/>
            <w:lang w:val="en-GB"/>
          </w:rPr>
          <w:t>10.</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CA343 Deemed Distribution Payment CR – Tax Subgroup Progress</w:t>
        </w:r>
        <w:r w:rsidR="009456C4">
          <w:rPr>
            <w:webHidden/>
          </w:rPr>
          <w:tab/>
        </w:r>
        <w:r w:rsidR="009456C4">
          <w:rPr>
            <w:webHidden/>
          </w:rPr>
          <w:fldChar w:fldCharType="begin"/>
        </w:r>
        <w:r w:rsidR="009456C4">
          <w:rPr>
            <w:webHidden/>
          </w:rPr>
          <w:instrText xml:space="preserve"> PAGEREF _Toc482870660 \h </w:instrText>
        </w:r>
        <w:r w:rsidR="009456C4">
          <w:rPr>
            <w:webHidden/>
          </w:rPr>
        </w:r>
        <w:r w:rsidR="009456C4">
          <w:rPr>
            <w:webHidden/>
          </w:rPr>
          <w:fldChar w:fldCharType="separate"/>
        </w:r>
        <w:r w:rsidR="009456C4">
          <w:rPr>
            <w:webHidden/>
          </w:rPr>
          <w:t>8</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1" w:history="1">
        <w:r w:rsidR="009456C4" w:rsidRPr="00D0227E">
          <w:rPr>
            <w:rStyle w:val="Hyperlink"/>
            <w:lang w:val="en-GB"/>
          </w:rPr>
          <w:t>11.</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CA344 Analyse impact of creating new "Interest Period Inclusive" element besides INPE</w:t>
        </w:r>
        <w:r w:rsidR="009456C4">
          <w:rPr>
            <w:webHidden/>
          </w:rPr>
          <w:tab/>
        </w:r>
        <w:r w:rsidR="009456C4">
          <w:rPr>
            <w:webHidden/>
          </w:rPr>
          <w:fldChar w:fldCharType="begin"/>
        </w:r>
        <w:r w:rsidR="009456C4">
          <w:rPr>
            <w:webHidden/>
          </w:rPr>
          <w:instrText xml:space="preserve"> PAGEREF _Toc482870661 \h </w:instrText>
        </w:r>
        <w:r w:rsidR="009456C4">
          <w:rPr>
            <w:webHidden/>
          </w:rPr>
        </w:r>
        <w:r w:rsidR="009456C4">
          <w:rPr>
            <w:webHidden/>
          </w:rPr>
          <w:fldChar w:fldCharType="separate"/>
        </w:r>
        <w:r w:rsidR="009456C4">
          <w:rPr>
            <w:webHidden/>
          </w:rPr>
          <w:t>8</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2" w:history="1">
        <w:r w:rsidR="009456C4" w:rsidRPr="00D0227E">
          <w:rPr>
            <w:rStyle w:val="Hyperlink"/>
            <w:lang w:val="en-GB"/>
          </w:rPr>
          <w:t>12.</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CA346 Conduit Foreign Income (CFI) CR – Tax subgroup Progress</w:t>
        </w:r>
        <w:r w:rsidR="009456C4">
          <w:rPr>
            <w:webHidden/>
          </w:rPr>
          <w:tab/>
        </w:r>
        <w:r w:rsidR="009456C4">
          <w:rPr>
            <w:webHidden/>
          </w:rPr>
          <w:fldChar w:fldCharType="begin"/>
        </w:r>
        <w:r w:rsidR="009456C4">
          <w:rPr>
            <w:webHidden/>
          </w:rPr>
          <w:instrText xml:space="preserve"> PAGEREF _Toc482870662 \h </w:instrText>
        </w:r>
        <w:r w:rsidR="009456C4">
          <w:rPr>
            <w:webHidden/>
          </w:rPr>
        </w:r>
        <w:r w:rsidR="009456C4">
          <w:rPr>
            <w:webHidden/>
          </w:rPr>
          <w:fldChar w:fldCharType="separate"/>
        </w:r>
        <w:r w:rsidR="009456C4">
          <w:rPr>
            <w:webHidden/>
          </w:rPr>
          <w:t>9</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3" w:history="1">
        <w:r w:rsidR="009456C4" w:rsidRPr="00D0227E">
          <w:rPr>
            <w:rStyle w:val="Hyperlink"/>
            <w:lang w:val="en-GB"/>
          </w:rPr>
          <w:t>13.</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CA349 Extend Coverage of CERT in MT564 seq. D</w:t>
        </w:r>
        <w:r w:rsidR="009456C4">
          <w:rPr>
            <w:webHidden/>
          </w:rPr>
          <w:tab/>
        </w:r>
        <w:r w:rsidR="009456C4">
          <w:rPr>
            <w:webHidden/>
          </w:rPr>
          <w:fldChar w:fldCharType="begin"/>
        </w:r>
        <w:r w:rsidR="009456C4">
          <w:rPr>
            <w:webHidden/>
          </w:rPr>
          <w:instrText xml:space="preserve"> PAGEREF _Toc482870663 \h </w:instrText>
        </w:r>
        <w:r w:rsidR="009456C4">
          <w:rPr>
            <w:webHidden/>
          </w:rPr>
        </w:r>
        <w:r w:rsidR="009456C4">
          <w:rPr>
            <w:webHidden/>
          </w:rPr>
          <w:fldChar w:fldCharType="separate"/>
        </w:r>
        <w:r w:rsidR="009456C4">
          <w:rPr>
            <w:webHidden/>
          </w:rPr>
          <w:t>9</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4" w:history="1">
        <w:r w:rsidR="009456C4" w:rsidRPr="00D0227E">
          <w:rPr>
            <w:rStyle w:val="Hyperlink"/>
            <w:lang w:val="en-GB"/>
          </w:rPr>
          <w:t>14.</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CA354 Market usage of "QINS//QALL" on field 36a of MT565</w:t>
        </w:r>
        <w:r w:rsidR="009456C4">
          <w:rPr>
            <w:webHidden/>
          </w:rPr>
          <w:tab/>
        </w:r>
        <w:r w:rsidR="009456C4">
          <w:rPr>
            <w:webHidden/>
          </w:rPr>
          <w:fldChar w:fldCharType="begin"/>
        </w:r>
        <w:r w:rsidR="009456C4">
          <w:rPr>
            <w:webHidden/>
          </w:rPr>
          <w:instrText xml:space="preserve"> PAGEREF _Toc482870664 \h </w:instrText>
        </w:r>
        <w:r w:rsidR="009456C4">
          <w:rPr>
            <w:webHidden/>
          </w:rPr>
        </w:r>
        <w:r w:rsidR="009456C4">
          <w:rPr>
            <w:webHidden/>
          </w:rPr>
          <w:fldChar w:fldCharType="separate"/>
        </w:r>
        <w:r w:rsidR="009456C4">
          <w:rPr>
            <w:webHidden/>
          </w:rPr>
          <w:t>10</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5" w:history="1">
        <w:r w:rsidR="009456C4" w:rsidRPr="00D0227E">
          <w:rPr>
            <w:rStyle w:val="Hyperlink"/>
            <w:lang w:val="en-GB"/>
          </w:rPr>
          <w:t>15.</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CA358 Cleaning of Un-used Tax Qualifiers</w:t>
        </w:r>
        <w:r w:rsidR="009456C4">
          <w:rPr>
            <w:webHidden/>
          </w:rPr>
          <w:tab/>
        </w:r>
        <w:r w:rsidR="009456C4">
          <w:rPr>
            <w:webHidden/>
          </w:rPr>
          <w:fldChar w:fldCharType="begin"/>
        </w:r>
        <w:r w:rsidR="009456C4">
          <w:rPr>
            <w:webHidden/>
          </w:rPr>
          <w:instrText xml:space="preserve"> PAGEREF _Toc482870665 \h </w:instrText>
        </w:r>
        <w:r w:rsidR="009456C4">
          <w:rPr>
            <w:webHidden/>
          </w:rPr>
        </w:r>
        <w:r w:rsidR="009456C4">
          <w:rPr>
            <w:webHidden/>
          </w:rPr>
          <w:fldChar w:fldCharType="separate"/>
        </w:r>
        <w:r w:rsidR="009456C4">
          <w:rPr>
            <w:webHidden/>
          </w:rPr>
          <w:t>10</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6" w:history="1">
        <w:r w:rsidR="009456C4" w:rsidRPr="00D0227E">
          <w:rPr>
            <w:rStyle w:val="Hyperlink"/>
            <w:lang w:val="en-GB"/>
          </w:rPr>
          <w:t>16.</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CA359 Tax Reclaim Processing</w:t>
        </w:r>
        <w:r w:rsidR="009456C4">
          <w:rPr>
            <w:webHidden/>
          </w:rPr>
          <w:tab/>
        </w:r>
        <w:r w:rsidR="009456C4">
          <w:rPr>
            <w:webHidden/>
          </w:rPr>
          <w:fldChar w:fldCharType="begin"/>
        </w:r>
        <w:r w:rsidR="009456C4">
          <w:rPr>
            <w:webHidden/>
          </w:rPr>
          <w:instrText xml:space="preserve"> PAGEREF _Toc482870666 \h </w:instrText>
        </w:r>
        <w:r w:rsidR="009456C4">
          <w:rPr>
            <w:webHidden/>
          </w:rPr>
        </w:r>
        <w:r w:rsidR="009456C4">
          <w:rPr>
            <w:webHidden/>
          </w:rPr>
          <w:fldChar w:fldCharType="separate"/>
        </w:r>
        <w:r w:rsidR="009456C4">
          <w:rPr>
            <w:webHidden/>
          </w:rPr>
          <w:t>11</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7" w:history="1">
        <w:r w:rsidR="009456C4" w:rsidRPr="00D0227E">
          <w:rPr>
            <w:rStyle w:val="Hyperlink"/>
            <w:lang w:val="en-GB"/>
          </w:rPr>
          <w:t>17.</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CA360 Taxation on Security Distributions</w:t>
        </w:r>
        <w:r w:rsidR="009456C4">
          <w:rPr>
            <w:webHidden/>
          </w:rPr>
          <w:tab/>
        </w:r>
        <w:r w:rsidR="009456C4">
          <w:rPr>
            <w:webHidden/>
          </w:rPr>
          <w:fldChar w:fldCharType="begin"/>
        </w:r>
        <w:r w:rsidR="009456C4">
          <w:rPr>
            <w:webHidden/>
          </w:rPr>
          <w:instrText xml:space="preserve"> PAGEREF _Toc482870667 \h </w:instrText>
        </w:r>
        <w:r w:rsidR="009456C4">
          <w:rPr>
            <w:webHidden/>
          </w:rPr>
        </w:r>
        <w:r w:rsidR="009456C4">
          <w:rPr>
            <w:webHidden/>
          </w:rPr>
          <w:fldChar w:fldCharType="separate"/>
        </w:r>
        <w:r w:rsidR="009456C4">
          <w:rPr>
            <w:webHidden/>
          </w:rPr>
          <w:t>11</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8" w:history="1">
        <w:r w:rsidR="009456C4" w:rsidRPr="00D0227E">
          <w:rPr>
            <w:rStyle w:val="Hyperlink"/>
            <w:lang w:val="en-GB"/>
          </w:rPr>
          <w:t>18.</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CA361 How to handle fractional holdings resulting from Partial Redemptions in ZA?</w:t>
        </w:r>
        <w:r w:rsidR="009456C4">
          <w:rPr>
            <w:webHidden/>
          </w:rPr>
          <w:tab/>
        </w:r>
        <w:r w:rsidR="009456C4">
          <w:rPr>
            <w:webHidden/>
          </w:rPr>
          <w:fldChar w:fldCharType="begin"/>
        </w:r>
        <w:r w:rsidR="009456C4">
          <w:rPr>
            <w:webHidden/>
          </w:rPr>
          <w:instrText xml:space="preserve"> PAGEREF _Toc482870668 \h </w:instrText>
        </w:r>
        <w:r w:rsidR="009456C4">
          <w:rPr>
            <w:webHidden/>
          </w:rPr>
        </w:r>
        <w:r w:rsidR="009456C4">
          <w:rPr>
            <w:webHidden/>
          </w:rPr>
          <w:fldChar w:fldCharType="separate"/>
        </w:r>
        <w:r w:rsidR="009456C4">
          <w:rPr>
            <w:webHidden/>
          </w:rPr>
          <w:t>11</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69" w:history="1">
        <w:r w:rsidR="009456C4" w:rsidRPr="00D0227E">
          <w:rPr>
            <w:rStyle w:val="Hyperlink"/>
            <w:lang w:val="en-GB"/>
          </w:rPr>
          <w:t>19.</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CA362 How can we handle CAPA (seev.035) at the beneficiary owner level?</w:t>
        </w:r>
        <w:r w:rsidR="009456C4">
          <w:rPr>
            <w:webHidden/>
          </w:rPr>
          <w:tab/>
        </w:r>
        <w:r w:rsidR="009456C4">
          <w:rPr>
            <w:webHidden/>
          </w:rPr>
          <w:fldChar w:fldCharType="begin"/>
        </w:r>
        <w:r w:rsidR="009456C4">
          <w:rPr>
            <w:webHidden/>
          </w:rPr>
          <w:instrText xml:space="preserve"> PAGEREF _Toc482870669 \h </w:instrText>
        </w:r>
        <w:r w:rsidR="009456C4">
          <w:rPr>
            <w:webHidden/>
          </w:rPr>
        </w:r>
        <w:r w:rsidR="009456C4">
          <w:rPr>
            <w:webHidden/>
          </w:rPr>
          <w:fldChar w:fldCharType="separate"/>
        </w:r>
        <w:r w:rsidR="009456C4">
          <w:rPr>
            <w:webHidden/>
          </w:rPr>
          <w:t>12</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0" w:history="1">
        <w:r w:rsidR="009456C4" w:rsidRPr="00D0227E">
          <w:rPr>
            <w:rStyle w:val="Hyperlink"/>
            <w:lang w:val="en-GB"/>
          </w:rPr>
          <w:t>20.</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CA363 Interest Rate Coupon Period</w:t>
        </w:r>
        <w:r w:rsidR="009456C4">
          <w:rPr>
            <w:webHidden/>
          </w:rPr>
          <w:tab/>
        </w:r>
        <w:r w:rsidR="009456C4">
          <w:rPr>
            <w:webHidden/>
          </w:rPr>
          <w:fldChar w:fldCharType="begin"/>
        </w:r>
        <w:r w:rsidR="009456C4">
          <w:rPr>
            <w:webHidden/>
          </w:rPr>
          <w:instrText xml:space="preserve"> PAGEREF _Toc482870670 \h </w:instrText>
        </w:r>
        <w:r w:rsidR="009456C4">
          <w:rPr>
            <w:webHidden/>
          </w:rPr>
        </w:r>
        <w:r w:rsidR="009456C4">
          <w:rPr>
            <w:webHidden/>
          </w:rPr>
          <w:fldChar w:fldCharType="separate"/>
        </w:r>
        <w:r w:rsidR="009456C4">
          <w:rPr>
            <w:webHidden/>
          </w:rPr>
          <w:t>12</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1" w:history="1">
        <w:r w:rsidR="009456C4" w:rsidRPr="00D0227E">
          <w:rPr>
            <w:rStyle w:val="Hyperlink"/>
            <w:lang w:val="en-GB"/>
          </w:rPr>
          <w:t>21.</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CA364 Usage Rule for DEVI Rate</w:t>
        </w:r>
        <w:r w:rsidR="009456C4">
          <w:rPr>
            <w:webHidden/>
          </w:rPr>
          <w:tab/>
        </w:r>
        <w:r w:rsidR="009456C4">
          <w:rPr>
            <w:webHidden/>
          </w:rPr>
          <w:fldChar w:fldCharType="begin"/>
        </w:r>
        <w:r w:rsidR="009456C4">
          <w:rPr>
            <w:webHidden/>
          </w:rPr>
          <w:instrText xml:space="preserve"> PAGEREF _Toc482870671 \h </w:instrText>
        </w:r>
        <w:r w:rsidR="009456C4">
          <w:rPr>
            <w:webHidden/>
          </w:rPr>
        </w:r>
        <w:r w:rsidR="009456C4">
          <w:rPr>
            <w:webHidden/>
          </w:rPr>
          <w:fldChar w:fldCharType="separate"/>
        </w:r>
        <w:r w:rsidR="009456C4">
          <w:rPr>
            <w:webHidden/>
          </w:rPr>
          <w:t>13</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2" w:history="1">
        <w:r w:rsidR="009456C4" w:rsidRPr="00D0227E">
          <w:rPr>
            <w:rStyle w:val="Hyperlink"/>
            <w:lang w:val="en-GB"/>
          </w:rPr>
          <w:t>22.</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CA365 Split Election per Bucket</w:t>
        </w:r>
        <w:r w:rsidR="009456C4">
          <w:rPr>
            <w:webHidden/>
          </w:rPr>
          <w:tab/>
        </w:r>
        <w:r w:rsidR="009456C4">
          <w:rPr>
            <w:webHidden/>
          </w:rPr>
          <w:fldChar w:fldCharType="begin"/>
        </w:r>
        <w:r w:rsidR="009456C4">
          <w:rPr>
            <w:webHidden/>
          </w:rPr>
          <w:instrText xml:space="preserve"> PAGEREF _Toc482870672 \h </w:instrText>
        </w:r>
        <w:r w:rsidR="009456C4">
          <w:rPr>
            <w:webHidden/>
          </w:rPr>
        </w:r>
        <w:r w:rsidR="009456C4">
          <w:rPr>
            <w:webHidden/>
          </w:rPr>
          <w:fldChar w:fldCharType="separate"/>
        </w:r>
        <w:r w:rsidR="009456C4">
          <w:rPr>
            <w:webHidden/>
          </w:rPr>
          <w:t>13</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3" w:history="1">
        <w:r w:rsidR="009456C4" w:rsidRPr="00D0227E">
          <w:rPr>
            <w:rStyle w:val="Hyperlink"/>
            <w:lang w:val="en-GB"/>
          </w:rPr>
          <w:t>23.</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CA366 Review Voluntary Rolling Event  in GMP1</w:t>
        </w:r>
        <w:r w:rsidR="009456C4">
          <w:rPr>
            <w:webHidden/>
          </w:rPr>
          <w:tab/>
        </w:r>
        <w:r w:rsidR="009456C4">
          <w:rPr>
            <w:webHidden/>
          </w:rPr>
          <w:fldChar w:fldCharType="begin"/>
        </w:r>
        <w:r w:rsidR="009456C4">
          <w:rPr>
            <w:webHidden/>
          </w:rPr>
          <w:instrText xml:space="preserve"> PAGEREF _Toc482870673 \h </w:instrText>
        </w:r>
        <w:r w:rsidR="009456C4">
          <w:rPr>
            <w:webHidden/>
          </w:rPr>
        </w:r>
        <w:r w:rsidR="009456C4">
          <w:rPr>
            <w:webHidden/>
          </w:rPr>
          <w:fldChar w:fldCharType="separate"/>
        </w:r>
        <w:r w:rsidR="009456C4">
          <w:rPr>
            <w:webHidden/>
          </w:rPr>
          <w:t>14</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4" w:history="1">
        <w:r w:rsidR="009456C4" w:rsidRPr="00D0227E">
          <w:rPr>
            <w:rStyle w:val="Hyperlink"/>
            <w:lang w:val="en-GB"/>
          </w:rPr>
          <w:t>24.</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CA367 INTP and OFFR usage with multiple payment Currencies</w:t>
        </w:r>
        <w:r w:rsidR="009456C4">
          <w:rPr>
            <w:webHidden/>
          </w:rPr>
          <w:tab/>
        </w:r>
        <w:r w:rsidR="009456C4">
          <w:rPr>
            <w:webHidden/>
          </w:rPr>
          <w:fldChar w:fldCharType="begin"/>
        </w:r>
        <w:r w:rsidR="009456C4">
          <w:rPr>
            <w:webHidden/>
          </w:rPr>
          <w:instrText xml:space="preserve"> PAGEREF _Toc482870674 \h </w:instrText>
        </w:r>
        <w:r w:rsidR="009456C4">
          <w:rPr>
            <w:webHidden/>
          </w:rPr>
        </w:r>
        <w:r w:rsidR="009456C4">
          <w:rPr>
            <w:webHidden/>
          </w:rPr>
          <w:fldChar w:fldCharType="separate"/>
        </w:r>
        <w:r w:rsidR="009456C4">
          <w:rPr>
            <w:webHidden/>
          </w:rPr>
          <w:t>14</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5" w:history="1">
        <w:r w:rsidR="009456C4" w:rsidRPr="00D0227E">
          <w:rPr>
            <w:rStyle w:val="Hyperlink"/>
            <w:lang w:val="en-GB"/>
          </w:rPr>
          <w:t>25.</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CA368 Create new "form of securities" indicator element</w:t>
        </w:r>
        <w:r w:rsidR="009456C4">
          <w:rPr>
            <w:webHidden/>
          </w:rPr>
          <w:tab/>
        </w:r>
        <w:r w:rsidR="009456C4">
          <w:rPr>
            <w:webHidden/>
          </w:rPr>
          <w:fldChar w:fldCharType="begin"/>
        </w:r>
        <w:r w:rsidR="009456C4">
          <w:rPr>
            <w:webHidden/>
          </w:rPr>
          <w:instrText xml:space="preserve"> PAGEREF _Toc482870675 \h </w:instrText>
        </w:r>
        <w:r w:rsidR="009456C4">
          <w:rPr>
            <w:webHidden/>
          </w:rPr>
        </w:r>
        <w:r w:rsidR="009456C4">
          <w:rPr>
            <w:webHidden/>
          </w:rPr>
          <w:fldChar w:fldCharType="separate"/>
        </w:r>
        <w:r w:rsidR="009456C4">
          <w:rPr>
            <w:webHidden/>
          </w:rPr>
          <w:t>14</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6" w:history="1">
        <w:r w:rsidR="009456C4" w:rsidRPr="00D0227E">
          <w:rPr>
            <w:rStyle w:val="Hyperlink"/>
            <w:lang w:val="en-GB"/>
          </w:rPr>
          <w:t>26.</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CA369 ACCU event and XDTE or EFFD</w:t>
        </w:r>
        <w:r w:rsidR="009456C4">
          <w:rPr>
            <w:webHidden/>
          </w:rPr>
          <w:tab/>
        </w:r>
        <w:r w:rsidR="009456C4">
          <w:rPr>
            <w:webHidden/>
          </w:rPr>
          <w:fldChar w:fldCharType="begin"/>
        </w:r>
        <w:r w:rsidR="009456C4">
          <w:rPr>
            <w:webHidden/>
          </w:rPr>
          <w:instrText xml:space="preserve"> PAGEREF _Toc482870676 \h </w:instrText>
        </w:r>
        <w:r w:rsidR="009456C4">
          <w:rPr>
            <w:webHidden/>
          </w:rPr>
        </w:r>
        <w:r w:rsidR="009456C4">
          <w:rPr>
            <w:webHidden/>
          </w:rPr>
          <w:fldChar w:fldCharType="separate"/>
        </w:r>
        <w:r w:rsidR="009456C4">
          <w:rPr>
            <w:webHidden/>
          </w:rPr>
          <w:t>15</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7" w:history="1">
        <w:r w:rsidR="009456C4" w:rsidRPr="00D0227E">
          <w:rPr>
            <w:rStyle w:val="Hyperlink"/>
            <w:lang w:val="en-GB"/>
          </w:rPr>
          <w:t>27.</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CA370 TAXR / WITL Usage for the Italian Market Scenario</w:t>
        </w:r>
        <w:r w:rsidR="009456C4">
          <w:rPr>
            <w:webHidden/>
          </w:rPr>
          <w:tab/>
        </w:r>
        <w:r w:rsidR="009456C4">
          <w:rPr>
            <w:webHidden/>
          </w:rPr>
          <w:fldChar w:fldCharType="begin"/>
        </w:r>
        <w:r w:rsidR="009456C4">
          <w:rPr>
            <w:webHidden/>
          </w:rPr>
          <w:instrText xml:space="preserve"> PAGEREF _Toc482870677 \h </w:instrText>
        </w:r>
        <w:r w:rsidR="009456C4">
          <w:rPr>
            <w:webHidden/>
          </w:rPr>
        </w:r>
        <w:r w:rsidR="009456C4">
          <w:rPr>
            <w:webHidden/>
          </w:rPr>
          <w:fldChar w:fldCharType="separate"/>
        </w:r>
        <w:r w:rsidR="009456C4">
          <w:rPr>
            <w:webHidden/>
          </w:rPr>
          <w:t>15</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8" w:history="1">
        <w:r w:rsidR="009456C4" w:rsidRPr="00D0227E">
          <w:rPr>
            <w:rStyle w:val="Hyperlink"/>
            <w:lang w:val="en-GB"/>
          </w:rPr>
          <w:t>28.</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CA371 CONB in PCAL &amp; DRAW</w:t>
        </w:r>
        <w:r w:rsidR="009456C4">
          <w:rPr>
            <w:webHidden/>
          </w:rPr>
          <w:tab/>
        </w:r>
        <w:r w:rsidR="009456C4">
          <w:rPr>
            <w:webHidden/>
          </w:rPr>
          <w:fldChar w:fldCharType="begin"/>
        </w:r>
        <w:r w:rsidR="009456C4">
          <w:rPr>
            <w:webHidden/>
          </w:rPr>
          <w:instrText xml:space="preserve"> PAGEREF _Toc482870678 \h </w:instrText>
        </w:r>
        <w:r w:rsidR="009456C4">
          <w:rPr>
            <w:webHidden/>
          </w:rPr>
        </w:r>
        <w:r w:rsidR="009456C4">
          <w:rPr>
            <w:webHidden/>
          </w:rPr>
          <w:fldChar w:fldCharType="separate"/>
        </w:r>
        <w:r w:rsidR="009456C4">
          <w:rPr>
            <w:webHidden/>
          </w:rPr>
          <w:t>16</w:t>
        </w:r>
        <w:r w:rsidR="009456C4">
          <w:rPr>
            <w:webHidden/>
          </w:rPr>
          <w:fldChar w:fldCharType="end"/>
        </w:r>
      </w:hyperlink>
    </w:p>
    <w:p w:rsidR="009456C4" w:rsidRDefault="00D45915">
      <w:pPr>
        <w:pStyle w:val="TOC1"/>
        <w:rPr>
          <w:rFonts w:asciiTheme="minorHAnsi" w:eastAsiaTheme="minorEastAsia" w:hAnsiTheme="minorHAnsi" w:cstheme="minorBidi"/>
          <w:b w:val="0"/>
          <w:bCs w:val="0"/>
          <w:sz w:val="22"/>
          <w:szCs w:val="22"/>
          <w:lang w:val="en-GB" w:eastAsia="en-GB"/>
        </w:rPr>
      </w:pPr>
      <w:hyperlink w:anchor="_Toc482870679" w:history="1">
        <w:r w:rsidR="009456C4" w:rsidRPr="00D0227E">
          <w:rPr>
            <w:rStyle w:val="Hyperlink"/>
            <w:lang w:val="en-GB"/>
          </w:rPr>
          <w:t>29.</w:t>
        </w:r>
        <w:r w:rsidR="009456C4">
          <w:rPr>
            <w:rFonts w:asciiTheme="minorHAnsi" w:eastAsiaTheme="minorEastAsia" w:hAnsiTheme="minorHAnsi" w:cstheme="minorBidi"/>
            <w:b w:val="0"/>
            <w:bCs w:val="0"/>
            <w:sz w:val="22"/>
            <w:szCs w:val="22"/>
            <w:lang w:val="en-GB" w:eastAsia="en-GB"/>
          </w:rPr>
          <w:tab/>
        </w:r>
        <w:r w:rsidR="009456C4" w:rsidRPr="00D0227E">
          <w:rPr>
            <w:rStyle w:val="Hyperlink"/>
          </w:rPr>
          <w:t>AOB</w:t>
        </w:r>
        <w:r w:rsidR="009456C4">
          <w:rPr>
            <w:webHidden/>
          </w:rPr>
          <w:tab/>
        </w:r>
        <w:r w:rsidR="009456C4">
          <w:rPr>
            <w:webHidden/>
          </w:rPr>
          <w:fldChar w:fldCharType="begin"/>
        </w:r>
        <w:r w:rsidR="009456C4">
          <w:rPr>
            <w:webHidden/>
          </w:rPr>
          <w:instrText xml:space="preserve"> PAGEREF _Toc482870679 \h </w:instrText>
        </w:r>
        <w:r w:rsidR="009456C4">
          <w:rPr>
            <w:webHidden/>
          </w:rPr>
        </w:r>
        <w:r w:rsidR="009456C4">
          <w:rPr>
            <w:webHidden/>
          </w:rPr>
          <w:fldChar w:fldCharType="separate"/>
        </w:r>
        <w:r w:rsidR="009456C4">
          <w:rPr>
            <w:webHidden/>
          </w:rPr>
          <w:t>16</w:t>
        </w:r>
        <w:r w:rsidR="009456C4">
          <w:rPr>
            <w:webHidden/>
          </w:rPr>
          <w:fldChar w:fldCharType="end"/>
        </w:r>
      </w:hyperlink>
    </w:p>
    <w:p w:rsidR="00AB6103" w:rsidRDefault="00EB51C4" w:rsidP="00AD498B">
      <w:pPr>
        <w:pStyle w:val="Title1"/>
        <w:tabs>
          <w:tab w:val="left" w:pos="540"/>
        </w:tabs>
        <w:ind w:left="540" w:hanging="540"/>
      </w:pPr>
      <w:r>
        <w:rPr>
          <w:rFonts w:ascii="Helvetica" w:hAnsi="Helvetica"/>
          <w:bCs/>
          <w:noProof/>
          <w:sz w:val="20"/>
          <w:szCs w:val="28"/>
          <w:u w:val="none"/>
          <w:lang w:val="en-US"/>
        </w:rPr>
        <w:fldChar w:fldCharType="end"/>
      </w:r>
      <w:r w:rsidR="00AB6103" w:rsidRPr="007A69C8">
        <w:br w:type="page"/>
      </w:r>
      <w:bookmarkStart w:id="2" w:name="OLE_LINK1"/>
      <w:bookmarkStart w:id="3" w:name="OLE_LINK2"/>
      <w:r w:rsidR="00AB6103" w:rsidRPr="00C11FA9">
        <w:lastRenderedPageBreak/>
        <w:t>Attendees</w:t>
      </w:r>
      <w:bookmarkEnd w:id="1"/>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74"/>
        <w:gridCol w:w="566"/>
        <w:gridCol w:w="1346"/>
        <w:gridCol w:w="1490"/>
        <w:gridCol w:w="2976"/>
        <w:gridCol w:w="1703"/>
      </w:tblGrid>
      <w:tr w:rsidR="00F35560" w:rsidRPr="00425364" w:rsidTr="00F35560">
        <w:tc>
          <w:tcPr>
            <w:tcW w:w="634" w:type="pct"/>
            <w:tcBorders>
              <w:left w:val="single" w:sz="4" w:space="0" w:color="auto"/>
            </w:tcBorders>
            <w:shd w:val="clear" w:color="auto" w:fill="92D050"/>
          </w:tcPr>
          <w:p w:rsidR="00F35560" w:rsidRPr="00425364" w:rsidRDefault="00F35560" w:rsidP="00F35560">
            <w:pPr>
              <w:rPr>
                <w:rFonts w:ascii="Calibri" w:hAnsi="Calibri" w:cs="Calibri"/>
                <w:b/>
              </w:rPr>
            </w:pPr>
            <w:r w:rsidRPr="00425364">
              <w:rPr>
                <w:rFonts w:ascii="Calibri" w:hAnsi="Calibri" w:cs="Calibri"/>
                <w:b/>
              </w:rPr>
              <w:t>NMPG</w:t>
            </w:r>
          </w:p>
        </w:tc>
        <w:tc>
          <w:tcPr>
            <w:tcW w:w="306" w:type="pct"/>
            <w:shd w:val="clear" w:color="auto" w:fill="92D050"/>
          </w:tcPr>
          <w:p w:rsidR="00F35560" w:rsidRPr="00425364" w:rsidRDefault="00F35560" w:rsidP="00F35560">
            <w:pPr>
              <w:rPr>
                <w:rFonts w:ascii="Calibri" w:hAnsi="Calibri" w:cs="Calibri"/>
                <w:b/>
              </w:rPr>
            </w:pPr>
            <w:r w:rsidRPr="00425364">
              <w:rPr>
                <w:rFonts w:ascii="Calibri" w:hAnsi="Calibri" w:cs="Calibri"/>
                <w:b/>
              </w:rPr>
              <w:t>Title</w:t>
            </w:r>
          </w:p>
        </w:tc>
        <w:tc>
          <w:tcPr>
            <w:tcW w:w="727" w:type="pct"/>
            <w:shd w:val="clear" w:color="auto" w:fill="92D050"/>
          </w:tcPr>
          <w:p w:rsidR="00F35560" w:rsidRPr="00425364" w:rsidRDefault="00F35560" w:rsidP="00F35560">
            <w:pPr>
              <w:rPr>
                <w:rFonts w:ascii="Calibri" w:hAnsi="Calibri" w:cs="Calibri"/>
                <w:b/>
              </w:rPr>
            </w:pPr>
            <w:r w:rsidRPr="00425364">
              <w:rPr>
                <w:rFonts w:ascii="Calibri" w:hAnsi="Calibri" w:cs="Calibri"/>
                <w:b/>
              </w:rPr>
              <w:t>F</w:t>
            </w:r>
            <w:r>
              <w:rPr>
                <w:rFonts w:ascii="Calibri" w:hAnsi="Calibri" w:cs="Calibri"/>
                <w:b/>
              </w:rPr>
              <w:t>i</w:t>
            </w:r>
            <w:r w:rsidRPr="00425364">
              <w:rPr>
                <w:rFonts w:ascii="Calibri" w:hAnsi="Calibri" w:cs="Calibri"/>
                <w:b/>
              </w:rPr>
              <w:t>rst Name</w:t>
            </w:r>
          </w:p>
        </w:tc>
        <w:tc>
          <w:tcPr>
            <w:tcW w:w="805" w:type="pct"/>
            <w:shd w:val="clear" w:color="auto" w:fill="92D050"/>
          </w:tcPr>
          <w:p w:rsidR="00F35560" w:rsidRPr="00425364" w:rsidRDefault="00F35560" w:rsidP="00F35560">
            <w:pPr>
              <w:rPr>
                <w:rFonts w:ascii="Calibri" w:hAnsi="Calibri" w:cs="Calibri"/>
                <w:b/>
              </w:rPr>
            </w:pPr>
            <w:r w:rsidRPr="00425364">
              <w:rPr>
                <w:rFonts w:ascii="Calibri" w:hAnsi="Calibri" w:cs="Calibri"/>
                <w:b/>
              </w:rPr>
              <w:t>Last Name</w:t>
            </w:r>
          </w:p>
        </w:tc>
        <w:tc>
          <w:tcPr>
            <w:tcW w:w="1608" w:type="pct"/>
            <w:shd w:val="clear" w:color="auto" w:fill="92D050"/>
          </w:tcPr>
          <w:p w:rsidR="00F35560" w:rsidRPr="00425364" w:rsidRDefault="00F35560" w:rsidP="00F35560">
            <w:pPr>
              <w:rPr>
                <w:rFonts w:ascii="Calibri" w:hAnsi="Calibri" w:cs="Calibri"/>
                <w:b/>
              </w:rPr>
            </w:pPr>
            <w:r w:rsidRPr="00425364">
              <w:rPr>
                <w:rFonts w:ascii="Calibri" w:hAnsi="Calibri" w:cs="Calibri"/>
                <w:b/>
              </w:rPr>
              <w:t>Institutions</w:t>
            </w:r>
          </w:p>
        </w:tc>
        <w:tc>
          <w:tcPr>
            <w:tcW w:w="920" w:type="pct"/>
            <w:shd w:val="clear" w:color="auto" w:fill="92D050"/>
          </w:tcPr>
          <w:p w:rsidR="00F35560" w:rsidRPr="00425364" w:rsidRDefault="00F35560" w:rsidP="00F35560">
            <w:pPr>
              <w:rPr>
                <w:rFonts w:ascii="Calibri" w:hAnsi="Calibri" w:cs="Calibri"/>
                <w:b/>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BE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Mrs</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proofErr w:type="spellStart"/>
            <w:r w:rsidRPr="00F35560">
              <w:rPr>
                <w:color w:val="000000"/>
              </w:rPr>
              <w:t>Véronique</w:t>
            </w:r>
            <w:proofErr w:type="spellEnd"/>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Peeters</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BNYM</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CH</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Michael</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Blumer</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Credit Suisse AG</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D</w:t>
            </w:r>
            <w:r w:rsidR="00B2113B">
              <w:rPr>
                <w:b/>
                <w:color w:val="000000"/>
              </w:rPr>
              <w:t>K</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Mrs</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Randi Marie</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Hattens</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VP Securities</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DE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Daniel</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Schaefer</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HSBC</w:t>
            </w:r>
          </w:p>
        </w:tc>
        <w:tc>
          <w:tcPr>
            <w:tcW w:w="920" w:type="pct"/>
            <w:tcBorders>
              <w:top w:val="single" w:sz="4" w:space="0" w:color="auto"/>
              <w:left w:val="single" w:sz="4" w:space="0" w:color="auto"/>
              <w:bottom w:val="single" w:sz="4" w:space="0" w:color="auto"/>
              <w:right w:val="single" w:sz="4" w:space="0" w:color="auto"/>
            </w:tcBorders>
            <w:shd w:val="clear" w:color="000000" w:fill="FFFFFF"/>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FI</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Mrs</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Sari</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Rask</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 xml:space="preserve">Nordea Bank </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FR</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Jean-Pierre</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Klak</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STATE STREET BANQUE</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IT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Mrs</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Paola</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Deantoni</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Société</w:t>
            </w:r>
            <w:proofErr w:type="spellEnd"/>
            <w:r w:rsidRPr="00F35560">
              <w:rPr>
                <w:color w:val="000000"/>
              </w:rPr>
              <w:t xml:space="preserve"> </w:t>
            </w:r>
            <w:proofErr w:type="spellStart"/>
            <w:r w:rsidRPr="00F35560">
              <w:rPr>
                <w:color w:val="000000"/>
              </w:rPr>
              <w:t>générale</w:t>
            </w:r>
            <w:proofErr w:type="spellEnd"/>
            <w:r w:rsidRPr="00F35560">
              <w:rPr>
                <w:color w:val="000000"/>
              </w:rPr>
              <w:t xml:space="preserve"> securities Services spa</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JP</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Hideki</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Ito</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Mizuho Bank</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LU</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Bernard</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Lenelle</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Clearstream</w:t>
            </w:r>
            <w:proofErr w:type="spellEnd"/>
            <w:r w:rsidRPr="00F35560">
              <w:rPr>
                <w:color w:val="000000"/>
              </w:rPr>
              <w:t xml:space="preserve"> Banking</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WG co-Chair</w:t>
            </w: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MDPUG</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Mrs</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Laura</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Fuller</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SIX Financial Information</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MDPUG</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Peter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Hinds</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ICE</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Pr>
                <w:b/>
                <w:color w:val="000000"/>
              </w:rPr>
              <w:t>MDPUG</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Pr>
                <w:color w:val="000000"/>
              </w:rPr>
              <w:t xml:space="preserve">Mr. </w:t>
            </w:r>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Pr>
                <w:color w:val="000000"/>
              </w:rPr>
              <w:t>Daniel</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Pr>
                <w:b/>
                <w:color w:val="000000"/>
              </w:rPr>
              <w:t>Byrne</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Pr>
                <w:color w:val="000000"/>
              </w:rPr>
              <w:t>ICE</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Pr>
                <w:color w:val="000000"/>
              </w:rPr>
              <w:t>Observer</w:t>
            </w: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NO</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Alexander</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Wathne</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 xml:space="preserve">Nordea </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SE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Mrs</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Christine</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Strandberg</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SEB</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b/>
                <w:color w:val="000000"/>
              </w:rPr>
              <w:t>WG co-Chair</w:t>
            </w: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SG</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proofErr w:type="spellStart"/>
            <w:r w:rsidRPr="00F35560">
              <w:rPr>
                <w:color w:val="000000"/>
              </w:rPr>
              <w:t>Jyi-chen</w:t>
            </w:r>
            <w:proofErr w:type="spellEnd"/>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Chueh</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Standard Chartered Bank</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UK&amp;IE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Matthew</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Middleton</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London Stock Exchange</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US ISITC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Paul</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Fullam</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ISITC/FIS</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US ISITC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Mrs</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Karla</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McKenna</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Citi</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SMPG Chair</w:t>
            </w: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US ISITC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Steve</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Sloan</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 xml:space="preserve"> DTCC</w:t>
            </w:r>
          </w:p>
        </w:tc>
        <w:tc>
          <w:tcPr>
            <w:tcW w:w="920" w:type="pct"/>
            <w:tcBorders>
              <w:top w:val="single" w:sz="4" w:space="0" w:color="auto"/>
              <w:left w:val="single" w:sz="4" w:space="0" w:color="auto"/>
              <w:bottom w:val="single" w:sz="4" w:space="0" w:color="auto"/>
              <w:right w:val="single" w:sz="4" w:space="0" w:color="auto"/>
            </w:tcBorders>
            <w:shd w:val="clear" w:color="000000" w:fill="FFFFFF"/>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XS - ICSD</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Mrs</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Delphine</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Haillez</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Euroclear</w:t>
            </w:r>
            <w:proofErr w:type="spellEnd"/>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ZA</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Sanjeev</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Jayram</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RAMND MERCHANT BANK</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
        </w:tc>
      </w:tr>
      <w:tr w:rsidR="00F35560" w:rsidRPr="00F35560" w:rsidTr="00F35560">
        <w:tblPrEx>
          <w:tblCellMar>
            <w:left w:w="108" w:type="dxa"/>
            <w:right w:w="108" w:type="dxa"/>
          </w:tblCellMar>
        </w:tblPrEx>
        <w:trPr>
          <w:trHeight w:val="288"/>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SWIFT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proofErr w:type="spellStart"/>
            <w:r w:rsidRPr="00F35560">
              <w:rPr>
                <w:color w:val="000000"/>
              </w:rPr>
              <w:t>Mr</w:t>
            </w:r>
            <w:proofErr w:type="spellEnd"/>
          </w:p>
        </w:tc>
        <w:tc>
          <w:tcPr>
            <w:tcW w:w="727" w:type="pct"/>
            <w:tcBorders>
              <w:top w:val="single" w:sz="4" w:space="0" w:color="auto"/>
              <w:left w:val="single" w:sz="4" w:space="0" w:color="auto"/>
              <w:bottom w:val="single" w:sz="4" w:space="0" w:color="auto"/>
              <w:right w:val="single" w:sz="4" w:space="0" w:color="auto"/>
            </w:tcBorders>
            <w:vAlign w:val="center"/>
          </w:tcPr>
          <w:p w:rsidR="00F35560" w:rsidRPr="00F35560" w:rsidRDefault="00F35560" w:rsidP="00F35560">
            <w:pPr>
              <w:spacing w:before="0" w:after="0"/>
              <w:rPr>
                <w:color w:val="000000"/>
              </w:rPr>
            </w:pPr>
            <w:r w:rsidRPr="00F35560">
              <w:rPr>
                <w:color w:val="000000"/>
              </w:rPr>
              <w:t>Jacques</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proofErr w:type="spellStart"/>
            <w:r w:rsidRPr="00F35560">
              <w:rPr>
                <w:b/>
                <w:color w:val="000000"/>
              </w:rPr>
              <w:t>Littré</w:t>
            </w:r>
            <w:proofErr w:type="spellEnd"/>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color w:val="000000"/>
              </w:rPr>
            </w:pPr>
            <w:r w:rsidRPr="00F35560">
              <w:rPr>
                <w:color w:val="000000"/>
              </w:rPr>
              <w:t>SWIFT</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560" w:rsidRPr="00F35560" w:rsidRDefault="00F35560" w:rsidP="00F35560">
            <w:pPr>
              <w:spacing w:before="0" w:after="0"/>
              <w:rPr>
                <w:b/>
                <w:color w:val="000000"/>
              </w:rPr>
            </w:pPr>
            <w:r w:rsidRPr="00F35560">
              <w:rPr>
                <w:b/>
                <w:color w:val="000000"/>
              </w:rPr>
              <w:t>WG Facilitator</w:t>
            </w:r>
          </w:p>
        </w:tc>
      </w:tr>
    </w:tbl>
    <w:p w:rsidR="00CD644D" w:rsidRDefault="00CD644D" w:rsidP="00B55CCB">
      <w:pPr>
        <w:pStyle w:val="Heading1"/>
        <w:ind w:left="0" w:firstLine="0"/>
        <w:rPr>
          <w:bCs/>
        </w:rPr>
      </w:pPr>
      <w:bookmarkStart w:id="4" w:name="_Toc482870651"/>
      <w:bookmarkStart w:id="5" w:name="_Toc436145644"/>
      <w:bookmarkStart w:id="6" w:name="_Toc450127687"/>
      <w:bookmarkStart w:id="7" w:name="OLE_LINK5"/>
      <w:bookmarkStart w:id="8" w:name="OLE_LINK8"/>
      <w:bookmarkEnd w:id="2"/>
      <w:bookmarkEnd w:id="3"/>
      <w:r>
        <w:rPr>
          <w:bCs/>
        </w:rPr>
        <w:t>Welcome</w:t>
      </w:r>
      <w:bookmarkEnd w:id="4"/>
    </w:p>
    <w:p w:rsidR="00B2113B" w:rsidRDefault="00B2113B" w:rsidP="00CD644D">
      <w:pPr>
        <w:rPr>
          <w:bCs/>
          <w:color w:val="000000"/>
        </w:rPr>
      </w:pPr>
      <w:r>
        <w:t xml:space="preserve">Steve Sloan, newly elected co-Chair of the </w:t>
      </w:r>
      <w:r>
        <w:rPr>
          <w:bCs/>
          <w:color w:val="000000"/>
        </w:rPr>
        <w:t xml:space="preserve">ISITC US CA WG </w:t>
      </w:r>
      <w:r w:rsidR="00CD644D" w:rsidRPr="00CD644D">
        <w:rPr>
          <w:bCs/>
          <w:color w:val="000000"/>
        </w:rPr>
        <w:t xml:space="preserve">joins the SMPG CA WG </w:t>
      </w:r>
      <w:r>
        <w:rPr>
          <w:bCs/>
          <w:color w:val="000000"/>
        </w:rPr>
        <w:t xml:space="preserve">physical </w:t>
      </w:r>
      <w:r w:rsidR="00CD644D">
        <w:rPr>
          <w:bCs/>
          <w:color w:val="000000"/>
        </w:rPr>
        <w:t>meeting for</w:t>
      </w:r>
      <w:r>
        <w:rPr>
          <w:bCs/>
          <w:color w:val="000000"/>
        </w:rPr>
        <w:t xml:space="preserve"> the first time. Welcome </w:t>
      </w:r>
      <w:r w:rsidR="002A2EA8">
        <w:rPr>
          <w:bCs/>
          <w:color w:val="000000"/>
        </w:rPr>
        <w:t>Steve!</w:t>
      </w:r>
    </w:p>
    <w:p w:rsidR="00B55CCB" w:rsidRPr="00B55CCB" w:rsidRDefault="00B55CCB" w:rsidP="00B55CCB">
      <w:pPr>
        <w:pStyle w:val="Heading1"/>
        <w:ind w:left="0" w:firstLine="0"/>
        <w:rPr>
          <w:bCs/>
        </w:rPr>
      </w:pPr>
      <w:bookmarkStart w:id="9" w:name="_Toc482870652"/>
      <w:r w:rsidRPr="00B55CCB">
        <w:rPr>
          <w:bCs/>
        </w:rPr>
        <w:t>Meeting Agenda</w:t>
      </w:r>
      <w:bookmarkEnd w:id="5"/>
      <w:bookmarkEnd w:id="6"/>
      <w:bookmarkEnd w:id="9"/>
    </w:p>
    <w:p w:rsidR="00B55CCB" w:rsidRDefault="00B55CCB" w:rsidP="00B55CCB">
      <w:pPr>
        <w:rPr>
          <w:lang w:val="en-GB"/>
        </w:rPr>
      </w:pPr>
      <w:r w:rsidRPr="00A94DC9">
        <w:rPr>
          <w:lang w:val="en-GB"/>
        </w:rPr>
        <w:t>These minutes are based on</w:t>
      </w:r>
      <w:r>
        <w:rPr>
          <w:lang w:val="en-GB"/>
        </w:rPr>
        <w:t xml:space="preserve"> the distributed meeting agenda. See </w:t>
      </w:r>
      <w:proofErr w:type="gramStart"/>
      <w:r w:rsidR="002A2EA8">
        <w:rPr>
          <w:lang w:val="en-GB"/>
        </w:rPr>
        <w:t>document</w:t>
      </w:r>
      <w:r w:rsidR="009D188D">
        <w:rPr>
          <w:lang w:val="en-GB"/>
        </w:rPr>
        <w:t xml:space="preserve"> </w:t>
      </w:r>
      <w:r w:rsidR="002A2EA8">
        <w:rPr>
          <w:lang w:val="en-GB"/>
        </w:rPr>
        <w:t>”</w:t>
      </w:r>
      <w:proofErr w:type="gramEnd"/>
      <w:r w:rsidRPr="00B55CCB">
        <w:rPr>
          <w:lang w:val="en-GB"/>
        </w:rPr>
        <w:t>SMPG_Meeting_</w:t>
      </w:r>
      <w:r w:rsidR="00B2113B">
        <w:rPr>
          <w:lang w:val="en-GB"/>
        </w:rPr>
        <w:t>Dublin_26_28</w:t>
      </w:r>
      <w:r w:rsidRPr="00B55CCB">
        <w:rPr>
          <w:lang w:val="en-GB"/>
        </w:rPr>
        <w:t>_</w:t>
      </w:r>
      <w:r w:rsidR="00B2113B">
        <w:rPr>
          <w:lang w:val="en-GB"/>
        </w:rPr>
        <w:t>Apr_2017_CA_DetailedAgenda_FINAL</w:t>
      </w:r>
      <w:r>
        <w:rPr>
          <w:lang w:val="en-GB"/>
        </w:rPr>
        <w:t>”</w:t>
      </w:r>
      <w:r w:rsidR="00B2113B">
        <w:rPr>
          <w:lang w:val="en-GB"/>
        </w:rPr>
        <w:t xml:space="preserve"> (also posted on the SMPG web site)</w:t>
      </w:r>
      <w:r>
        <w:rPr>
          <w:lang w:val="en-GB"/>
        </w:rPr>
        <w:t>:</w:t>
      </w:r>
    </w:p>
    <w:bookmarkStart w:id="10" w:name="_MON_1555424188"/>
    <w:bookmarkEnd w:id="10"/>
    <w:p w:rsidR="00B55CCB" w:rsidRDefault="00B2113B" w:rsidP="00B55CCB">
      <w:pPr>
        <w:rPr>
          <w:lang w:val="en-GB"/>
        </w:rPr>
      </w:pPr>
      <w:r>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12" ShapeID="_x0000_i1025" DrawAspect="Icon" ObjectID="_1558364456" r:id="rId17">
            <o:FieldCodes>\s</o:FieldCodes>
          </o:OLEObject>
        </w:object>
      </w:r>
    </w:p>
    <w:p w:rsidR="00B55CCB" w:rsidRDefault="00CD644D" w:rsidP="00B55CCB">
      <w:pPr>
        <w:pStyle w:val="Heading1"/>
      </w:pPr>
      <w:bookmarkStart w:id="11" w:name="_Toc436145646"/>
      <w:bookmarkStart w:id="12" w:name="_Toc450127689"/>
      <w:bookmarkStart w:id="13" w:name="_Toc482870653"/>
      <w:r>
        <w:t xml:space="preserve">Next </w:t>
      </w:r>
      <w:r w:rsidR="00B55CCB" w:rsidRPr="004C4CE2">
        <w:t>Telco</w:t>
      </w:r>
      <w:r w:rsidR="00B55CCB">
        <w:t>/Meeting</w:t>
      </w:r>
      <w:r w:rsidR="00B55CCB" w:rsidRPr="004C4CE2">
        <w:t xml:space="preserve"> </w:t>
      </w:r>
      <w:r w:rsidR="00B55CCB">
        <w:t>S</w:t>
      </w:r>
      <w:r w:rsidR="00B55CCB" w:rsidRPr="004C4CE2">
        <w:t>chedule</w:t>
      </w:r>
      <w:r w:rsidR="00B55CCB">
        <w:t xml:space="preserve"> for </w:t>
      </w:r>
      <w:bookmarkEnd w:id="11"/>
      <w:bookmarkEnd w:id="12"/>
      <w:r w:rsidR="00B55CCB">
        <w:t>2017 Q</w:t>
      </w:r>
      <w:r w:rsidR="00913120">
        <w:t>3 and 4</w:t>
      </w:r>
      <w:bookmarkEnd w:id="13"/>
    </w:p>
    <w:p w:rsidR="004B308D" w:rsidRPr="00913120" w:rsidRDefault="00913120" w:rsidP="00913120">
      <w:r w:rsidRPr="00913120">
        <w:t xml:space="preserve">On Tuesday </w:t>
      </w:r>
      <w:r w:rsidRPr="00913120">
        <w:rPr>
          <w:b/>
        </w:rPr>
        <w:t>May 23, June 27, Sept. 12, Nov. 7, Dec 12</w:t>
      </w:r>
      <w:r w:rsidRPr="00913120">
        <w:t xml:space="preserve"> </w:t>
      </w:r>
    </w:p>
    <w:p w:rsidR="004B308D" w:rsidRPr="004B308D" w:rsidRDefault="004B308D" w:rsidP="004B308D">
      <w:r>
        <w:t xml:space="preserve">All teleconferences from 2 to 4 PM CET. </w:t>
      </w:r>
    </w:p>
    <w:p w:rsidR="004B2F86" w:rsidRDefault="004B2F86" w:rsidP="00C9584C">
      <w:pPr>
        <w:pStyle w:val="Heading1"/>
      </w:pPr>
      <w:bookmarkStart w:id="14" w:name="_Toc482870654"/>
      <w:r>
        <w:rPr>
          <w:lang w:eastAsia="en-GB"/>
        </w:rPr>
        <w:lastRenderedPageBreak/>
        <w:t xml:space="preserve">Approval of </w:t>
      </w:r>
      <w:r w:rsidR="00B63F91">
        <w:rPr>
          <w:lang w:eastAsia="en-GB"/>
        </w:rPr>
        <w:t>March 28</w:t>
      </w:r>
      <w:r w:rsidR="00A820ED">
        <w:rPr>
          <w:lang w:eastAsia="en-GB"/>
        </w:rPr>
        <w:t xml:space="preserve"> </w:t>
      </w:r>
      <w:r w:rsidR="00F0183B">
        <w:rPr>
          <w:lang w:eastAsia="en-GB"/>
        </w:rPr>
        <w:t>conf. call</w:t>
      </w:r>
      <w:r w:rsidR="00A820ED">
        <w:rPr>
          <w:lang w:eastAsia="en-GB"/>
        </w:rPr>
        <w:t xml:space="preserve"> minutes</w:t>
      </w:r>
      <w:bookmarkEnd w:id="14"/>
    </w:p>
    <w:bookmarkEnd w:id="7"/>
    <w:bookmarkEnd w:id="8"/>
    <w:p w:rsidR="00B63F91" w:rsidRDefault="00B63F91" w:rsidP="00FA6AEA">
      <w:r>
        <w:t xml:space="preserve">In the open item CA362, remove comment in the last sentence about DK. </w:t>
      </w:r>
    </w:p>
    <w:p w:rsidR="00C9584C" w:rsidRPr="00A820ED" w:rsidRDefault="000D1115" w:rsidP="00FA6AEA">
      <w:r w:rsidRPr="00A820ED">
        <w:t>The m</w:t>
      </w:r>
      <w:r w:rsidR="007A4699" w:rsidRPr="00A820ED">
        <w:t xml:space="preserve">inutes </w:t>
      </w:r>
      <w:r w:rsidR="00D453A0">
        <w:t xml:space="preserve">of </w:t>
      </w:r>
      <w:r w:rsidR="00B63F91">
        <w:t>March 28</w:t>
      </w:r>
      <w:r w:rsidR="00D453A0">
        <w:t xml:space="preserve"> </w:t>
      </w:r>
      <w:r w:rsidR="007A4699" w:rsidRPr="00A820ED">
        <w:t xml:space="preserve">are approved. </w:t>
      </w:r>
    </w:p>
    <w:p w:rsidR="00F35560" w:rsidRPr="005B6528" w:rsidRDefault="00F35560" w:rsidP="00F35560">
      <w:pPr>
        <w:pStyle w:val="Heading1"/>
      </w:pPr>
      <w:bookmarkStart w:id="15" w:name="_Toc479157745"/>
      <w:bookmarkStart w:id="16" w:name="_Toc482870655"/>
      <w:r w:rsidRPr="005B6528">
        <w:t>CA203</w:t>
      </w:r>
      <w:r w:rsidRPr="005B6528">
        <w:tab/>
        <w:t xml:space="preserve">SR2017 – </w:t>
      </w:r>
      <w:r w:rsidR="009D4D11" w:rsidRPr="005B6528">
        <w:t xml:space="preserve">AVAL in EIG &amp; </w:t>
      </w:r>
      <w:r w:rsidRPr="005B6528">
        <w:t>Remaining SR2017 Template Questions</w:t>
      </w:r>
      <w:bookmarkEnd w:id="15"/>
      <w:bookmarkEnd w:id="16"/>
    </w:p>
    <w:p w:rsidR="00F35560" w:rsidRPr="0041595A" w:rsidRDefault="009D4D11" w:rsidP="0041595A">
      <w:pPr>
        <w:pStyle w:val="ListParagraph"/>
        <w:numPr>
          <w:ilvl w:val="0"/>
          <w:numId w:val="21"/>
        </w:numPr>
      </w:pPr>
      <w:r w:rsidRPr="0041595A">
        <w:rPr>
          <w:b/>
        </w:rPr>
        <w:t>Issues in some SMPG Samples</w:t>
      </w:r>
      <w:r w:rsidR="00F35560" w:rsidRPr="0041595A">
        <w:t xml:space="preserve">: </w:t>
      </w:r>
    </w:p>
    <w:p w:rsidR="00F35560" w:rsidRDefault="00F35560" w:rsidP="00F35560">
      <w:r>
        <w:t>When reviewing the templates for developing the CA Usa</w:t>
      </w:r>
      <w:r w:rsidR="00E32CEA">
        <w:t>ge Guidelines on MS, Jacques has</w:t>
      </w:r>
      <w:r>
        <w:t xml:space="preserve"> noticed a few issues with the following templates:</w:t>
      </w:r>
    </w:p>
    <w:p w:rsidR="00F35560" w:rsidRDefault="00F35560" w:rsidP="00F35560">
      <w:r>
        <w:t>a) PPMT CHOS: There is a template for PPMT CHOS whilst PPMT is not supported in our EIG GG. It is just supported by AU in their country column however AU supports PPMT MAND and not CHOS?</w:t>
      </w:r>
    </w:p>
    <w:p w:rsidR="00E32CEA" w:rsidRDefault="00E32CEA" w:rsidP="00E32CEA">
      <w:pPr>
        <w:pStyle w:val="Decisions"/>
      </w:pPr>
      <w:r w:rsidRPr="0041595A">
        <w:rPr>
          <w:b/>
          <w:u w:val="single"/>
        </w:rPr>
        <w:t>Decision</w:t>
      </w:r>
      <w:r>
        <w:t xml:space="preserve">: Remove </w:t>
      </w:r>
      <w:r w:rsidR="009D4D11">
        <w:t>the PPMT CHOS line from the EIG+ but keep PPMT MAND</w:t>
      </w:r>
      <w:r w:rsidR="00C7495F">
        <w:t xml:space="preserve"> for Australia</w:t>
      </w:r>
      <w:r w:rsidR="009D4D11">
        <w:t>. Also, remove the sample PPMT CHOS from the SMPG templates doc.</w:t>
      </w:r>
    </w:p>
    <w:p w:rsidR="00F35560" w:rsidRDefault="00F35560" w:rsidP="00F35560">
      <w:r>
        <w:t xml:space="preserve">b) CLSA VOLU: In the EIG GG, we have the option ABST whilst in the template we have CONN instead. The EIG GG shows also OFFR and RATE as optional however in the template we have no movements at all that are illustrated and therefore OFFR and RATE usage is not illustrated? Should they be </w:t>
      </w:r>
      <w:r w:rsidR="008B0BA9">
        <w:t>i</w:t>
      </w:r>
      <w:r>
        <w:t>llustrated in a CASH Move sequence?</w:t>
      </w:r>
    </w:p>
    <w:p w:rsidR="009D4D11" w:rsidRDefault="009D4D11" w:rsidP="009D4D11">
      <w:pPr>
        <w:pStyle w:val="Decisions"/>
      </w:pPr>
      <w:r w:rsidRPr="0041595A">
        <w:rPr>
          <w:b/>
          <w:u w:val="single"/>
        </w:rPr>
        <w:t>Decision</w:t>
      </w:r>
      <w:r>
        <w:t xml:space="preserve">: OFFR and RATE are optional </w:t>
      </w:r>
      <w:r w:rsidR="002A2EA8">
        <w:t>elements;</w:t>
      </w:r>
      <w:r>
        <w:t xml:space="preserve"> therefore they do not necessarily need to appear in the sample. Movements are not mandatory for the MT 564 sample as any cash movements in class action are not known when announced and might be confirmed only years after the announcements.  ISITC confirms that CONN option is correct and ABST is not. </w:t>
      </w:r>
    </w:p>
    <w:p w:rsidR="00F35560" w:rsidRDefault="00F35560" w:rsidP="00F35560">
      <w:r>
        <w:t>c)  DTCH VOLU and DTCH VOLU US: Both templates do not seem to reflect correctly the EIG GG and CC for US. For instance for US:   MAXP, MINP, REVO, BIDI are indicated as Mandatory in the EIG and are shown as optional in the template. Similarly, REVO is indicated in the EIG GG but is not present in the template for the generic DTCH VOLU</w:t>
      </w:r>
      <w:r w:rsidR="008B0BA9">
        <w:t>.</w:t>
      </w:r>
    </w:p>
    <w:p w:rsidR="0041595A" w:rsidRDefault="0041595A" w:rsidP="0041595A">
      <w:pPr>
        <w:pStyle w:val="Decisions"/>
      </w:pPr>
      <w:r w:rsidRPr="0041595A">
        <w:rPr>
          <w:b/>
          <w:u w:val="single"/>
        </w:rPr>
        <w:t>Decision</w:t>
      </w:r>
      <w:r>
        <w:t xml:space="preserve">: </w:t>
      </w:r>
      <w:r w:rsidR="00182C75">
        <w:t>ISITC and UK to review their respective DTCH template and align them with the EIG though DTCH VOLU usage is very limited in the UK.</w:t>
      </w:r>
      <w:r w:rsidR="00B413DE">
        <w:t xml:space="preserve"> ISITC confirms that their DTCH VOLU template is incorrect and EIG column is ok.</w:t>
      </w:r>
    </w:p>
    <w:p w:rsidR="0041595A" w:rsidRPr="0041595A" w:rsidRDefault="0041595A" w:rsidP="0041595A">
      <w:pPr>
        <w:pStyle w:val="ListParagraph"/>
        <w:numPr>
          <w:ilvl w:val="0"/>
          <w:numId w:val="21"/>
        </w:numPr>
      </w:pPr>
      <w:r w:rsidRPr="0041595A">
        <w:rPr>
          <w:b/>
        </w:rPr>
        <w:t>Adding AVAL date in the EIG+</w:t>
      </w:r>
      <w:r w:rsidRPr="0041595A">
        <w:t xml:space="preserve"> </w:t>
      </w:r>
      <w:r w:rsidRPr="0041595A">
        <w:rPr>
          <w:b/>
        </w:rPr>
        <w:t xml:space="preserve">? </w:t>
      </w:r>
    </w:p>
    <w:p w:rsidR="0041595A" w:rsidRDefault="006047BD" w:rsidP="006047BD">
      <w:pPr>
        <w:pStyle w:val="Decisions"/>
      </w:pPr>
      <w:r w:rsidRPr="006047BD">
        <w:rPr>
          <w:b/>
          <w:u w:val="single"/>
        </w:rPr>
        <w:t>Decision</w:t>
      </w:r>
      <w:r>
        <w:t>: Do not to add AVAL to the EIG, as context is required, otherwise it will add to confusion. However it may be added to the local country column if required.</w:t>
      </w:r>
    </w:p>
    <w:p w:rsidR="0041595A" w:rsidRPr="0041595A" w:rsidRDefault="0041595A" w:rsidP="0041595A">
      <w:pPr>
        <w:pStyle w:val="ListParagraph"/>
        <w:numPr>
          <w:ilvl w:val="0"/>
          <w:numId w:val="21"/>
        </w:numPr>
        <w:rPr>
          <w:b/>
        </w:rPr>
      </w:pPr>
      <w:r w:rsidRPr="0041595A">
        <w:rPr>
          <w:b/>
        </w:rPr>
        <w:t>EIG+ US Column</w:t>
      </w:r>
    </w:p>
    <w:p w:rsidR="0041595A" w:rsidRDefault="0041595A" w:rsidP="0041595A">
      <w:r w:rsidRPr="0041595A">
        <w:t>ISITC has reviewed the entire EIG+ US column. ISITC (Steve) will send the new column and detailed changes to Jacques before end of week.</w:t>
      </w:r>
    </w:p>
    <w:p w:rsidR="007B7750" w:rsidRDefault="00F35560" w:rsidP="00F35560">
      <w:pPr>
        <w:autoSpaceDE w:val="0"/>
        <w:autoSpaceDN w:val="0"/>
        <w:adjustRightInd w:val="0"/>
        <w:rPr>
          <w:b/>
          <w:color w:val="FF0000"/>
          <w:u w:val="single"/>
        </w:rPr>
      </w:pPr>
      <w:r w:rsidRPr="00302D40">
        <w:rPr>
          <w:b/>
          <w:color w:val="FF0000"/>
          <w:u w:val="single"/>
        </w:rPr>
        <w:t>Actions</w:t>
      </w:r>
      <w:r w:rsidR="007B7750">
        <w:rPr>
          <w:b/>
          <w:color w:val="FF0000"/>
          <w:u w:val="single"/>
        </w:rPr>
        <w:t>:</w:t>
      </w:r>
    </w:p>
    <w:p w:rsidR="00F35560" w:rsidRDefault="007B7750" w:rsidP="007B7750">
      <w:pPr>
        <w:pStyle w:val="Actions"/>
      </w:pPr>
      <w:r>
        <w:rPr>
          <w:b/>
          <w:u w:val="single"/>
        </w:rPr>
        <w:t xml:space="preserve">1. </w:t>
      </w:r>
      <w:r w:rsidR="00F35560" w:rsidRPr="00CE5BB9">
        <w:rPr>
          <w:u w:val="single"/>
        </w:rPr>
        <w:t>Steve/Pau</w:t>
      </w:r>
      <w:r w:rsidR="00B413DE">
        <w:rPr>
          <w:u w:val="single"/>
        </w:rPr>
        <w:t>/Matthew</w:t>
      </w:r>
      <w:r w:rsidR="00F35560">
        <w:t xml:space="preserve">: to </w:t>
      </w:r>
      <w:r w:rsidR="00B413DE">
        <w:t>review their respective DTCH VOLU</w:t>
      </w:r>
      <w:r w:rsidR="00F35560">
        <w:t xml:space="preserve"> template and </w:t>
      </w:r>
      <w:r w:rsidR="00B413DE">
        <w:t>communicate changes to Jacques asap</w:t>
      </w:r>
      <w:r w:rsidR="00F35560">
        <w:t>.</w:t>
      </w:r>
    </w:p>
    <w:p w:rsidR="007B7750" w:rsidRPr="00CE5BB9" w:rsidRDefault="007B7750" w:rsidP="007B7750">
      <w:pPr>
        <w:pStyle w:val="Actions"/>
      </w:pPr>
      <w:r>
        <w:t xml:space="preserve">2. </w:t>
      </w:r>
      <w:r w:rsidRPr="007B7750">
        <w:rPr>
          <w:u w:val="single"/>
        </w:rPr>
        <w:t>Jacques</w:t>
      </w:r>
      <w:r>
        <w:t xml:space="preserve"> to implement the above decisions for SMPG templates and create new EIG+ version when US column is updated. </w:t>
      </w:r>
    </w:p>
    <w:p w:rsidR="00BF44FE" w:rsidRDefault="00BF44FE" w:rsidP="00F35560">
      <w:pPr>
        <w:pStyle w:val="Heading1"/>
      </w:pPr>
      <w:bookmarkStart w:id="17" w:name="_Toc482870656"/>
      <w:bookmarkStart w:id="18" w:name="_Toc479157746"/>
      <w:r>
        <w:t>CA221</w:t>
      </w:r>
      <w:r>
        <w:tab/>
        <w:t>Tax Certification Process</w:t>
      </w:r>
      <w:bookmarkEnd w:id="17"/>
    </w:p>
    <w:p w:rsidR="00BF44FE" w:rsidRDefault="00BF44FE" w:rsidP="00BF44FE">
      <w:r>
        <w:t xml:space="preserve">It was preliminarily agreed </w:t>
      </w:r>
      <w:r w:rsidR="008B0BA9">
        <w:t>i</w:t>
      </w:r>
      <w:r>
        <w:t xml:space="preserve">n Zurich that a full harmonisation is not possible as some markets do tax certification in the event and others as a separate event and there is no consensus on a common solution. </w:t>
      </w:r>
    </w:p>
    <w:p w:rsidR="00EC6040" w:rsidRDefault="00EC6040" w:rsidP="00BF44FE">
      <w:r>
        <w:t xml:space="preserve">See below attached the comparison table with pros and cons on both </w:t>
      </w:r>
      <w:r w:rsidR="002A2EA8">
        <w:t>solutions</w:t>
      </w:r>
      <w:r>
        <w:t>:</w:t>
      </w:r>
    </w:p>
    <w:p w:rsidR="00BF44FE" w:rsidRDefault="00EC6040" w:rsidP="00BF44FE">
      <w:r>
        <w:object w:dxaOrig="1551" w:dyaOrig="991">
          <v:shape id="_x0000_i1026" type="#_x0000_t75" style="width:77.25pt;height:49.5pt" o:ole="">
            <v:imagedata r:id="rId18" o:title=""/>
          </v:shape>
          <o:OLEObject Type="Embed" ProgID="Excel.Sheet.12" ShapeID="_x0000_i1026" DrawAspect="Icon" ObjectID="_1558364457" r:id="rId19"/>
        </w:object>
      </w:r>
    </w:p>
    <w:p w:rsidR="00EC6040" w:rsidRDefault="00EC6040" w:rsidP="00BF44FE">
      <w:r>
        <w:t xml:space="preserve">The goal should rather be to ensure that we have a global market practice for both scenarios. </w:t>
      </w:r>
    </w:p>
    <w:p w:rsidR="00BF44FE" w:rsidRDefault="00BF44FE" w:rsidP="00BF44FE">
      <w:r>
        <w:t xml:space="preserve">A comparison with rights issue led to </w:t>
      </w:r>
      <w:r w:rsidR="00EC6040">
        <w:t xml:space="preserve">the </w:t>
      </w:r>
      <w:r>
        <w:t xml:space="preserve">review of the </w:t>
      </w:r>
      <w:r w:rsidR="00047614">
        <w:t>“Distribution with Options” tab (</w:t>
      </w:r>
      <w:r>
        <w:t xml:space="preserve">rights issue </w:t>
      </w:r>
      <w:r w:rsidR="00EC6040">
        <w:t xml:space="preserve">in </w:t>
      </w:r>
      <w:r>
        <w:t>1/2 events</w:t>
      </w:r>
      <w:r w:rsidR="00047614">
        <w:t>)</w:t>
      </w:r>
      <w:r>
        <w:t xml:space="preserve"> in GMP</w:t>
      </w:r>
      <w:r w:rsidR="00047614">
        <w:t xml:space="preserve"> Part </w:t>
      </w:r>
      <w:r>
        <w:t>2</w:t>
      </w:r>
      <w:r w:rsidR="00EC6040">
        <w:t>.</w:t>
      </w:r>
      <w:r w:rsidR="00047614">
        <w:t xml:space="preserve"> </w:t>
      </w:r>
    </w:p>
    <w:p w:rsidR="00825155" w:rsidRDefault="00EC6040" w:rsidP="00BF44FE">
      <w:r>
        <w:t>Jyi-Chen confirms that SG has adopted the 2 events scenario whilst some in Taiwan used PRIO as TW does not create a right</w:t>
      </w:r>
      <w:r w:rsidR="00825155" w:rsidRPr="00825155">
        <w:t xml:space="preserve"> </w:t>
      </w:r>
      <w:r w:rsidR="00825155">
        <w:t>(rights are not legally recognised in the market)</w:t>
      </w:r>
      <w:r>
        <w:t xml:space="preserve">. </w:t>
      </w:r>
      <w:r w:rsidR="0059356C">
        <w:t xml:space="preserve">The TW NMPG has </w:t>
      </w:r>
      <w:r w:rsidR="00825155">
        <w:t xml:space="preserve">apparently </w:t>
      </w:r>
      <w:r w:rsidR="0059356C">
        <w:t xml:space="preserve">now decided </w:t>
      </w:r>
      <w:r>
        <w:t xml:space="preserve">to </w:t>
      </w:r>
      <w:r w:rsidR="0059356C">
        <w:t>work with a sort of “virtual” r</w:t>
      </w:r>
      <w:r>
        <w:t>ight</w:t>
      </w:r>
      <w:r w:rsidR="0059356C">
        <w:t xml:space="preserve"> </w:t>
      </w:r>
      <w:r w:rsidR="008B0BA9">
        <w:t>and</w:t>
      </w:r>
      <w:r w:rsidR="00825155">
        <w:t xml:space="preserve"> </w:t>
      </w:r>
      <w:r w:rsidR="0059356C">
        <w:t>us</w:t>
      </w:r>
      <w:r w:rsidR="00825155">
        <w:t>ing</w:t>
      </w:r>
      <w:r w:rsidR="0059356C">
        <w:t xml:space="preserve"> a fake RHTS event (RHTS </w:t>
      </w:r>
      <w:r w:rsidR="00825155">
        <w:t xml:space="preserve">value used </w:t>
      </w:r>
      <w:r w:rsidR="0059356C">
        <w:t>in a DSS</w:t>
      </w:r>
      <w:r w:rsidR="008B0BA9">
        <w:t>) so as to skip the mandatory sequence C</w:t>
      </w:r>
      <w:r>
        <w:t xml:space="preserve">. </w:t>
      </w:r>
    </w:p>
    <w:p w:rsidR="00EC6040" w:rsidRDefault="00825155" w:rsidP="00BF44FE">
      <w:r>
        <w:t>This implementation with a DSS for RHTS w</w:t>
      </w:r>
      <w:r w:rsidR="00EC6040">
        <w:t xml:space="preserve">ill only work for the local market. </w:t>
      </w:r>
      <w:r>
        <w:t>The SMPG r</w:t>
      </w:r>
      <w:r w:rsidR="00EC6040">
        <w:t xml:space="preserve">ecommendation </w:t>
      </w:r>
      <w:r>
        <w:t xml:space="preserve">should rather be </w:t>
      </w:r>
      <w:r w:rsidR="00EC6040">
        <w:t>to use PRIO</w:t>
      </w:r>
      <w:r>
        <w:t xml:space="preserve"> instead as it does not require a specific implementation of RHTS for that market for global players.</w:t>
      </w:r>
    </w:p>
    <w:p w:rsidR="00EC6040" w:rsidRDefault="00BF44FE" w:rsidP="00EC6040">
      <w:pPr>
        <w:pStyle w:val="Actions"/>
      </w:pPr>
      <w:r w:rsidRPr="00EC6040">
        <w:rPr>
          <w:b/>
          <w:u w:val="single"/>
        </w:rPr>
        <w:t>Action</w:t>
      </w:r>
      <w:r w:rsidR="00EC6040">
        <w:rPr>
          <w:b/>
          <w:u w:val="single"/>
        </w:rPr>
        <w:t>s</w:t>
      </w:r>
      <w:r>
        <w:t>:</w:t>
      </w:r>
    </w:p>
    <w:p w:rsidR="00BF44FE" w:rsidRDefault="00BF44FE" w:rsidP="00EC6040">
      <w:pPr>
        <w:pStyle w:val="Actions"/>
        <w:numPr>
          <w:ilvl w:val="0"/>
          <w:numId w:val="34"/>
        </w:numPr>
      </w:pPr>
      <w:r w:rsidRPr="00825155">
        <w:rPr>
          <w:u w:val="single"/>
        </w:rPr>
        <w:t xml:space="preserve">UK </w:t>
      </w:r>
      <w:r w:rsidR="00EC6040" w:rsidRPr="00825155">
        <w:rPr>
          <w:u w:val="single"/>
        </w:rPr>
        <w:t xml:space="preserve">(Matthew) </w:t>
      </w:r>
      <w:r w:rsidRPr="00825155">
        <w:rPr>
          <w:u w:val="single"/>
        </w:rPr>
        <w:t xml:space="preserve">and US </w:t>
      </w:r>
      <w:r w:rsidR="00EC6040" w:rsidRPr="00825155">
        <w:rPr>
          <w:u w:val="single"/>
        </w:rPr>
        <w:t>(Paul/Steve)</w:t>
      </w:r>
      <w:r w:rsidR="00EC6040">
        <w:t xml:space="preserve"> </w:t>
      </w:r>
      <w:r>
        <w:t xml:space="preserve">to check if feedback has </w:t>
      </w:r>
      <w:r w:rsidR="00EC6040">
        <w:t xml:space="preserve">already </w:t>
      </w:r>
      <w:r>
        <w:t>been collected and sent it</w:t>
      </w:r>
      <w:r w:rsidR="00EC6040">
        <w:t xml:space="preserve"> to Jacques.</w:t>
      </w:r>
      <w:r>
        <w:t xml:space="preserve"> </w:t>
      </w:r>
    </w:p>
    <w:p w:rsidR="00EC6040" w:rsidRDefault="00825155" w:rsidP="00EC6040">
      <w:pPr>
        <w:pStyle w:val="Actions"/>
        <w:numPr>
          <w:ilvl w:val="0"/>
          <w:numId w:val="34"/>
        </w:numPr>
      </w:pPr>
      <w:r w:rsidRPr="00825155">
        <w:rPr>
          <w:u w:val="single"/>
        </w:rPr>
        <w:t>Jacques &amp; Jyi-Chen</w:t>
      </w:r>
      <w:r>
        <w:t xml:space="preserve"> to check the TW MP status about their new rights distribution event.</w:t>
      </w:r>
    </w:p>
    <w:p w:rsidR="00047614" w:rsidRPr="00BF44FE" w:rsidRDefault="00047614" w:rsidP="00EC6040">
      <w:pPr>
        <w:pStyle w:val="Actions"/>
        <w:numPr>
          <w:ilvl w:val="0"/>
          <w:numId w:val="34"/>
        </w:numPr>
      </w:pPr>
      <w:r>
        <w:rPr>
          <w:u w:val="single"/>
        </w:rPr>
        <w:t>PL (Michal)</w:t>
      </w:r>
      <w:r w:rsidRPr="00047614">
        <w:t xml:space="preserve"> to communicate whether </w:t>
      </w:r>
      <w:r w:rsidR="002A2EA8" w:rsidRPr="00047614">
        <w:t>Rights</w:t>
      </w:r>
      <w:r w:rsidRPr="00047614">
        <w:t xml:space="preserve"> distribution is in 1 or 2 steps in Poland.</w:t>
      </w:r>
    </w:p>
    <w:p w:rsidR="00F35560" w:rsidRDefault="006E6532" w:rsidP="00F35560">
      <w:pPr>
        <w:pStyle w:val="Heading1"/>
      </w:pPr>
      <w:bookmarkStart w:id="19" w:name="_Toc482870657"/>
      <w:r>
        <w:t>CA279</w:t>
      </w:r>
      <w:r>
        <w:tab/>
        <w:t xml:space="preserve">Claims </w:t>
      </w:r>
      <w:r w:rsidR="00F35560">
        <w:t>in the T2S context</w:t>
      </w:r>
      <w:bookmarkEnd w:id="18"/>
      <w:bookmarkEnd w:id="19"/>
    </w:p>
    <w:p w:rsidR="00173C0D" w:rsidRDefault="00DD01E3" w:rsidP="005B6528">
      <w:pPr>
        <w:spacing w:before="0" w:after="0" w:line="280" w:lineRule="atLeast"/>
        <w:contextualSpacing/>
      </w:pPr>
      <w:r>
        <w:t>The following document is a consolidation of all input tables received from the markets on the market claim process.</w:t>
      </w:r>
      <w:r w:rsidRPr="00DD01E3">
        <w:t xml:space="preserve"> </w:t>
      </w:r>
      <w:r>
        <w:t xml:space="preserve">The initial idea was to gather information first in order to analyse afterwards the results and then decide how to progress and engage with the </w:t>
      </w:r>
      <w:r w:rsidR="00173C0D">
        <w:t>SnR</w:t>
      </w:r>
      <w:r>
        <w:t xml:space="preserve"> </w:t>
      </w:r>
      <w:r w:rsidR="00173C0D">
        <w:t>WG</w:t>
      </w:r>
      <w:r>
        <w:t>.</w:t>
      </w:r>
    </w:p>
    <w:p w:rsidR="00173C0D" w:rsidRDefault="00173C0D" w:rsidP="005B6528">
      <w:pPr>
        <w:spacing w:before="0" w:after="0" w:line="280" w:lineRule="atLeast"/>
        <w:contextualSpacing/>
      </w:pPr>
    </w:p>
    <w:p w:rsidR="00DD01E3" w:rsidRDefault="00DD01E3" w:rsidP="005B6528">
      <w:pPr>
        <w:spacing w:before="0" w:after="0" w:line="280" w:lineRule="atLeast"/>
        <w:contextualSpacing/>
      </w:pPr>
      <w:r>
        <w:t xml:space="preserve">The problems are worse in T2S due to cross border market claims and involvement of different countries.  </w:t>
      </w:r>
    </w:p>
    <w:bookmarkStart w:id="20" w:name="_MON_1556360455"/>
    <w:bookmarkEnd w:id="20"/>
    <w:p w:rsidR="005B6528" w:rsidRDefault="0061166C" w:rsidP="005B6528">
      <w:pPr>
        <w:spacing w:before="0" w:after="0" w:line="280" w:lineRule="atLeast"/>
        <w:contextualSpacing/>
      </w:pPr>
      <w:r>
        <w:object w:dxaOrig="1531" w:dyaOrig="990">
          <v:shape id="_x0000_i1027" type="#_x0000_t75" style="width:76.5pt;height:49.5pt" o:ole="">
            <v:imagedata r:id="rId20" o:title=""/>
          </v:shape>
          <o:OLEObject Type="Embed" ProgID="Excel.Sheet.12" ShapeID="_x0000_i1027" DrawAspect="Icon" ObjectID="_1558364458" r:id="rId21"/>
        </w:object>
      </w:r>
    </w:p>
    <w:p w:rsidR="00DD01E3" w:rsidRDefault="005B6528" w:rsidP="00DD01E3">
      <w:r>
        <w:t>Bernard presents the consolidated input</w:t>
      </w:r>
      <w:r w:rsidR="00C57587">
        <w:t xml:space="preserve"> file (see above) built from the tables filled in by </w:t>
      </w:r>
      <w:r w:rsidR="00C42E93">
        <w:t>NMPGs.</w:t>
      </w:r>
      <w:r w:rsidR="00DD01E3">
        <w:t xml:space="preserve"> </w:t>
      </w:r>
    </w:p>
    <w:p w:rsidR="00C42E93" w:rsidRPr="00C42E93" w:rsidRDefault="00C42E93" w:rsidP="005B6528">
      <w:pPr>
        <w:spacing w:before="0" w:after="0" w:line="280" w:lineRule="atLeast"/>
        <w:contextualSpacing/>
        <w:rPr>
          <w:b/>
          <w:u w:val="single"/>
        </w:rPr>
      </w:pPr>
      <w:r w:rsidRPr="00C42E93">
        <w:rPr>
          <w:b/>
          <w:u w:val="single"/>
        </w:rPr>
        <w:t>Outcome of the input file review:</w:t>
      </w:r>
    </w:p>
    <w:p w:rsidR="005B6528" w:rsidRPr="00C42E93" w:rsidRDefault="00173C0D" w:rsidP="00C42E93">
      <w:pPr>
        <w:pStyle w:val="ListParagraph"/>
        <w:numPr>
          <w:ilvl w:val="0"/>
          <w:numId w:val="23"/>
        </w:numPr>
        <w:spacing w:before="0" w:after="0" w:line="280" w:lineRule="atLeast"/>
        <w:contextualSpacing/>
        <w:rPr>
          <w:u w:val="none"/>
        </w:rPr>
      </w:pPr>
      <w:r>
        <w:rPr>
          <w:u w:val="none"/>
        </w:rPr>
        <w:t xml:space="preserve">FR &amp; CH: </w:t>
      </w:r>
      <w:r w:rsidR="00C42E93">
        <w:rPr>
          <w:u w:val="none"/>
        </w:rPr>
        <w:t>There</w:t>
      </w:r>
      <w:r w:rsidR="008164E3">
        <w:rPr>
          <w:u w:val="none"/>
        </w:rPr>
        <w:t xml:space="preserve"> was</w:t>
      </w:r>
      <w:r w:rsidR="00C42E93">
        <w:rPr>
          <w:u w:val="none"/>
        </w:rPr>
        <w:t xml:space="preserve"> a misunderstanding on what “optional” &amp; “mandatory” means in the consolidated table as Mandatory for FR and</w:t>
      </w:r>
      <w:r w:rsidR="008164E3">
        <w:rPr>
          <w:u w:val="none"/>
        </w:rPr>
        <w:t xml:space="preserve"> Optional for CH means the same as CH considered “O” or “M” when one has subscribed to the MC service</w:t>
      </w:r>
      <w:r>
        <w:rPr>
          <w:u w:val="none"/>
        </w:rPr>
        <w:t xml:space="preserve"> only</w:t>
      </w:r>
      <w:r w:rsidR="008164E3">
        <w:rPr>
          <w:u w:val="none"/>
        </w:rPr>
        <w:t>.</w:t>
      </w:r>
      <w:r w:rsidR="0035512A">
        <w:rPr>
          <w:u w:val="none"/>
        </w:rPr>
        <w:t xml:space="preserve"> In</w:t>
      </w:r>
      <w:r>
        <w:rPr>
          <w:u w:val="none"/>
        </w:rPr>
        <w:t xml:space="preserve"> FR, </w:t>
      </w:r>
      <w:r w:rsidR="0035512A">
        <w:rPr>
          <w:u w:val="none"/>
        </w:rPr>
        <w:t xml:space="preserve">once </w:t>
      </w:r>
      <w:r>
        <w:rPr>
          <w:u w:val="none"/>
        </w:rPr>
        <w:t>one has subscribed, it is mandatory.</w:t>
      </w:r>
    </w:p>
    <w:p w:rsidR="008164E3" w:rsidRDefault="005442EB" w:rsidP="00C42E93">
      <w:pPr>
        <w:pStyle w:val="ListParagraph"/>
        <w:numPr>
          <w:ilvl w:val="0"/>
          <w:numId w:val="23"/>
        </w:numPr>
        <w:spacing w:before="0" w:after="0" w:line="280" w:lineRule="atLeast"/>
        <w:contextualSpacing/>
        <w:rPr>
          <w:u w:val="none"/>
        </w:rPr>
      </w:pPr>
      <w:r>
        <w:rPr>
          <w:u w:val="none"/>
        </w:rPr>
        <w:t xml:space="preserve">NL: </w:t>
      </w:r>
      <w:r w:rsidR="00EF5DFB" w:rsidRPr="00EF5DFB">
        <w:rPr>
          <w:u w:val="none"/>
        </w:rPr>
        <w:t xml:space="preserve">Netherlands operate on historical platform, needs to be upgraded but couldn’t do it at the same time as T2S. </w:t>
      </w:r>
      <w:r w:rsidR="008164E3" w:rsidRPr="00EF5DFB">
        <w:rPr>
          <w:u w:val="none"/>
        </w:rPr>
        <w:t>Some</w:t>
      </w:r>
      <w:r w:rsidR="008164E3" w:rsidRPr="008164E3">
        <w:rPr>
          <w:u w:val="none"/>
        </w:rPr>
        <w:t xml:space="preserve"> of the </w:t>
      </w:r>
      <w:r w:rsidR="005B6528" w:rsidRPr="008164E3">
        <w:rPr>
          <w:u w:val="none"/>
        </w:rPr>
        <w:t xml:space="preserve">NL </w:t>
      </w:r>
      <w:r w:rsidR="008164E3" w:rsidRPr="008164E3">
        <w:rPr>
          <w:u w:val="none"/>
        </w:rPr>
        <w:t>answers in the table should be re-checked with Ben</w:t>
      </w:r>
      <w:r w:rsidR="008164E3">
        <w:rPr>
          <w:u w:val="none"/>
        </w:rPr>
        <w:t>.</w:t>
      </w:r>
      <w:r w:rsidR="00BE49C2">
        <w:rPr>
          <w:u w:val="none"/>
        </w:rPr>
        <w:t xml:space="preserve"> It is however a bit strange that there are so many differences with the FR market as both are in </w:t>
      </w:r>
      <w:r w:rsidR="002A2EA8">
        <w:rPr>
          <w:u w:val="none"/>
        </w:rPr>
        <w:t xml:space="preserve">ESES! </w:t>
      </w:r>
      <w:r w:rsidR="00BE49C2">
        <w:rPr>
          <w:u w:val="none"/>
        </w:rPr>
        <w:t xml:space="preserve">To be </w:t>
      </w:r>
      <w:r w:rsidR="002A2EA8">
        <w:rPr>
          <w:u w:val="none"/>
        </w:rPr>
        <w:t>checked with</w:t>
      </w:r>
      <w:r w:rsidR="002421C4">
        <w:rPr>
          <w:u w:val="none"/>
        </w:rPr>
        <w:t xml:space="preserve"> Ben as well.</w:t>
      </w:r>
    </w:p>
    <w:p w:rsidR="00173C0D" w:rsidRPr="00173C0D" w:rsidRDefault="00173C0D" w:rsidP="00173C0D">
      <w:pPr>
        <w:pStyle w:val="ListParagraph"/>
        <w:numPr>
          <w:ilvl w:val="0"/>
          <w:numId w:val="23"/>
        </w:numPr>
      </w:pPr>
      <w:r>
        <w:rPr>
          <w:u w:val="none"/>
        </w:rPr>
        <w:t>DE: Changes need to be made to the t</w:t>
      </w:r>
      <w:r w:rsidRPr="00173C0D">
        <w:rPr>
          <w:u w:val="none"/>
        </w:rPr>
        <w:t xml:space="preserve">able for the German market. 564 and 566 </w:t>
      </w:r>
      <w:r>
        <w:rPr>
          <w:u w:val="none"/>
        </w:rPr>
        <w:t xml:space="preserve">are </w:t>
      </w:r>
      <w:r w:rsidRPr="00173C0D">
        <w:rPr>
          <w:u w:val="none"/>
        </w:rPr>
        <w:t xml:space="preserve">for cash, 544 and 546 for securities. </w:t>
      </w:r>
      <w:r>
        <w:rPr>
          <w:u w:val="none"/>
        </w:rPr>
        <w:t>The t</w:t>
      </w:r>
      <w:r w:rsidRPr="00173C0D">
        <w:rPr>
          <w:u w:val="none"/>
        </w:rPr>
        <w:t>able is at CSD level only.</w:t>
      </w:r>
      <w:r w:rsidR="00BA327C">
        <w:rPr>
          <w:u w:val="none"/>
        </w:rPr>
        <w:t xml:space="preserve"> There is a specific case also in DE: MT 566 is mandatory for cash and </w:t>
      </w:r>
      <w:r w:rsidR="002A2EA8">
        <w:rPr>
          <w:u w:val="none"/>
        </w:rPr>
        <w:t>N/A</w:t>
      </w:r>
      <w:r w:rsidR="00BA327C">
        <w:rPr>
          <w:u w:val="none"/>
        </w:rPr>
        <w:t xml:space="preserve"> for </w:t>
      </w:r>
      <w:proofErr w:type="spellStart"/>
      <w:r w:rsidR="00BA327C">
        <w:rPr>
          <w:u w:val="none"/>
        </w:rPr>
        <w:t>secu</w:t>
      </w:r>
      <w:proofErr w:type="spellEnd"/>
      <w:r w:rsidR="00BA327C">
        <w:rPr>
          <w:u w:val="none"/>
        </w:rPr>
        <w:t>. Same for the MT 564 for cash only.</w:t>
      </w:r>
    </w:p>
    <w:p w:rsidR="005B6528" w:rsidRPr="008164E3" w:rsidRDefault="005442EB" w:rsidP="00C42E93">
      <w:pPr>
        <w:pStyle w:val="ListParagraph"/>
        <w:numPr>
          <w:ilvl w:val="0"/>
          <w:numId w:val="23"/>
        </w:numPr>
        <w:spacing w:before="0" w:after="0" w:line="280" w:lineRule="atLeast"/>
        <w:contextualSpacing/>
        <w:rPr>
          <w:u w:val="none"/>
        </w:rPr>
      </w:pPr>
      <w:r>
        <w:rPr>
          <w:u w:val="none"/>
        </w:rPr>
        <w:t xml:space="preserve">DK: </w:t>
      </w:r>
      <w:r w:rsidR="005B6528" w:rsidRPr="008164E3">
        <w:rPr>
          <w:u w:val="none"/>
        </w:rPr>
        <w:t xml:space="preserve">VP to be changed into DK. The responses are based on the current system/solution, not </w:t>
      </w:r>
      <w:r w:rsidR="00A94FCF">
        <w:rPr>
          <w:u w:val="none"/>
        </w:rPr>
        <w:t xml:space="preserve">on </w:t>
      </w:r>
      <w:r w:rsidR="005B6528" w:rsidRPr="008164E3">
        <w:rPr>
          <w:u w:val="none"/>
        </w:rPr>
        <w:t>the one which will be implemented with the DKK migration to T2S in October 2018</w:t>
      </w:r>
      <w:r w:rsidR="00A94FCF">
        <w:rPr>
          <w:u w:val="none"/>
        </w:rPr>
        <w:t>.</w:t>
      </w:r>
    </w:p>
    <w:p w:rsidR="005B6528" w:rsidRPr="00C42E93" w:rsidRDefault="005B6528" w:rsidP="00C42E93">
      <w:pPr>
        <w:pStyle w:val="ListParagraph"/>
        <w:numPr>
          <w:ilvl w:val="0"/>
          <w:numId w:val="23"/>
        </w:numPr>
        <w:spacing w:before="0" w:after="0" w:line="280" w:lineRule="atLeast"/>
        <w:contextualSpacing/>
        <w:rPr>
          <w:u w:val="none"/>
        </w:rPr>
      </w:pPr>
      <w:r w:rsidRPr="00C42E93">
        <w:rPr>
          <w:u w:val="none"/>
        </w:rPr>
        <w:lastRenderedPageBreak/>
        <w:t>FI</w:t>
      </w:r>
      <w:r w:rsidR="00A94FCF">
        <w:rPr>
          <w:u w:val="none"/>
        </w:rPr>
        <w:t>:</w:t>
      </w:r>
      <w:r w:rsidRPr="00C42E93">
        <w:rPr>
          <w:u w:val="none"/>
        </w:rPr>
        <w:t xml:space="preserve"> has responded based on how </w:t>
      </w:r>
      <w:r w:rsidR="0003564A">
        <w:rPr>
          <w:u w:val="none"/>
        </w:rPr>
        <w:t xml:space="preserve">the future </w:t>
      </w:r>
      <w:r w:rsidRPr="00C42E93">
        <w:rPr>
          <w:u w:val="none"/>
        </w:rPr>
        <w:t xml:space="preserve">Release 2 (before de-scoping) </w:t>
      </w:r>
      <w:r w:rsidR="0003564A">
        <w:rPr>
          <w:u w:val="none"/>
        </w:rPr>
        <w:t xml:space="preserve">expected for Oct. 2018 </w:t>
      </w:r>
      <w:r w:rsidRPr="00C42E93">
        <w:rPr>
          <w:u w:val="none"/>
        </w:rPr>
        <w:t>would act. A comment needs to be added regarding this, and the timing.</w:t>
      </w:r>
    </w:p>
    <w:p w:rsidR="005B6528" w:rsidRDefault="00A94FCF" w:rsidP="00C42E93">
      <w:pPr>
        <w:pStyle w:val="ListParagraph"/>
        <w:numPr>
          <w:ilvl w:val="0"/>
          <w:numId w:val="23"/>
        </w:numPr>
        <w:spacing w:before="0" w:after="0" w:line="280" w:lineRule="atLeast"/>
        <w:contextualSpacing/>
        <w:rPr>
          <w:u w:val="none"/>
        </w:rPr>
      </w:pPr>
      <w:r>
        <w:rPr>
          <w:u w:val="none"/>
        </w:rPr>
        <w:t xml:space="preserve">IT. Input </w:t>
      </w:r>
      <w:r w:rsidR="005B6528" w:rsidRPr="00C42E93">
        <w:rPr>
          <w:u w:val="none"/>
        </w:rPr>
        <w:t>is missing. Unfortunately the Italian market is discussing a</w:t>
      </w:r>
      <w:r>
        <w:rPr>
          <w:u w:val="none"/>
        </w:rPr>
        <w:t>n</w:t>
      </w:r>
      <w:r w:rsidR="005B6528" w:rsidRPr="00C42E93">
        <w:rPr>
          <w:u w:val="none"/>
        </w:rPr>
        <w:t xml:space="preserve"> investor/issuer </w:t>
      </w:r>
      <w:r>
        <w:rPr>
          <w:u w:val="none"/>
        </w:rPr>
        <w:t>CSD market claim-related change</w:t>
      </w:r>
      <w:r w:rsidR="005B6528" w:rsidRPr="00C42E93">
        <w:rPr>
          <w:u w:val="none"/>
        </w:rPr>
        <w:t xml:space="preserve"> and has no implementation date for this yet. Therefore the NMPG has not been able to respond.</w:t>
      </w:r>
      <w:r w:rsidR="003B52F4">
        <w:rPr>
          <w:u w:val="none"/>
        </w:rPr>
        <w:t xml:space="preserve"> </w:t>
      </w:r>
    </w:p>
    <w:p w:rsidR="003B52F4" w:rsidRPr="00C42E93" w:rsidRDefault="003B52F4" w:rsidP="00C42E93">
      <w:pPr>
        <w:pStyle w:val="ListParagraph"/>
        <w:numPr>
          <w:ilvl w:val="0"/>
          <w:numId w:val="23"/>
        </w:numPr>
        <w:spacing w:before="0" w:after="0" w:line="280" w:lineRule="atLeast"/>
        <w:contextualSpacing/>
        <w:rPr>
          <w:u w:val="none"/>
        </w:rPr>
      </w:pPr>
      <w:r>
        <w:rPr>
          <w:u w:val="none"/>
        </w:rPr>
        <w:t xml:space="preserve">It should be made clear in the table that </w:t>
      </w:r>
      <w:r w:rsidRPr="003B52F4">
        <w:rPr>
          <w:u w:val="none"/>
        </w:rPr>
        <w:t>the matrix reflects local securities within the CSD (eg. French securities for FR Market, Italian securities for the Italian Market, …)</w:t>
      </w:r>
      <w:r>
        <w:rPr>
          <w:u w:val="none"/>
        </w:rPr>
        <w:t>.</w:t>
      </w:r>
    </w:p>
    <w:p w:rsidR="00306BCB" w:rsidRPr="00C42E93" w:rsidRDefault="00306BCB" w:rsidP="00306BCB">
      <w:pPr>
        <w:pStyle w:val="ListParagraph"/>
        <w:numPr>
          <w:ilvl w:val="0"/>
          <w:numId w:val="23"/>
        </w:numPr>
        <w:spacing w:before="0" w:after="0" w:line="280" w:lineRule="atLeast"/>
        <w:contextualSpacing/>
        <w:rPr>
          <w:u w:val="none"/>
        </w:rPr>
      </w:pPr>
      <w:r w:rsidRPr="00C42E93">
        <w:rPr>
          <w:u w:val="none"/>
        </w:rPr>
        <w:t xml:space="preserve">The statements are generally </w:t>
      </w:r>
      <w:r>
        <w:rPr>
          <w:u w:val="none"/>
        </w:rPr>
        <w:t>clear</w:t>
      </w:r>
      <w:r w:rsidRPr="00C42E93">
        <w:rPr>
          <w:u w:val="none"/>
        </w:rPr>
        <w:t>, but inclusion of cash claims into pending and settled transaction reports should be clarified by each CSD</w:t>
      </w:r>
      <w:r>
        <w:rPr>
          <w:u w:val="none"/>
        </w:rPr>
        <w:t>.</w:t>
      </w:r>
    </w:p>
    <w:p w:rsidR="005B6528" w:rsidRPr="00C42E93" w:rsidRDefault="00A94FCF" w:rsidP="00C42E93">
      <w:pPr>
        <w:pStyle w:val="ListParagraph"/>
        <w:numPr>
          <w:ilvl w:val="0"/>
          <w:numId w:val="23"/>
        </w:numPr>
        <w:spacing w:before="0" w:after="0" w:line="280" w:lineRule="atLeast"/>
        <w:contextualSpacing/>
        <w:rPr>
          <w:u w:val="none"/>
        </w:rPr>
      </w:pPr>
      <w:r>
        <w:rPr>
          <w:u w:val="none"/>
        </w:rPr>
        <w:t xml:space="preserve">Despite a few changes that can be brought to the various inputs, </w:t>
      </w:r>
      <w:r w:rsidRPr="00BE0B5B">
        <w:t xml:space="preserve">the </w:t>
      </w:r>
      <w:r w:rsidR="00BE0B5B" w:rsidRPr="00BE0B5B">
        <w:t>conclusions</w:t>
      </w:r>
      <w:r w:rsidRPr="00BE0B5B">
        <w:t xml:space="preserve"> of </w:t>
      </w:r>
      <w:r w:rsidR="00BE0B5B" w:rsidRPr="00BE0B5B">
        <w:t>our</w:t>
      </w:r>
      <w:r w:rsidRPr="00BE0B5B">
        <w:t xml:space="preserve"> review</w:t>
      </w:r>
      <w:r>
        <w:rPr>
          <w:u w:val="none"/>
        </w:rPr>
        <w:t xml:space="preserve"> can be summarized as follows:</w:t>
      </w:r>
    </w:p>
    <w:p w:rsidR="005B6528" w:rsidRDefault="00BC0FCC" w:rsidP="00C42E93">
      <w:pPr>
        <w:pStyle w:val="ListParagraph"/>
        <w:numPr>
          <w:ilvl w:val="1"/>
          <w:numId w:val="23"/>
        </w:numPr>
        <w:spacing w:before="0" w:after="0" w:line="280" w:lineRule="atLeast"/>
        <w:contextualSpacing/>
        <w:rPr>
          <w:u w:val="none"/>
        </w:rPr>
      </w:pPr>
      <w:r w:rsidRPr="00BC0FCC">
        <w:rPr>
          <w:b/>
          <w:u w:val="none"/>
        </w:rPr>
        <w:t>On the compensation part</w:t>
      </w:r>
      <w:r>
        <w:rPr>
          <w:u w:val="none"/>
        </w:rPr>
        <w:t>, t</w:t>
      </w:r>
      <w:r w:rsidR="005B6528" w:rsidRPr="00C42E93">
        <w:rPr>
          <w:u w:val="none"/>
        </w:rPr>
        <w:t>he MT566 should be used to confirm settlement of all market claims</w:t>
      </w:r>
      <w:r>
        <w:rPr>
          <w:u w:val="none"/>
        </w:rPr>
        <w:t xml:space="preserve"> since it is used by all today</w:t>
      </w:r>
      <w:r w:rsidR="0012187B">
        <w:rPr>
          <w:u w:val="none"/>
        </w:rPr>
        <w:t>. The MT 536 is also used by all. The SMPG could therefore give recommendation on the usage of elements in these 2 messages.</w:t>
      </w:r>
    </w:p>
    <w:p w:rsidR="00C27A6D" w:rsidRDefault="00BC0FCC" w:rsidP="00C42E93">
      <w:pPr>
        <w:pStyle w:val="ListParagraph"/>
        <w:numPr>
          <w:ilvl w:val="1"/>
          <w:numId w:val="23"/>
        </w:numPr>
        <w:spacing w:before="0" w:after="0" w:line="280" w:lineRule="atLeast"/>
        <w:contextualSpacing/>
        <w:rPr>
          <w:u w:val="none"/>
        </w:rPr>
      </w:pPr>
      <w:r w:rsidRPr="00C27A6D">
        <w:rPr>
          <w:b/>
          <w:u w:val="none"/>
        </w:rPr>
        <w:t>On the detection of Market Claims part</w:t>
      </w:r>
      <w:r w:rsidRPr="00C27A6D">
        <w:rPr>
          <w:u w:val="none"/>
        </w:rPr>
        <w:t xml:space="preserve">: </w:t>
      </w:r>
      <w:r w:rsidR="00C27A6D" w:rsidRPr="00C27A6D">
        <w:rPr>
          <w:u w:val="none"/>
        </w:rPr>
        <w:t xml:space="preserve">The problem is mainly in the notification of the creation of a market claim, some use the MT564, others the MT548, but neither message type works well for this purpose. </w:t>
      </w:r>
    </w:p>
    <w:p w:rsidR="00BC0FCC" w:rsidRDefault="00C27A6D" w:rsidP="00C42E93">
      <w:pPr>
        <w:pStyle w:val="ListParagraph"/>
        <w:numPr>
          <w:ilvl w:val="1"/>
          <w:numId w:val="23"/>
        </w:numPr>
        <w:spacing w:before="0" w:after="0" w:line="280" w:lineRule="atLeast"/>
        <w:contextualSpacing/>
        <w:rPr>
          <w:u w:val="none"/>
        </w:rPr>
      </w:pPr>
      <w:r w:rsidRPr="00C27A6D">
        <w:rPr>
          <w:u w:val="none"/>
        </w:rPr>
        <w:t xml:space="preserve">At this stage, </w:t>
      </w:r>
      <w:r w:rsidR="00BC0FCC" w:rsidRPr="00C27A6D">
        <w:rPr>
          <w:u w:val="none"/>
        </w:rPr>
        <w:t xml:space="preserve">Markets/providers/CSDs have already </w:t>
      </w:r>
      <w:r w:rsidRPr="00C27A6D">
        <w:rPr>
          <w:u w:val="none"/>
        </w:rPr>
        <w:t xml:space="preserve">implemented a solution </w:t>
      </w:r>
      <w:r w:rsidR="00BC0FCC" w:rsidRPr="00C27A6D">
        <w:rPr>
          <w:u w:val="none"/>
        </w:rPr>
        <w:t xml:space="preserve">and money is spent, so </w:t>
      </w:r>
      <w:r w:rsidRPr="00C27A6D">
        <w:rPr>
          <w:u w:val="none"/>
        </w:rPr>
        <w:t>it will be difficult to recommend changes right now</w:t>
      </w:r>
      <w:r w:rsidR="00BC0FCC" w:rsidRPr="00C27A6D">
        <w:rPr>
          <w:u w:val="none"/>
        </w:rPr>
        <w:t>.</w:t>
      </w:r>
      <w:r w:rsidRPr="00C27A6D">
        <w:rPr>
          <w:u w:val="none"/>
        </w:rPr>
        <w:t xml:space="preserve"> </w:t>
      </w:r>
      <w:r>
        <w:rPr>
          <w:u w:val="none"/>
        </w:rPr>
        <w:t>W</w:t>
      </w:r>
      <w:r w:rsidRPr="00C42E93">
        <w:rPr>
          <w:u w:val="none"/>
        </w:rPr>
        <w:t xml:space="preserve">e believe it would be very difficult, if not impossible, to have all CSDs harmonise </w:t>
      </w:r>
      <w:r w:rsidR="002421C4">
        <w:rPr>
          <w:u w:val="none"/>
        </w:rPr>
        <w:t>o</w:t>
      </w:r>
      <w:r w:rsidRPr="00C42E93">
        <w:rPr>
          <w:u w:val="none"/>
        </w:rPr>
        <w:t>n</w:t>
      </w:r>
      <w:r>
        <w:rPr>
          <w:u w:val="none"/>
        </w:rPr>
        <w:t xml:space="preserve"> a solution based on </w:t>
      </w:r>
      <w:r w:rsidRPr="00C42E93">
        <w:rPr>
          <w:u w:val="none"/>
        </w:rPr>
        <w:t>ISO 15022</w:t>
      </w:r>
      <w:r>
        <w:rPr>
          <w:u w:val="none"/>
        </w:rPr>
        <w:t>.</w:t>
      </w:r>
    </w:p>
    <w:p w:rsidR="00C749BF" w:rsidRPr="00C749BF" w:rsidRDefault="00C749BF" w:rsidP="00C749BF">
      <w:pPr>
        <w:pStyle w:val="ListParagraph"/>
        <w:numPr>
          <w:ilvl w:val="0"/>
          <w:numId w:val="0"/>
        </w:numPr>
        <w:spacing w:before="0" w:after="0" w:line="280" w:lineRule="atLeast"/>
        <w:ind w:left="1080"/>
        <w:contextualSpacing/>
        <w:rPr>
          <w:u w:val="none"/>
        </w:rPr>
      </w:pPr>
      <w:r w:rsidRPr="00C749BF">
        <w:rPr>
          <w:u w:val="none"/>
        </w:rPr>
        <w:t>Hence the long-term goal should be to harmonise in ISO 20022, resulting in the need to create at least a market claim detection/creation message</w:t>
      </w:r>
      <w:r>
        <w:rPr>
          <w:u w:val="none"/>
        </w:rPr>
        <w:t>.</w:t>
      </w:r>
    </w:p>
    <w:p w:rsidR="0012187B" w:rsidRPr="00306BCB" w:rsidRDefault="0012187B" w:rsidP="0012187B">
      <w:pPr>
        <w:pStyle w:val="ListParagraph"/>
        <w:numPr>
          <w:ilvl w:val="0"/>
          <w:numId w:val="23"/>
        </w:numPr>
        <w:spacing w:before="0" w:after="0" w:line="280" w:lineRule="atLeast"/>
        <w:contextualSpacing/>
      </w:pPr>
      <w:r w:rsidRPr="00306BCB">
        <w:t>Proposed approach:</w:t>
      </w:r>
    </w:p>
    <w:p w:rsidR="00E206B9" w:rsidRPr="00E206B9" w:rsidRDefault="00E206B9" w:rsidP="00E206B9">
      <w:pPr>
        <w:pStyle w:val="ListParagraph"/>
        <w:numPr>
          <w:ilvl w:val="1"/>
          <w:numId w:val="23"/>
        </w:numPr>
        <w:rPr>
          <w:u w:val="none"/>
        </w:rPr>
      </w:pPr>
      <w:r w:rsidRPr="00E206B9">
        <w:rPr>
          <w:b/>
          <w:u w:val="none"/>
        </w:rPr>
        <w:t>Short term:</w:t>
      </w:r>
      <w:r>
        <w:rPr>
          <w:u w:val="none"/>
        </w:rPr>
        <w:t xml:space="preserve"> Finalise the input tables and review each column </w:t>
      </w:r>
      <w:r w:rsidR="002421C4">
        <w:rPr>
          <w:u w:val="none"/>
        </w:rPr>
        <w:t xml:space="preserve">having </w:t>
      </w:r>
      <w:r>
        <w:rPr>
          <w:u w:val="none"/>
        </w:rPr>
        <w:t xml:space="preserve">in mind that it should be the “future” view and </w:t>
      </w:r>
      <w:r w:rsidRPr="005E75DD">
        <w:t>with the assumption that all messages are on subscription, but if you subscribe can you opt in or out of the market claims for those messages</w:t>
      </w:r>
      <w:r>
        <w:rPr>
          <w:u w:val="none"/>
        </w:rPr>
        <w:t>.</w:t>
      </w:r>
    </w:p>
    <w:p w:rsidR="005110C4" w:rsidRPr="005110C4" w:rsidRDefault="005110C4" w:rsidP="005110C4">
      <w:pPr>
        <w:pStyle w:val="ListParagraph"/>
        <w:numPr>
          <w:ilvl w:val="1"/>
          <w:numId w:val="23"/>
        </w:numPr>
        <w:rPr>
          <w:u w:val="none"/>
        </w:rPr>
      </w:pPr>
      <w:r w:rsidRPr="005110C4">
        <w:rPr>
          <w:b/>
          <w:u w:val="none"/>
        </w:rPr>
        <w:t>Short to medium term</w:t>
      </w:r>
      <w:r w:rsidRPr="005110C4">
        <w:rPr>
          <w:u w:val="none"/>
        </w:rPr>
        <w:t xml:space="preserve"> – leave</w:t>
      </w:r>
      <w:r w:rsidR="00C749BF">
        <w:rPr>
          <w:u w:val="none"/>
        </w:rPr>
        <w:t xml:space="preserve"> messages as they are currently and</w:t>
      </w:r>
      <w:r w:rsidRPr="005110C4">
        <w:rPr>
          <w:u w:val="none"/>
        </w:rPr>
        <w:t xml:space="preserve"> look at </w:t>
      </w:r>
      <w:r w:rsidR="00C749BF">
        <w:rPr>
          <w:u w:val="none"/>
        </w:rPr>
        <w:t xml:space="preserve">the </w:t>
      </w:r>
      <w:r w:rsidRPr="005110C4">
        <w:rPr>
          <w:u w:val="none"/>
        </w:rPr>
        <w:t xml:space="preserve">possibility of smaller alignments within message types and fine tune the </w:t>
      </w:r>
      <w:r w:rsidR="00C749BF">
        <w:rPr>
          <w:u w:val="none"/>
        </w:rPr>
        <w:t>usage of elements with SMPG recommendations.</w:t>
      </w:r>
      <w:r w:rsidR="007E7D0D" w:rsidRPr="007E7D0D">
        <w:rPr>
          <w:u w:val="none"/>
        </w:rPr>
        <w:t xml:space="preserve"> The harmonization </w:t>
      </w:r>
      <w:r w:rsidR="007E7D0D">
        <w:rPr>
          <w:u w:val="none"/>
        </w:rPr>
        <w:t>of elements/codes should</w:t>
      </w:r>
      <w:r w:rsidR="007E7D0D" w:rsidRPr="007E7D0D">
        <w:rPr>
          <w:u w:val="none"/>
        </w:rPr>
        <w:t xml:space="preserve"> be split between the 2 groups: MT564 =&gt; CA ; MT548 =&gt; S</w:t>
      </w:r>
      <w:r w:rsidR="00FC63E7">
        <w:rPr>
          <w:u w:val="none"/>
        </w:rPr>
        <w:t>n</w:t>
      </w:r>
      <w:r w:rsidR="007E7D0D" w:rsidRPr="007E7D0D">
        <w:rPr>
          <w:u w:val="none"/>
        </w:rPr>
        <w:t>R</w:t>
      </w:r>
    </w:p>
    <w:p w:rsidR="005110C4" w:rsidRPr="00E206B9" w:rsidRDefault="00147A6F" w:rsidP="00E206B9">
      <w:pPr>
        <w:pStyle w:val="ListParagraph"/>
        <w:numPr>
          <w:ilvl w:val="1"/>
          <w:numId w:val="23"/>
        </w:numPr>
        <w:spacing w:before="0" w:after="0" w:line="280" w:lineRule="atLeast"/>
        <w:contextualSpacing/>
        <w:rPr>
          <w:u w:val="none"/>
        </w:rPr>
      </w:pPr>
      <w:r w:rsidRPr="002421C4">
        <w:rPr>
          <w:b/>
          <w:u w:val="none"/>
        </w:rPr>
        <w:t>The long-term goal</w:t>
      </w:r>
      <w:r w:rsidRPr="00147A6F">
        <w:rPr>
          <w:u w:val="none"/>
        </w:rPr>
        <w:t xml:space="preserve"> should be to harmonise in ISO 20022, resulting in the need to create at least a </w:t>
      </w:r>
      <w:r>
        <w:rPr>
          <w:u w:val="none"/>
        </w:rPr>
        <w:t xml:space="preserve">new </w:t>
      </w:r>
      <w:r w:rsidRPr="00147A6F">
        <w:rPr>
          <w:u w:val="none"/>
        </w:rPr>
        <w:t>market claim detection/creation message.</w:t>
      </w:r>
      <w:r>
        <w:rPr>
          <w:u w:val="none"/>
        </w:rPr>
        <w:t xml:space="preserve"> For this, w</w:t>
      </w:r>
      <w:r w:rsidR="005B6528" w:rsidRPr="00C42E93">
        <w:rPr>
          <w:u w:val="none"/>
        </w:rPr>
        <w:t xml:space="preserve">e should reach out </w:t>
      </w:r>
      <w:r>
        <w:rPr>
          <w:u w:val="none"/>
        </w:rPr>
        <w:t xml:space="preserve">short term </w:t>
      </w:r>
      <w:r w:rsidR="005B6528" w:rsidRPr="00C42E93">
        <w:rPr>
          <w:u w:val="none"/>
        </w:rPr>
        <w:t>to the relevant market groups/associations, e.g. CAJWG, CASG, AFME, AGC, ECSDA</w:t>
      </w:r>
      <w:r w:rsidR="00A94FCF">
        <w:rPr>
          <w:u w:val="none"/>
        </w:rPr>
        <w:t xml:space="preserve"> in order to share the conclusions of our analysis and to get their sponsorship for a future ISO20022 B</w:t>
      </w:r>
      <w:r w:rsidR="00C749BF">
        <w:rPr>
          <w:u w:val="none"/>
        </w:rPr>
        <w:t xml:space="preserve">usiness </w:t>
      </w:r>
      <w:r w:rsidR="00A94FCF">
        <w:rPr>
          <w:u w:val="none"/>
        </w:rPr>
        <w:t>J</w:t>
      </w:r>
      <w:r w:rsidR="00C749BF">
        <w:rPr>
          <w:u w:val="none"/>
        </w:rPr>
        <w:t>ustification</w:t>
      </w:r>
      <w:r w:rsidR="00A94FCF">
        <w:rPr>
          <w:u w:val="none"/>
        </w:rPr>
        <w:t xml:space="preserve"> for a new message.</w:t>
      </w:r>
      <w:r w:rsidR="009F5C6B">
        <w:rPr>
          <w:u w:val="none"/>
        </w:rPr>
        <w:t xml:space="preserve"> We should work with all markets for this new message and not only with the T2S ones</w:t>
      </w:r>
      <w:r w:rsidR="00440A64" w:rsidRPr="00440A64">
        <w:rPr>
          <w:u w:val="none"/>
        </w:rPr>
        <w:t xml:space="preserve"> eg. US, Japan, Australia: the CSD of these Markets are already under </w:t>
      </w:r>
      <w:r w:rsidR="002421C4">
        <w:rPr>
          <w:u w:val="none"/>
        </w:rPr>
        <w:t xml:space="preserve">ISO </w:t>
      </w:r>
      <w:r w:rsidR="00440A64" w:rsidRPr="00440A64">
        <w:rPr>
          <w:u w:val="none"/>
        </w:rPr>
        <w:t>20022)</w:t>
      </w:r>
      <w:r w:rsidR="009F5C6B" w:rsidRPr="00440A64">
        <w:rPr>
          <w:u w:val="none"/>
        </w:rPr>
        <w:t>.</w:t>
      </w:r>
    </w:p>
    <w:p w:rsidR="00BE0B5B" w:rsidRDefault="00A94FCF" w:rsidP="00BE0B5B">
      <w:pPr>
        <w:pStyle w:val="Actions"/>
      </w:pPr>
      <w:r w:rsidRPr="00A94FCF">
        <w:rPr>
          <w:b/>
          <w:u w:val="single"/>
        </w:rPr>
        <w:t>Actions</w:t>
      </w:r>
      <w:r w:rsidRPr="00A94FCF">
        <w:t>:</w:t>
      </w:r>
    </w:p>
    <w:p w:rsidR="00E206B9" w:rsidRDefault="00E206B9" w:rsidP="00E206B9">
      <w:pPr>
        <w:pStyle w:val="Actions"/>
        <w:numPr>
          <w:ilvl w:val="0"/>
          <w:numId w:val="24"/>
        </w:numPr>
      </w:pPr>
      <w:r w:rsidRPr="005E75DD">
        <w:rPr>
          <w:b/>
          <w:u w:val="single"/>
        </w:rPr>
        <w:t>All markets</w:t>
      </w:r>
      <w:r>
        <w:t>: to review their input and f</w:t>
      </w:r>
      <w:r w:rsidR="005B6528" w:rsidRPr="00C42E93">
        <w:t xml:space="preserve">inalise the grid </w:t>
      </w:r>
      <w:r>
        <w:t>as per the agreed assumptions</w:t>
      </w:r>
      <w:r w:rsidR="005E75DD">
        <w:t xml:space="preserve"> above</w:t>
      </w:r>
      <w:r>
        <w:t>. A</w:t>
      </w:r>
      <w:r w:rsidR="005B6528" w:rsidRPr="00C42E93">
        <w:t xml:space="preserve">mend any misunderstandings/errors, </w:t>
      </w:r>
      <w:r w:rsidRPr="00C42E93">
        <w:t>amend the responses as of (full) T2S migration</w:t>
      </w:r>
      <w:r>
        <w:t xml:space="preserve">. To be completed </w:t>
      </w:r>
      <w:r w:rsidRPr="00113E82">
        <w:rPr>
          <w:u w:val="single"/>
        </w:rPr>
        <w:t>before the summer</w:t>
      </w:r>
      <w:r>
        <w:t>.</w:t>
      </w:r>
    </w:p>
    <w:p w:rsidR="00E206B9" w:rsidRDefault="004D1013" w:rsidP="00BE0B5B">
      <w:pPr>
        <w:pStyle w:val="Actions"/>
        <w:numPr>
          <w:ilvl w:val="0"/>
          <w:numId w:val="24"/>
        </w:numPr>
      </w:pPr>
      <w:r w:rsidRPr="005E75DD">
        <w:rPr>
          <w:b/>
          <w:u w:val="single"/>
        </w:rPr>
        <w:t>Paola, Matthew</w:t>
      </w:r>
      <w:r>
        <w:t xml:space="preserve">: </w:t>
      </w:r>
      <w:r w:rsidR="00E206B9">
        <w:t>A</w:t>
      </w:r>
      <w:r w:rsidR="005B6528" w:rsidRPr="00C42E93">
        <w:t xml:space="preserve">dd major markets missing </w:t>
      </w:r>
      <w:r w:rsidR="00E206B9">
        <w:t xml:space="preserve">in the table </w:t>
      </w:r>
      <w:r w:rsidR="005B6528" w:rsidRPr="00C42E93">
        <w:t>(IT</w:t>
      </w:r>
      <w:r w:rsidR="00E206B9">
        <w:t>,</w:t>
      </w:r>
      <w:r>
        <w:t xml:space="preserve"> U</w:t>
      </w:r>
      <w:r w:rsidR="005E75DD">
        <w:t>K</w:t>
      </w:r>
      <w:r w:rsidR="00113E82">
        <w:t xml:space="preserve">) </w:t>
      </w:r>
      <w:proofErr w:type="gramStart"/>
      <w:r w:rsidR="00113E82">
        <w:t>asap</w:t>
      </w:r>
      <w:proofErr w:type="gramEnd"/>
      <w:r w:rsidR="00113E82">
        <w:t>.</w:t>
      </w:r>
    </w:p>
    <w:p w:rsidR="004D1013" w:rsidRDefault="00E206B9" w:rsidP="004D1013">
      <w:pPr>
        <w:pStyle w:val="Actions"/>
        <w:numPr>
          <w:ilvl w:val="0"/>
          <w:numId w:val="24"/>
        </w:numPr>
      </w:pPr>
      <w:r w:rsidRPr="005E75DD">
        <w:rPr>
          <w:b/>
          <w:u w:val="single"/>
        </w:rPr>
        <w:t>Christine</w:t>
      </w:r>
      <w:r w:rsidR="00055BD5" w:rsidRPr="005E75DD">
        <w:rPr>
          <w:b/>
          <w:u w:val="single"/>
        </w:rPr>
        <w:t>, Véronique and Bernard</w:t>
      </w:r>
      <w:r>
        <w:t xml:space="preserve"> to </w:t>
      </w:r>
      <w:r w:rsidR="005E75DD">
        <w:t xml:space="preserve">write a </w:t>
      </w:r>
      <w:r w:rsidR="005B6528" w:rsidRPr="00C42E93">
        <w:t>letter to the relevant groups</w:t>
      </w:r>
      <w:r>
        <w:t xml:space="preserve"> (</w:t>
      </w:r>
      <w:r w:rsidRPr="00C42E93">
        <w:t>CAJWG, CASG, AFME, AGC, ECSDA</w:t>
      </w:r>
      <w:r>
        <w:t>) desc</w:t>
      </w:r>
      <w:r w:rsidR="004D1013">
        <w:t>ri</w:t>
      </w:r>
      <w:r>
        <w:t xml:space="preserve">bing our conclusions </w:t>
      </w:r>
      <w:r w:rsidR="005E75DD">
        <w:t xml:space="preserve">(including the high level matrix) </w:t>
      </w:r>
      <w:r>
        <w:t xml:space="preserve">and proposed approach </w:t>
      </w:r>
      <w:r w:rsidR="005E75DD">
        <w:t xml:space="preserve">(business case) </w:t>
      </w:r>
      <w:r>
        <w:t xml:space="preserve">to get their endorsement. Draft to be </w:t>
      </w:r>
      <w:r w:rsidR="005E75DD">
        <w:t xml:space="preserve">reviewed </w:t>
      </w:r>
      <w:r w:rsidR="004D1013">
        <w:t xml:space="preserve">and co-signed with the </w:t>
      </w:r>
      <w:r w:rsidR="005E75DD">
        <w:t xml:space="preserve">Steering Committee and </w:t>
      </w:r>
      <w:r w:rsidR="004D1013">
        <w:t>SnR co-chairs</w:t>
      </w:r>
      <w:r w:rsidR="005E75DD">
        <w:t xml:space="preserve"> </w:t>
      </w:r>
      <w:r w:rsidR="005E75DD" w:rsidRPr="00113E82">
        <w:rPr>
          <w:u w:val="single"/>
        </w:rPr>
        <w:t>before the summer</w:t>
      </w:r>
      <w:r w:rsidR="005E75DD">
        <w:t>.</w:t>
      </w:r>
    </w:p>
    <w:p w:rsidR="005E75DD" w:rsidRPr="005E75DD" w:rsidRDefault="005E75DD" w:rsidP="004D1013">
      <w:pPr>
        <w:pStyle w:val="Actions"/>
        <w:numPr>
          <w:ilvl w:val="0"/>
          <w:numId w:val="24"/>
        </w:numPr>
      </w:pPr>
      <w:r>
        <w:rPr>
          <w:b/>
          <w:u w:val="single"/>
        </w:rPr>
        <w:lastRenderedPageBreak/>
        <w:t xml:space="preserve">Christine, Bernard </w:t>
      </w:r>
      <w:r w:rsidRPr="005E75DD">
        <w:t xml:space="preserve">to engage with the </w:t>
      </w:r>
      <w:r>
        <w:t xml:space="preserve">SnR WG in order to issue with the CA WG common recommendations on the existing </w:t>
      </w:r>
      <w:r w:rsidR="00113E82">
        <w:t xml:space="preserve">CA &amp; </w:t>
      </w:r>
      <w:r>
        <w:t xml:space="preserve">settlement messages </w:t>
      </w:r>
      <w:r w:rsidR="00113E82">
        <w:t xml:space="preserve">on both the detection and compensation parts. </w:t>
      </w:r>
      <w:r w:rsidR="00113E82" w:rsidRPr="00113E82">
        <w:rPr>
          <w:u w:val="single"/>
        </w:rPr>
        <w:t>To be started after the summer.</w:t>
      </w:r>
    </w:p>
    <w:p w:rsidR="005B6528" w:rsidRPr="00C42E93" w:rsidRDefault="004D1013" w:rsidP="00BE0B5B">
      <w:pPr>
        <w:pStyle w:val="Actions"/>
        <w:numPr>
          <w:ilvl w:val="0"/>
          <w:numId w:val="24"/>
        </w:numPr>
      </w:pPr>
      <w:r w:rsidRPr="005E75DD">
        <w:rPr>
          <w:b/>
          <w:u w:val="single"/>
        </w:rPr>
        <w:t>SMPG CA WG</w:t>
      </w:r>
      <w:r>
        <w:t>: to c</w:t>
      </w:r>
      <w:r w:rsidR="005B6528" w:rsidRPr="00C42E93">
        <w:t>reate a BJ for new ISO 20022 messages</w:t>
      </w:r>
      <w:r>
        <w:t xml:space="preserve"> once we get the endorsement of the relevant groups (</w:t>
      </w:r>
      <w:r w:rsidRPr="00113E82">
        <w:rPr>
          <w:u w:val="single"/>
        </w:rPr>
        <w:t>medium term</w:t>
      </w:r>
      <w:r>
        <w:t>).</w:t>
      </w:r>
    </w:p>
    <w:p w:rsidR="00F35560" w:rsidRDefault="00F35560" w:rsidP="00F35560">
      <w:pPr>
        <w:pStyle w:val="Heading1"/>
      </w:pPr>
      <w:bookmarkStart w:id="21" w:name="_Toc479157747"/>
      <w:bookmarkStart w:id="22" w:name="_Toc482870658"/>
      <w:r>
        <w:t>CA315</w:t>
      </w:r>
      <w:r>
        <w:tab/>
        <w:t>Extending CA MPs to ISO 20022</w:t>
      </w:r>
      <w:bookmarkEnd w:id="21"/>
      <w:bookmarkEnd w:id="22"/>
    </w:p>
    <w:p w:rsidR="00690328" w:rsidRDefault="00690328" w:rsidP="00690328">
      <w:r>
        <w:t>Jacques presents the input document with the different review group proposals consolidated for combining ISO</w:t>
      </w:r>
      <w:r w:rsidR="002421C4">
        <w:t xml:space="preserve"> </w:t>
      </w:r>
      <w:r>
        <w:t>15022 and ISO</w:t>
      </w:r>
      <w:r w:rsidR="002421C4">
        <w:t xml:space="preserve"> </w:t>
      </w:r>
      <w:r>
        <w:t>20022 references in the reference tables and in the MP text:</w:t>
      </w:r>
    </w:p>
    <w:bookmarkStart w:id="23" w:name="_MON_1556088783"/>
    <w:bookmarkEnd w:id="23"/>
    <w:p w:rsidR="00690328" w:rsidRDefault="00690328" w:rsidP="00690328">
      <w:r>
        <w:object w:dxaOrig="1531" w:dyaOrig="990">
          <v:shape id="_x0000_i1028" type="#_x0000_t75" style="width:76.5pt;height:49.5pt" o:ole="">
            <v:imagedata r:id="rId22" o:title=""/>
          </v:shape>
          <o:OLEObject Type="Embed" ProgID="Word.Document.12" ShapeID="_x0000_i1028" DrawAspect="Icon" ObjectID="_1558364459" r:id="rId23">
            <o:FieldCodes>\s</o:FieldCodes>
          </o:OLEObject>
        </w:object>
      </w:r>
    </w:p>
    <w:p w:rsidR="00690328" w:rsidRDefault="001838FC" w:rsidP="00690328">
      <w:r>
        <w:t>The group agrees to work with the proposal from review groups 3 &amp; 4 as a basis with the following comments:</w:t>
      </w:r>
    </w:p>
    <w:p w:rsidR="001838FC" w:rsidRDefault="001838FC" w:rsidP="001838FC">
      <w:pPr>
        <w:pStyle w:val="ListParagraph"/>
        <w:numPr>
          <w:ilvl w:val="0"/>
          <w:numId w:val="25"/>
        </w:numPr>
        <w:rPr>
          <w:u w:val="none"/>
        </w:rPr>
      </w:pPr>
      <w:r w:rsidRPr="001838FC">
        <w:rPr>
          <w:u w:val="none"/>
        </w:rPr>
        <w:t xml:space="preserve">Regarding the reference tables, we should </w:t>
      </w:r>
      <w:r>
        <w:rPr>
          <w:u w:val="none"/>
        </w:rPr>
        <w:t xml:space="preserve">not use the </w:t>
      </w:r>
      <w:r w:rsidRPr="001838FC">
        <w:rPr>
          <w:u w:val="none"/>
        </w:rPr>
        <w:t>full path of the elements for ISO 20022 as it is very long and not easily readable. It is proposed to come up with a notation for the main message sequences (like in 15022 with sequences A/B/C/D/E/E1/E2) so that the path can be shortened.</w:t>
      </w:r>
    </w:p>
    <w:p w:rsidR="002B45B3" w:rsidRDefault="002B45B3" w:rsidP="002B45B3">
      <w:pPr>
        <w:pStyle w:val="ListParagraph"/>
        <w:numPr>
          <w:ilvl w:val="0"/>
          <w:numId w:val="25"/>
        </w:numPr>
        <w:rPr>
          <w:u w:val="none"/>
        </w:rPr>
      </w:pPr>
      <w:r>
        <w:rPr>
          <w:u w:val="none"/>
        </w:rPr>
        <w:t xml:space="preserve">Regarding ISO 15022 </w:t>
      </w:r>
      <w:r w:rsidRPr="002B45B3">
        <w:rPr>
          <w:u w:val="none"/>
        </w:rPr>
        <w:t>examples in GMP1, we should try to remove those examples from the text and rather either refer to the SMPG samples when possible or replace the example with text or move the examples in a new  appendix at the end of the document.</w:t>
      </w:r>
    </w:p>
    <w:p w:rsidR="002B45B3" w:rsidRPr="002B45B3" w:rsidRDefault="002B45B3" w:rsidP="002B45B3">
      <w:pPr>
        <w:pStyle w:val="ListParagraph"/>
        <w:numPr>
          <w:ilvl w:val="0"/>
          <w:numId w:val="25"/>
        </w:numPr>
        <w:rPr>
          <w:u w:val="none"/>
        </w:rPr>
      </w:pPr>
      <w:r>
        <w:rPr>
          <w:u w:val="none"/>
        </w:rPr>
        <w:t>When examples are necessary in GMP1, they should be in both ISO</w:t>
      </w:r>
      <w:r w:rsidR="002421C4">
        <w:rPr>
          <w:u w:val="none"/>
        </w:rPr>
        <w:t xml:space="preserve"> </w:t>
      </w:r>
      <w:r>
        <w:rPr>
          <w:u w:val="none"/>
        </w:rPr>
        <w:t>20022 and ISO</w:t>
      </w:r>
      <w:r w:rsidR="002421C4">
        <w:rPr>
          <w:u w:val="none"/>
        </w:rPr>
        <w:t xml:space="preserve"> </w:t>
      </w:r>
      <w:r>
        <w:rPr>
          <w:u w:val="none"/>
        </w:rPr>
        <w:t>15022 syntaxes.</w:t>
      </w:r>
    </w:p>
    <w:p w:rsidR="00690328" w:rsidRPr="00A10D34" w:rsidRDefault="00A10D34" w:rsidP="00F35560">
      <w:pPr>
        <w:autoSpaceDE w:val="0"/>
        <w:autoSpaceDN w:val="0"/>
        <w:adjustRightInd w:val="0"/>
        <w:rPr>
          <w:b/>
          <w:color w:val="00B050"/>
          <w:u w:val="single"/>
        </w:rPr>
      </w:pPr>
      <w:r w:rsidRPr="00A10D34">
        <w:rPr>
          <w:b/>
          <w:color w:val="00B050"/>
          <w:u w:val="single"/>
        </w:rPr>
        <w:t>Decision/</w:t>
      </w:r>
      <w:r w:rsidR="002B45B3" w:rsidRPr="00A10D34">
        <w:rPr>
          <w:b/>
          <w:color w:val="00B050"/>
          <w:u w:val="single"/>
        </w:rPr>
        <w:t>Agreed approach:</w:t>
      </w:r>
    </w:p>
    <w:p w:rsidR="00690328" w:rsidRPr="00A10D34" w:rsidRDefault="00103C0A" w:rsidP="007A5744">
      <w:pPr>
        <w:pStyle w:val="ListParagraph"/>
        <w:numPr>
          <w:ilvl w:val="0"/>
          <w:numId w:val="26"/>
        </w:numPr>
        <w:autoSpaceDE w:val="0"/>
        <w:autoSpaceDN w:val="0"/>
        <w:adjustRightInd w:val="0"/>
        <w:rPr>
          <w:color w:val="00B050"/>
          <w:u w:val="none"/>
        </w:rPr>
      </w:pPr>
      <w:r w:rsidRPr="00A10D34">
        <w:rPr>
          <w:color w:val="00B050"/>
          <w:u w:val="none"/>
        </w:rPr>
        <w:t xml:space="preserve">Cosmetic changes: </w:t>
      </w:r>
      <w:r w:rsidR="007A5744" w:rsidRPr="00A10D34">
        <w:rPr>
          <w:color w:val="00B050"/>
          <w:u w:val="none"/>
        </w:rPr>
        <w:t>Jacques can start changing the reference tables</w:t>
      </w:r>
      <w:r w:rsidR="001474F5" w:rsidRPr="00A10D34">
        <w:rPr>
          <w:color w:val="00B050"/>
          <w:u w:val="none"/>
        </w:rPr>
        <w:t xml:space="preserve"> and text references sections by sections and chapter by chapter once a notation for the ISO 20022 path is found for the reference table.</w:t>
      </w:r>
    </w:p>
    <w:p w:rsidR="001474F5" w:rsidRPr="00A10D34" w:rsidRDefault="001474F5" w:rsidP="007A5744">
      <w:pPr>
        <w:pStyle w:val="ListParagraph"/>
        <w:numPr>
          <w:ilvl w:val="0"/>
          <w:numId w:val="26"/>
        </w:numPr>
        <w:autoSpaceDE w:val="0"/>
        <w:autoSpaceDN w:val="0"/>
        <w:adjustRightInd w:val="0"/>
        <w:rPr>
          <w:color w:val="00B050"/>
          <w:u w:val="none"/>
        </w:rPr>
      </w:pPr>
      <w:r w:rsidRPr="00A10D34">
        <w:rPr>
          <w:color w:val="00B050"/>
          <w:u w:val="none"/>
        </w:rPr>
        <w:t>For all new MPs, create directly the MPs for both ISO</w:t>
      </w:r>
      <w:r w:rsidR="005A5D2A" w:rsidRPr="00A10D34">
        <w:rPr>
          <w:color w:val="00B050"/>
          <w:u w:val="none"/>
        </w:rPr>
        <w:t xml:space="preserve"> </w:t>
      </w:r>
      <w:r w:rsidRPr="00A10D34">
        <w:rPr>
          <w:color w:val="00B050"/>
          <w:u w:val="none"/>
        </w:rPr>
        <w:t>15022 and ISO</w:t>
      </w:r>
      <w:r w:rsidR="005A5D2A" w:rsidRPr="00A10D34">
        <w:rPr>
          <w:color w:val="00B050"/>
          <w:u w:val="none"/>
        </w:rPr>
        <w:t xml:space="preserve"> </w:t>
      </w:r>
      <w:r w:rsidRPr="00A10D34">
        <w:rPr>
          <w:color w:val="00B050"/>
          <w:u w:val="none"/>
        </w:rPr>
        <w:t>20022.</w:t>
      </w:r>
    </w:p>
    <w:p w:rsidR="001474F5" w:rsidRPr="00A10D34" w:rsidRDefault="001474F5" w:rsidP="007A5744">
      <w:pPr>
        <w:pStyle w:val="ListParagraph"/>
        <w:numPr>
          <w:ilvl w:val="0"/>
          <w:numId w:val="26"/>
        </w:numPr>
        <w:autoSpaceDE w:val="0"/>
        <w:autoSpaceDN w:val="0"/>
        <w:adjustRightInd w:val="0"/>
        <w:rPr>
          <w:color w:val="00B050"/>
          <w:u w:val="none"/>
        </w:rPr>
      </w:pPr>
      <w:r w:rsidRPr="00A10D34">
        <w:rPr>
          <w:color w:val="00B050"/>
        </w:rPr>
        <w:t>In the medium term</w:t>
      </w:r>
      <w:r w:rsidRPr="00A10D34">
        <w:rPr>
          <w:color w:val="00B050"/>
          <w:u w:val="none"/>
        </w:rPr>
        <w:t>, we can start reviewing</w:t>
      </w:r>
      <w:r w:rsidR="00BC186C" w:rsidRPr="00A10D34">
        <w:rPr>
          <w:color w:val="00B050"/>
          <w:u w:val="none"/>
        </w:rPr>
        <w:t xml:space="preserve"> more in depth</w:t>
      </w:r>
      <w:r w:rsidRPr="00A10D34">
        <w:rPr>
          <w:color w:val="00B050"/>
          <w:u w:val="none"/>
        </w:rPr>
        <w:t xml:space="preserve"> the wording of some of the MP chapter by Chapter based on the </w:t>
      </w:r>
      <w:r w:rsidR="00BC186C" w:rsidRPr="00A10D34">
        <w:rPr>
          <w:color w:val="00B050"/>
          <w:u w:val="none"/>
        </w:rPr>
        <w:t xml:space="preserve">comments </w:t>
      </w:r>
      <w:r w:rsidRPr="00A10D34">
        <w:rPr>
          <w:color w:val="00B050"/>
          <w:u w:val="none"/>
        </w:rPr>
        <w:t>made by the differen</w:t>
      </w:r>
      <w:r w:rsidR="005A5D2A" w:rsidRPr="00A10D34">
        <w:rPr>
          <w:color w:val="00B050"/>
          <w:u w:val="none"/>
        </w:rPr>
        <w:t>t review groups and proposals</w:t>
      </w:r>
      <w:r w:rsidR="00BC186C" w:rsidRPr="00A10D34">
        <w:rPr>
          <w:color w:val="00B050"/>
          <w:u w:val="none"/>
        </w:rPr>
        <w:t xml:space="preserve"> to move some sections </w:t>
      </w:r>
      <w:r w:rsidR="005A5D2A" w:rsidRPr="00A10D34">
        <w:rPr>
          <w:color w:val="00B050"/>
          <w:u w:val="none"/>
        </w:rPr>
        <w:t xml:space="preserve">in different chapters </w:t>
      </w:r>
      <w:r w:rsidR="001671A7" w:rsidRPr="00A10D34">
        <w:rPr>
          <w:color w:val="00B050"/>
          <w:u w:val="none"/>
        </w:rPr>
        <w:t>in GMP1</w:t>
      </w:r>
      <w:r w:rsidR="00BC186C" w:rsidRPr="00A10D34">
        <w:rPr>
          <w:color w:val="00B050"/>
          <w:u w:val="none"/>
        </w:rPr>
        <w:t xml:space="preserve">. </w:t>
      </w:r>
      <w:r w:rsidR="00D2360C" w:rsidRPr="00A10D34">
        <w:rPr>
          <w:color w:val="00B050"/>
          <w:u w:val="none"/>
        </w:rPr>
        <w:t xml:space="preserve">All changes to be reviewed by the whole group. </w:t>
      </w:r>
    </w:p>
    <w:p w:rsidR="00F35560" w:rsidRDefault="00F35560" w:rsidP="00F35560">
      <w:pPr>
        <w:autoSpaceDE w:val="0"/>
        <w:autoSpaceDN w:val="0"/>
        <w:adjustRightInd w:val="0"/>
        <w:spacing w:before="0" w:after="0"/>
        <w:rPr>
          <w:color w:val="FF0000"/>
        </w:rPr>
      </w:pPr>
      <w:r w:rsidRPr="006B1EAB">
        <w:rPr>
          <w:b/>
          <w:color w:val="FF0000"/>
          <w:u w:val="single"/>
        </w:rPr>
        <w:t>Action</w:t>
      </w:r>
      <w:r w:rsidRPr="006B1EAB">
        <w:rPr>
          <w:color w:val="FF0000"/>
        </w:rPr>
        <w:t xml:space="preserve">: </w:t>
      </w:r>
      <w:r w:rsidR="00103C0A" w:rsidRPr="00DF133B">
        <w:rPr>
          <w:color w:val="FF0000"/>
          <w:u w:val="single"/>
        </w:rPr>
        <w:t>Jacques</w:t>
      </w:r>
      <w:r w:rsidR="00103C0A">
        <w:rPr>
          <w:color w:val="FF0000"/>
        </w:rPr>
        <w:t xml:space="preserve"> to propose a notation for the path in reference table and once agreed start on the cosmetic changes</w:t>
      </w:r>
      <w:r w:rsidR="002421C4">
        <w:rPr>
          <w:color w:val="FF0000"/>
        </w:rPr>
        <w:t xml:space="preserve"> in the document</w:t>
      </w:r>
      <w:r w:rsidR="00103C0A">
        <w:rPr>
          <w:color w:val="FF0000"/>
        </w:rPr>
        <w:t>.</w:t>
      </w:r>
    </w:p>
    <w:p w:rsidR="004E09D0" w:rsidRDefault="004E09D0" w:rsidP="004E09D0">
      <w:pPr>
        <w:pStyle w:val="Heading1"/>
      </w:pPr>
      <w:bookmarkStart w:id="24" w:name="_Toc482870659"/>
      <w:bookmarkStart w:id="25" w:name="_Toc479157748"/>
      <w:r>
        <w:t>CA342</w:t>
      </w:r>
      <w:r>
        <w:tab/>
      </w:r>
      <w:r w:rsidRPr="004E09D0">
        <w:t>Issue with Stock Lending Deadline (BORD) repeatability</w:t>
      </w:r>
      <w:r>
        <w:t xml:space="preserve"> MT Implementation</w:t>
      </w:r>
      <w:bookmarkEnd w:id="24"/>
    </w:p>
    <w:p w:rsidR="004E09D0" w:rsidRDefault="00C54B12" w:rsidP="004E09D0">
      <w:r>
        <w:t>Jacques presents the proposed CR (see below) so as to correct the repeatability issue in MT for the BORD deadline (BORD should only have been repeatable for Format Options A and J).</w:t>
      </w:r>
    </w:p>
    <w:p w:rsidR="00C54B12" w:rsidRDefault="00C54B12" w:rsidP="004E09D0">
      <w:r>
        <w:object w:dxaOrig="1551" w:dyaOrig="991">
          <v:shape id="_x0000_i1029" type="#_x0000_t75" style="width:77.25pt;height:49.5pt" o:ole="">
            <v:imagedata r:id="rId24" o:title=""/>
          </v:shape>
          <o:OLEObject Type="Embed" ProgID="Excel.Sheet.12" ShapeID="_x0000_i1029" DrawAspect="Icon" ObjectID="_1558364460" r:id="rId25"/>
        </w:object>
      </w:r>
    </w:p>
    <w:p w:rsidR="00C54B12" w:rsidRDefault="00C54B12" w:rsidP="004E09D0">
      <w:r>
        <w:t>The WG agrees with the CR and it can be submitted to SWIFT.</w:t>
      </w:r>
    </w:p>
    <w:p w:rsidR="00C54B12" w:rsidRPr="004E09D0" w:rsidRDefault="00C54B12" w:rsidP="00C54B12">
      <w:pPr>
        <w:pStyle w:val="Actions"/>
      </w:pPr>
      <w:r w:rsidRPr="00C54B12">
        <w:rPr>
          <w:b/>
          <w:u w:val="single"/>
        </w:rPr>
        <w:t>Action</w:t>
      </w:r>
      <w:r>
        <w:t xml:space="preserve">: </w:t>
      </w:r>
      <w:r w:rsidRPr="00C54B12">
        <w:rPr>
          <w:u w:val="single"/>
        </w:rPr>
        <w:t>Jacques</w:t>
      </w:r>
      <w:r>
        <w:t xml:space="preserve"> to submit the CR and close item.</w:t>
      </w:r>
    </w:p>
    <w:p w:rsidR="00F35560" w:rsidRDefault="00F35560" w:rsidP="00F35560">
      <w:pPr>
        <w:pStyle w:val="Heading1"/>
      </w:pPr>
      <w:bookmarkStart w:id="26" w:name="_Toc482870660"/>
      <w:r>
        <w:lastRenderedPageBreak/>
        <w:t>CA343</w:t>
      </w:r>
      <w:r>
        <w:tab/>
        <w:t>Deemed Distribution Payment CR – Tax Subgroup Progress</w:t>
      </w:r>
      <w:bookmarkEnd w:id="25"/>
      <w:bookmarkEnd w:id="26"/>
    </w:p>
    <w:p w:rsidR="006C550B" w:rsidRDefault="006C550B" w:rsidP="00F35560">
      <w:r>
        <w:t>ISITC has provided the following draft CR before the Dublin meeting:</w:t>
      </w:r>
    </w:p>
    <w:bookmarkStart w:id="27" w:name="_MON_1556115229"/>
    <w:bookmarkEnd w:id="27"/>
    <w:p w:rsidR="006C550B" w:rsidRDefault="001C41F0" w:rsidP="00F35560">
      <w:r>
        <w:object w:dxaOrig="1531" w:dyaOrig="990">
          <v:shape id="_x0000_i1030" type="#_x0000_t75" style="width:76.5pt;height:49.5pt" o:ole="">
            <v:imagedata r:id="rId26" o:title=""/>
          </v:shape>
          <o:OLEObject Type="Embed" ProgID="Excel.Sheet.12" ShapeID="_x0000_i1030" DrawAspect="Icon" ObjectID="_1558364461" r:id="rId27"/>
        </w:object>
      </w:r>
    </w:p>
    <w:p w:rsidR="006C550B" w:rsidRDefault="006C550B" w:rsidP="006C550B">
      <w:r>
        <w:t>On the US side, the requirements are driven by the new 871M regulation for derivatives and 305C regulations for which taxes are levied on not paid revenues like for instance on the increase of a derivative value</w:t>
      </w:r>
      <w:r w:rsidR="000A5606">
        <w:t xml:space="preserve"> but on which there is no distribution</w:t>
      </w:r>
      <w:r>
        <w:t>.</w:t>
      </w:r>
    </w:p>
    <w:p w:rsidR="006C550B" w:rsidRDefault="006C550B" w:rsidP="006C550B">
      <w:r>
        <w:t>Jyi-Chen and Steve explained the business scenario.</w:t>
      </w:r>
    </w:p>
    <w:p w:rsidR="006C550B" w:rsidRDefault="007331C9" w:rsidP="006C550B">
      <w:r>
        <w:t xml:space="preserve">Identification of the event is the biggest problem the custodians are having for now. </w:t>
      </w:r>
      <w:r w:rsidR="006C550B">
        <w:t>A new CA event will be requested as in the AU request of last year since this tax event needs to be clearly identified so as to be routed to the right department for processing</w:t>
      </w:r>
      <w:r>
        <w:t xml:space="preserve"> (and not to the “income” </w:t>
      </w:r>
      <w:r w:rsidR="002A2EA8">
        <w:t>dept.</w:t>
      </w:r>
      <w:r>
        <w:t>).</w:t>
      </w:r>
    </w:p>
    <w:p w:rsidR="00542E1C" w:rsidRPr="00542E1C" w:rsidRDefault="00542E1C" w:rsidP="00542E1C">
      <w:r w:rsidRPr="00542E1C">
        <w:t xml:space="preserve">IRS requires from the Custodians the announcement of the taxation and that they inform clients on the amount debited, so MT564 and MT566 (+related 20022 messages) are necessary. </w:t>
      </w:r>
    </w:p>
    <w:p w:rsidR="001C2A17" w:rsidRDefault="006C550B" w:rsidP="006C550B">
      <w:pPr>
        <w:pStyle w:val="Decisions"/>
      </w:pPr>
      <w:r w:rsidRPr="006C550B">
        <w:rPr>
          <w:b/>
          <w:u w:val="single"/>
        </w:rPr>
        <w:t>Decision</w:t>
      </w:r>
      <w:r>
        <w:t>: The WG approved the CR overall</w:t>
      </w:r>
      <w:r w:rsidR="00BD327F">
        <w:t>. It also agrees with</w:t>
      </w:r>
      <w:r w:rsidR="001C2A17">
        <w:t xml:space="preserve"> the following:</w:t>
      </w:r>
    </w:p>
    <w:p w:rsidR="001C2A17" w:rsidRDefault="00BD327F" w:rsidP="00E6486D">
      <w:pPr>
        <w:pStyle w:val="Decisions"/>
        <w:numPr>
          <w:ilvl w:val="0"/>
          <w:numId w:val="29"/>
        </w:numPr>
      </w:pPr>
      <w:r>
        <w:t>the creation of a new specific event for this</w:t>
      </w:r>
      <w:r w:rsidR="00E6486D">
        <w:t>,</w:t>
      </w:r>
      <w:r>
        <w:t xml:space="preserve"> </w:t>
      </w:r>
    </w:p>
    <w:p w:rsidR="001C2A17" w:rsidRDefault="001C2A17" w:rsidP="001C2A17">
      <w:pPr>
        <w:pStyle w:val="Decisions"/>
        <w:numPr>
          <w:ilvl w:val="0"/>
          <w:numId w:val="29"/>
        </w:numPr>
      </w:pPr>
      <w:r>
        <w:t>the creation of a</w:t>
      </w:r>
      <w:r w:rsidR="00BD327F">
        <w:t xml:space="preserve"> new “deemed amount”</w:t>
      </w:r>
      <w:r w:rsidR="00E6486D">
        <w:t xml:space="preserve"> like GTAX Gross Taxable Amount</w:t>
      </w:r>
      <w:r>
        <w:t>,</w:t>
      </w:r>
    </w:p>
    <w:p w:rsidR="000142B1" w:rsidRDefault="001C2A17" w:rsidP="006C550B">
      <w:pPr>
        <w:pStyle w:val="Decisions"/>
        <w:numPr>
          <w:ilvl w:val="0"/>
          <w:numId w:val="29"/>
        </w:numPr>
      </w:pPr>
      <w:r>
        <w:t xml:space="preserve">the creation of a </w:t>
      </w:r>
      <w:r w:rsidR="00BD327F">
        <w:t xml:space="preserve">new indicator </w:t>
      </w:r>
      <w:r w:rsidR="006C550B">
        <w:t xml:space="preserve">in CADETL </w:t>
      </w:r>
      <w:r w:rsidR="00D60358">
        <w:t>to i</w:t>
      </w:r>
      <w:r w:rsidR="007331C9">
        <w:t xml:space="preserve">dentify the type of tax </w:t>
      </w:r>
      <w:r w:rsidR="006C550B">
        <w:t>similar</w:t>
      </w:r>
      <w:r w:rsidR="007331C9">
        <w:t>ly</w:t>
      </w:r>
      <w:r w:rsidR="006C550B">
        <w:t xml:space="preserve"> to the RHDI indicator </w:t>
      </w:r>
      <w:r w:rsidR="00E1242A">
        <w:t>like</w:t>
      </w:r>
      <w:r w:rsidR="006C550B">
        <w:t xml:space="preserve"> :22F::TXEV//DEE</w:t>
      </w:r>
      <w:r w:rsidR="00BD327F">
        <w:t>M and</w:t>
      </w:r>
      <w:r w:rsidR="000142B1">
        <w:t xml:space="preserve"> using a DSS for creating proprietary code values</w:t>
      </w:r>
      <w:r w:rsidR="00E6486D">
        <w:t>,</w:t>
      </w:r>
    </w:p>
    <w:p w:rsidR="00E6486D" w:rsidRDefault="00E6486D" w:rsidP="00E6486D">
      <w:pPr>
        <w:pStyle w:val="Decisions"/>
        <w:numPr>
          <w:ilvl w:val="0"/>
          <w:numId w:val="29"/>
        </w:numPr>
      </w:pPr>
      <w:r>
        <w:t>no need to create a new option code as “CASH” option can be reused, no need as well for a new rate as GRSS could be reused,</w:t>
      </w:r>
    </w:p>
    <w:p w:rsidR="006C550B" w:rsidRDefault="000142B1" w:rsidP="006C550B">
      <w:pPr>
        <w:pStyle w:val="Decisions"/>
        <w:numPr>
          <w:ilvl w:val="0"/>
          <w:numId w:val="29"/>
        </w:numPr>
      </w:pPr>
      <w:r>
        <w:t>the CR</w:t>
      </w:r>
      <w:r w:rsidR="006C550B">
        <w:t xml:space="preserve"> should </w:t>
      </w:r>
      <w:r>
        <w:t xml:space="preserve">provide for </w:t>
      </w:r>
      <w:r w:rsidR="006C550B">
        <w:t xml:space="preserve">definitions </w:t>
      </w:r>
      <w:r>
        <w:t xml:space="preserve">(of those new elements) </w:t>
      </w:r>
      <w:r w:rsidR="006C550B">
        <w:t>as generic as possible without becoming too wide, since this may eventually affect more markets than US and AU</w:t>
      </w:r>
      <w:r w:rsidR="00D60358">
        <w:t>,</w:t>
      </w:r>
    </w:p>
    <w:p w:rsidR="00D60358" w:rsidRDefault="00D60358" w:rsidP="006C550B">
      <w:pPr>
        <w:pStyle w:val="Decisions"/>
        <w:numPr>
          <w:ilvl w:val="0"/>
          <w:numId w:val="29"/>
        </w:numPr>
      </w:pPr>
      <w:r>
        <w:t xml:space="preserve">a new </w:t>
      </w:r>
      <w:r w:rsidR="00542E1C">
        <w:t xml:space="preserve">SMPG </w:t>
      </w:r>
      <w:r>
        <w:t>market practice might be needed for this event as well as eventually a new template,</w:t>
      </w:r>
    </w:p>
    <w:p w:rsidR="00D60358" w:rsidRDefault="00D60358" w:rsidP="006C550B">
      <w:pPr>
        <w:pStyle w:val="Decisions"/>
        <w:numPr>
          <w:ilvl w:val="0"/>
          <w:numId w:val="29"/>
        </w:numPr>
      </w:pPr>
      <w:proofErr w:type="gramStart"/>
      <w:r>
        <w:t>the</w:t>
      </w:r>
      <w:proofErr w:type="gramEnd"/>
      <w:r>
        <w:t xml:space="preserve"> case where there is a basket of securities underlying the</w:t>
      </w:r>
      <w:r w:rsidR="00E1242A">
        <w:t xml:space="preserve"> derivative must be covered too (f</w:t>
      </w:r>
      <w:r w:rsidR="00E1242A" w:rsidRPr="00E1242A">
        <w:t>or basket</w:t>
      </w:r>
      <w:r w:rsidR="00E1242A">
        <w:t xml:space="preserve"> of securities</w:t>
      </w:r>
      <w:r w:rsidR="00E1242A" w:rsidRPr="00E1242A">
        <w:t xml:space="preserve">, </w:t>
      </w:r>
      <w:r w:rsidR="00E1242A">
        <w:t xml:space="preserve">a </w:t>
      </w:r>
      <w:r w:rsidR="00E1242A" w:rsidRPr="00E1242A">
        <w:t xml:space="preserve">security identifier </w:t>
      </w:r>
      <w:r w:rsidR="00E1242A">
        <w:t>for the whole</w:t>
      </w:r>
      <w:r w:rsidR="00E1242A" w:rsidRPr="00E1242A">
        <w:t xml:space="preserve"> basket </w:t>
      </w:r>
      <w:r w:rsidR="00E1242A">
        <w:t>will</w:t>
      </w:r>
      <w:r w:rsidR="00E1242A" w:rsidRPr="00E1242A">
        <w:t xml:space="preserve"> be announced, </w:t>
      </w:r>
      <w:r w:rsidR="00E1242A">
        <w:t xml:space="preserve">and </w:t>
      </w:r>
      <w:r w:rsidR="00E1242A" w:rsidRPr="00E1242A">
        <w:t xml:space="preserve">not individual securities </w:t>
      </w:r>
      <w:r w:rsidR="00E1242A">
        <w:t>IDs)</w:t>
      </w:r>
      <w:r w:rsidR="00E1242A" w:rsidRPr="00E1242A">
        <w:t>.</w:t>
      </w:r>
    </w:p>
    <w:p w:rsidR="00F35560" w:rsidRDefault="00F35560" w:rsidP="00F35560">
      <w:pPr>
        <w:pStyle w:val="Actions"/>
      </w:pPr>
      <w:r w:rsidRPr="00A315E7">
        <w:rPr>
          <w:b/>
          <w:u w:val="single"/>
        </w:rPr>
        <w:t>Action</w:t>
      </w:r>
      <w:r>
        <w:t>:</w:t>
      </w:r>
      <w:r w:rsidR="000142B1">
        <w:t xml:space="preserve"> </w:t>
      </w:r>
      <w:r w:rsidR="000142B1" w:rsidRPr="00DF133B">
        <w:rPr>
          <w:u w:val="single"/>
        </w:rPr>
        <w:t xml:space="preserve">ISITC (Steve/Paul) </w:t>
      </w:r>
      <w:r w:rsidR="000142B1">
        <w:t xml:space="preserve">to finalise the CR and send it for review </w:t>
      </w:r>
      <w:proofErr w:type="gramStart"/>
      <w:r w:rsidR="000142B1">
        <w:t>asap</w:t>
      </w:r>
      <w:proofErr w:type="gramEnd"/>
      <w:r w:rsidR="000142B1">
        <w:t xml:space="preserve"> (before the next conference call in May) so that amendments may eventually be applied if need be before the June 1</w:t>
      </w:r>
      <w:r w:rsidR="000142B1" w:rsidRPr="000142B1">
        <w:rPr>
          <w:vertAlign w:val="superscript"/>
        </w:rPr>
        <w:t>st</w:t>
      </w:r>
      <w:r w:rsidR="000142B1">
        <w:t xml:space="preserve"> deadline for submission.</w:t>
      </w:r>
    </w:p>
    <w:p w:rsidR="00F35560" w:rsidRDefault="002A2EA8" w:rsidP="00F35560">
      <w:pPr>
        <w:pStyle w:val="Heading1"/>
      </w:pPr>
      <w:bookmarkStart w:id="28" w:name="_Toc479157749"/>
      <w:bookmarkStart w:id="29" w:name="_Toc482870661"/>
      <w:r>
        <w:t>CA344</w:t>
      </w:r>
      <w:r>
        <w:tab/>
        <w:t>Analyse impact of creating new "Interest Period Inclusive" element besides INPE</w:t>
      </w:r>
      <w:bookmarkEnd w:id="28"/>
      <w:bookmarkEnd w:id="29"/>
    </w:p>
    <w:p w:rsidR="00F35560" w:rsidRDefault="00F35560" w:rsidP="00F35560">
      <w:r>
        <w:t>Consolidated input provided by Mike:</w:t>
      </w:r>
    </w:p>
    <w:p w:rsidR="00F35560" w:rsidRDefault="00F35560" w:rsidP="00F35560">
      <w:pPr>
        <w:pStyle w:val="Actions"/>
      </w:pPr>
      <w:r>
        <w:object w:dxaOrig="1440" w:dyaOrig="1215">
          <v:shape id="_x0000_i1031" type="#_x0000_t75" style="width:1in;height:60.75pt" o:ole="">
            <v:imagedata r:id="rId28" o:title=""/>
          </v:shape>
          <o:OLEObject Type="Embed" ProgID="Outlook.FileAttach" ShapeID="_x0000_i1031" DrawAspect="Icon" ObjectID="_1558364462" r:id="rId29"/>
        </w:object>
      </w:r>
    </w:p>
    <w:p w:rsidR="00DF4D87" w:rsidRDefault="00DF4D87" w:rsidP="00DF4D87">
      <w:r>
        <w:t>Some markets announce inclusive/inclusive, some inclusive/exclusive.  All agree there is an issue, but no market wants to change and it’s not a huge issue.</w:t>
      </w:r>
    </w:p>
    <w:p w:rsidR="00DF4D87" w:rsidRDefault="00DF4D87" w:rsidP="00DF4D87">
      <w:r>
        <w:t xml:space="preserve">For </w:t>
      </w:r>
      <w:r w:rsidR="00BF2474">
        <w:t xml:space="preserve">the </w:t>
      </w:r>
      <w:r>
        <w:t xml:space="preserve">calculation of </w:t>
      </w:r>
      <w:r w:rsidR="00BF2474">
        <w:t xml:space="preserve">the </w:t>
      </w:r>
      <w:r>
        <w:t>interest</w:t>
      </w:r>
      <w:r w:rsidR="00BF2474">
        <w:t>,</w:t>
      </w:r>
      <w:r>
        <w:t xml:space="preserve"> the 564 is </w:t>
      </w:r>
      <w:r w:rsidR="00BF2474">
        <w:t xml:space="preserve">probably </w:t>
      </w:r>
      <w:r>
        <w:t xml:space="preserve">not used, </w:t>
      </w:r>
      <w:r w:rsidR="00BF2474">
        <w:t xml:space="preserve">it is rather the </w:t>
      </w:r>
      <w:r>
        <w:t>vendor reference data feeds</w:t>
      </w:r>
      <w:r w:rsidR="00BF2474">
        <w:t xml:space="preserve"> that are used instead</w:t>
      </w:r>
      <w:r>
        <w:t>.</w:t>
      </w:r>
    </w:p>
    <w:p w:rsidR="000D726B" w:rsidRPr="000D726B" w:rsidRDefault="000D726B" w:rsidP="000D726B">
      <w:r w:rsidRPr="000D726B">
        <w:lastRenderedPageBreak/>
        <w:t>Jean-Pierre</w:t>
      </w:r>
      <w:r>
        <w:t xml:space="preserve"> </w:t>
      </w:r>
      <w:r w:rsidRPr="000D726B">
        <w:t>confirms that the FR Market is in favor of a CR for the creation of an INPI qualifier</w:t>
      </w:r>
      <w:r>
        <w:t xml:space="preserve"> (an inclusive period)</w:t>
      </w:r>
      <w:r w:rsidRPr="000D726B">
        <w:t>.</w:t>
      </w:r>
      <w:r>
        <w:t xml:space="preserve"> However it will be difficult to avoid the </w:t>
      </w:r>
      <w:r w:rsidRPr="000D726B">
        <w:t xml:space="preserve">misuse of this new code and how can we guarantee that correct dates will be </w:t>
      </w:r>
      <w:r>
        <w:t xml:space="preserve">entered </w:t>
      </w:r>
      <w:r w:rsidRPr="000D726B">
        <w:t>in the codes</w:t>
      </w:r>
      <w:r>
        <w:t xml:space="preserve"> anyway</w:t>
      </w:r>
      <w:r w:rsidRPr="000D726B">
        <w:t>?</w:t>
      </w:r>
    </w:p>
    <w:p w:rsidR="000D726B" w:rsidRDefault="000D726B" w:rsidP="000D726B">
      <w:r w:rsidRPr="000D726B">
        <w:t>The global issue</w:t>
      </w:r>
      <w:r>
        <w:t xml:space="preserve"> is that no one wants to change the way it works today. </w:t>
      </w:r>
      <w:r w:rsidRPr="000D726B">
        <w:t>In the Swedish market, issuers have also different ways to announce and there is not a standard way.</w:t>
      </w:r>
      <w:r>
        <w:t xml:space="preserve"> </w:t>
      </w:r>
      <w:r w:rsidRPr="000D726B">
        <w:t xml:space="preserve">On the other way round, shouldn’t we have DAAC mandatory? </w:t>
      </w:r>
      <w:r>
        <w:t>However some raise</w:t>
      </w:r>
      <w:r w:rsidRPr="000D726B">
        <w:t xml:space="preserve"> </w:t>
      </w:r>
      <w:r>
        <w:t xml:space="preserve">the fact that </w:t>
      </w:r>
      <w:r w:rsidRPr="000D726B">
        <w:t xml:space="preserve">it </w:t>
      </w:r>
      <w:r>
        <w:t>may create</w:t>
      </w:r>
      <w:r w:rsidRPr="000D726B">
        <w:t xml:space="preserve"> additional conf</w:t>
      </w:r>
      <w:r>
        <w:t>usion.</w:t>
      </w:r>
    </w:p>
    <w:p w:rsidR="000D726B" w:rsidRPr="000D726B" w:rsidRDefault="000D726B" w:rsidP="000D726B">
      <w:r>
        <w:t xml:space="preserve">Most agree that </w:t>
      </w:r>
      <w:r w:rsidRPr="000D726B">
        <w:t>DAAC is the only correct data because the number of days is always correct whatever the dates indicated in INPE are.</w:t>
      </w:r>
    </w:p>
    <w:p w:rsidR="001129FA" w:rsidRDefault="00DF4D87" w:rsidP="00DF4D87">
      <w:r>
        <w:t xml:space="preserve">Data Providers provide </w:t>
      </w:r>
      <w:r w:rsidR="00BF2474">
        <w:t xml:space="preserve">sometime </w:t>
      </w:r>
      <w:r>
        <w:t>different periods</w:t>
      </w:r>
      <w:r w:rsidR="00BF2474">
        <w:t xml:space="preserve"> (INPE) values for the same event</w:t>
      </w:r>
      <w:r>
        <w:t>.</w:t>
      </w:r>
      <w:r w:rsidR="00BF2474">
        <w:t xml:space="preserve"> DAAC is probably more used than INPE.</w:t>
      </w:r>
      <w:r w:rsidR="001129FA">
        <w:t xml:space="preserve"> In summary, INTP, PAYD, RDTE for entitlement</w:t>
      </w:r>
      <w:r w:rsidR="000D726B">
        <w:t xml:space="preserve"> and DAAC </w:t>
      </w:r>
      <w:r w:rsidR="001129FA">
        <w:t>are needed</w:t>
      </w:r>
      <w:r w:rsidR="000D726B">
        <w:t xml:space="preserve"> whilst</w:t>
      </w:r>
      <w:r w:rsidR="001129FA">
        <w:t xml:space="preserve"> INPE </w:t>
      </w:r>
      <w:r w:rsidR="000D726B">
        <w:t xml:space="preserve">is rather </w:t>
      </w:r>
      <w:r w:rsidR="001129FA">
        <w:t xml:space="preserve">used for </w:t>
      </w:r>
      <w:r w:rsidR="000D726B">
        <w:t>verification.</w:t>
      </w:r>
    </w:p>
    <w:p w:rsidR="00DF4D87" w:rsidRDefault="00DF4D87" w:rsidP="00BF2474">
      <w:pPr>
        <w:pStyle w:val="Decisions"/>
      </w:pPr>
      <w:r w:rsidRPr="00BF2474">
        <w:rPr>
          <w:b/>
          <w:u w:val="single"/>
        </w:rPr>
        <w:t>Decision</w:t>
      </w:r>
      <w:r>
        <w:t xml:space="preserve">: </w:t>
      </w:r>
      <w:r w:rsidR="00BF2474">
        <w:t>The group agrees to change INPE to optional in the EIG+ and to a</w:t>
      </w:r>
      <w:r>
        <w:t xml:space="preserve">dd DAAC, as optional, to the INTR templates. </w:t>
      </w:r>
    </w:p>
    <w:p w:rsidR="00F35560" w:rsidRPr="00397F26" w:rsidRDefault="00F35560" w:rsidP="00F35560">
      <w:pPr>
        <w:pStyle w:val="Actions"/>
        <w:rPr>
          <w:b/>
          <w:u w:val="single"/>
        </w:rPr>
      </w:pPr>
      <w:r w:rsidRPr="00FB5368">
        <w:rPr>
          <w:b/>
          <w:u w:val="single"/>
        </w:rPr>
        <w:t>Action</w:t>
      </w:r>
      <w:r>
        <w:t>:</w:t>
      </w:r>
      <w:r w:rsidR="003B5FBD">
        <w:t xml:space="preserve"> </w:t>
      </w:r>
      <w:r w:rsidR="003B5FBD" w:rsidRPr="00DF133B">
        <w:rPr>
          <w:u w:val="single"/>
        </w:rPr>
        <w:t>Jacques</w:t>
      </w:r>
      <w:r w:rsidR="003B5FBD">
        <w:t xml:space="preserve"> to apply the decision above in the EIG+ and templates and close item.</w:t>
      </w:r>
    </w:p>
    <w:p w:rsidR="008C1535" w:rsidRDefault="008C1535" w:rsidP="00F35560">
      <w:pPr>
        <w:pStyle w:val="Heading1"/>
      </w:pPr>
      <w:bookmarkStart w:id="30" w:name="_Toc482870662"/>
      <w:bookmarkStart w:id="31" w:name="_Toc479157750"/>
      <w:r>
        <w:t>CA346</w:t>
      </w:r>
      <w:r>
        <w:tab/>
        <w:t>Conduit Foreign Income (CFI) CR – Tax subgroup Progress</w:t>
      </w:r>
      <w:bookmarkEnd w:id="30"/>
    </w:p>
    <w:bookmarkStart w:id="32" w:name="_MON_1556119078"/>
    <w:bookmarkEnd w:id="32"/>
    <w:p w:rsidR="008C1535" w:rsidRDefault="00F415C5" w:rsidP="008C1535">
      <w:r>
        <w:object w:dxaOrig="1531" w:dyaOrig="990">
          <v:shape id="_x0000_i1032" type="#_x0000_t75" style="width:76.5pt;height:49.5pt" o:ole="">
            <v:imagedata r:id="rId30" o:title=""/>
          </v:shape>
          <o:OLEObject Type="Embed" ProgID="Word.Document.12" ShapeID="_x0000_i1032" DrawAspect="Icon" ObjectID="_1558364463" r:id="rId31">
            <o:FieldCodes>\s</o:FieldCodes>
          </o:OLEObject>
        </w:object>
      </w:r>
    </w:p>
    <w:p w:rsidR="008C1535" w:rsidRDefault="00F415C5" w:rsidP="008C1535">
      <w:r>
        <w:t xml:space="preserve">A </w:t>
      </w:r>
      <w:r w:rsidR="008C1535">
        <w:t>CFI CR from Australia was presented last year but the business case was deemed a bit insufficient at the time.  The request is for a new Rate Type Code associated to GRSS and NETT qualifiers similarly to SOIC</w:t>
      </w:r>
      <w:r w:rsidR="00542E1C">
        <w:t xml:space="preserve"> (Sundry), FLFR (Fully Franked) and UNFR (Unfranked).</w:t>
      </w:r>
    </w:p>
    <w:p w:rsidR="008C1535" w:rsidRDefault="008C1535" w:rsidP="008C1535">
      <w:r>
        <w:t xml:space="preserve">Bernard asked what is the difference between franked, unfranked and taxable or tax free?  When would Australia use TXBL and TXFR? </w:t>
      </w:r>
    </w:p>
    <w:p w:rsidR="008C1535" w:rsidRDefault="008C1535" w:rsidP="008C1535">
      <w:r>
        <w:t>In AU, different categories trigger different way of reporting.  Australia (and UK) has an imputation system. Tax is al</w:t>
      </w:r>
      <w:r w:rsidR="00F415C5">
        <w:t>ready charged as corporate tax.</w:t>
      </w:r>
      <w:r w:rsidR="00D76297">
        <w:t xml:space="preserve"> </w:t>
      </w:r>
      <w:r w:rsidR="00F415C5">
        <w:t>A new CFI rate type code</w:t>
      </w:r>
      <w:r>
        <w:t xml:space="preserve"> would complete the group of </w:t>
      </w:r>
      <w:r w:rsidR="00F415C5">
        <w:t xml:space="preserve">rate </w:t>
      </w:r>
      <w:r w:rsidR="00E1242A">
        <w:t>type</w:t>
      </w:r>
      <w:r>
        <w:t xml:space="preserve"> codes and promote STP for Australia.</w:t>
      </w:r>
    </w:p>
    <w:p w:rsidR="008C1535" w:rsidRDefault="008C1535" w:rsidP="008C1535">
      <w:r>
        <w:t xml:space="preserve">COIN would not work </w:t>
      </w:r>
      <w:r w:rsidR="00F415C5">
        <w:t xml:space="preserve">in this case </w:t>
      </w:r>
      <w:r>
        <w:t>as there is no obligation to report the country of income.</w:t>
      </w:r>
      <w:r w:rsidR="00F415C5">
        <w:t xml:space="preserve"> Nevertheless, using a</w:t>
      </w:r>
      <w:r>
        <w:t xml:space="preserve"> ‘fake’ country code</w:t>
      </w:r>
      <w:r w:rsidR="00F415C5">
        <w:t xml:space="preserve"> might be a solution if feasible!</w:t>
      </w:r>
      <w:r>
        <w:t xml:space="preserve">  </w:t>
      </w:r>
    </w:p>
    <w:p w:rsidR="00F415C5" w:rsidRDefault="00F415C5" w:rsidP="008C1535">
      <w:r>
        <w:t xml:space="preserve">After investigation with Paul Janssens from SWIFT, it appears that </w:t>
      </w:r>
      <w:r w:rsidR="008C1535">
        <w:t xml:space="preserve">ISO 3166 allows for </w:t>
      </w:r>
      <w:r w:rsidR="00D76297">
        <w:t xml:space="preserve">the </w:t>
      </w:r>
      <w:r w:rsidR="008C1535">
        <w:t xml:space="preserve">creation of country codes that are not </w:t>
      </w:r>
      <w:r w:rsidR="00D76297">
        <w:t>officially</w:t>
      </w:r>
      <w:r w:rsidR="008C1535">
        <w:t xml:space="preserve"> r</w:t>
      </w:r>
      <w:r>
        <w:t>ecognised by the United Nations</w:t>
      </w:r>
      <w:r w:rsidRPr="00F415C5">
        <w:t xml:space="preserve"> </w:t>
      </w:r>
      <w:r w:rsidR="00D76297">
        <w:t>if there is a clear</w:t>
      </w:r>
      <w:r>
        <w:t xml:space="preserve"> business need, e.g. </w:t>
      </w:r>
      <w:r w:rsidR="002F144B">
        <w:t xml:space="preserve">for Kosovo, SWIFT uses “XK” and “XE” is used for “Europe”. </w:t>
      </w:r>
    </w:p>
    <w:p w:rsidR="008C1535" w:rsidRDefault="00F415C5" w:rsidP="008C1535">
      <w:r>
        <w:t>T</w:t>
      </w:r>
      <w:r w:rsidR="008C1535">
        <w:t>hese are u</w:t>
      </w:r>
      <w:r w:rsidR="00235730">
        <w:t>ser assigned codes (XA to XX and ZZ</w:t>
      </w:r>
      <w:r w:rsidR="008C1535">
        <w:t xml:space="preserve">).  These are not positively validated.  XK has been positively validated.  A </w:t>
      </w:r>
      <w:r w:rsidR="009D6C86">
        <w:t xml:space="preserve">change </w:t>
      </w:r>
      <w:r w:rsidR="008C1535">
        <w:t xml:space="preserve">request </w:t>
      </w:r>
      <w:r w:rsidR="002F144B">
        <w:t>to justify a change of network validation would be required for that</w:t>
      </w:r>
      <w:r w:rsidR="009D6C86">
        <w:t xml:space="preserve"> in any case. Nevertheless, adding a new rate type code would likely be the cleanest solution for AU.</w:t>
      </w:r>
    </w:p>
    <w:p w:rsidR="008C1535" w:rsidRDefault="002F144B" w:rsidP="002F144B">
      <w:pPr>
        <w:tabs>
          <w:tab w:val="left" w:pos="5775"/>
        </w:tabs>
      </w:pPr>
      <w:r>
        <w:t>The group agrees that a new 19B A</w:t>
      </w:r>
      <w:r w:rsidR="008C1535">
        <w:t>mount type would also be required to match the CFI</w:t>
      </w:r>
      <w:r>
        <w:t xml:space="preserve"> rate type code.</w:t>
      </w:r>
    </w:p>
    <w:p w:rsidR="008C1535" w:rsidRDefault="008C1535" w:rsidP="008C1535">
      <w:r>
        <w:t>Germany uses SOIC for foreign income for funds (will end next year).</w:t>
      </w:r>
    </w:p>
    <w:p w:rsidR="00F415C5" w:rsidRPr="00F415C5" w:rsidRDefault="00F415C5" w:rsidP="002800FF">
      <w:pPr>
        <w:pStyle w:val="Actions"/>
      </w:pPr>
      <w:r w:rsidRPr="002800FF">
        <w:rPr>
          <w:b/>
          <w:u w:val="single"/>
        </w:rPr>
        <w:t>Action</w:t>
      </w:r>
      <w:r>
        <w:t>:</w:t>
      </w:r>
      <w:r w:rsidR="009D6C86">
        <w:t xml:space="preserve"> Recommendation for the C</w:t>
      </w:r>
      <w:r w:rsidR="002800FF">
        <w:t>R to be finalised at next call.</w:t>
      </w:r>
    </w:p>
    <w:p w:rsidR="00631E1C" w:rsidRDefault="00631E1C" w:rsidP="00F35560">
      <w:pPr>
        <w:pStyle w:val="Heading1"/>
      </w:pPr>
      <w:bookmarkStart w:id="33" w:name="_Toc482870663"/>
      <w:r>
        <w:t>CA349</w:t>
      </w:r>
      <w:r>
        <w:tab/>
        <w:t>Extend Coverage of CERT in MT564 seq. D</w:t>
      </w:r>
      <w:bookmarkEnd w:id="33"/>
    </w:p>
    <w:p w:rsidR="00631E1C" w:rsidRDefault="00654940" w:rsidP="00631E1C">
      <w:r>
        <w:t xml:space="preserve">The tax SG has suggested </w:t>
      </w:r>
      <w:proofErr w:type="gramStart"/>
      <w:r>
        <w:t>to modify</w:t>
      </w:r>
      <w:proofErr w:type="gramEnd"/>
      <w:r>
        <w:t xml:space="preserve"> the CERT deadline definition as follows: (see CR attached):</w:t>
      </w:r>
    </w:p>
    <w:p w:rsidR="00654940" w:rsidRDefault="001C41F0" w:rsidP="00631E1C">
      <w:r>
        <w:object w:dxaOrig="2069" w:dyaOrig="1320">
          <v:shape id="_x0000_i1033" type="#_x0000_t75" style="width:103.5pt;height:66pt" o:ole="">
            <v:imagedata r:id="rId32" o:title=""/>
          </v:shape>
          <o:OLEObject Type="Embed" ProgID="Excel.Sheet.12" ShapeID="_x0000_i1033" DrawAspect="Icon" ObjectID="_1558364464" r:id="rId33"/>
        </w:object>
      </w:r>
    </w:p>
    <w:p w:rsidR="00654940" w:rsidRDefault="00073E98" w:rsidP="00631E1C">
      <w:r w:rsidRPr="00073E98">
        <w:t xml:space="preserve">The goal of the definition change is to enlarge the scope of CERT in addition to the case related to </w:t>
      </w:r>
      <w:r>
        <w:t xml:space="preserve">declaring </w:t>
      </w:r>
      <w:r w:rsidR="008E2024">
        <w:t>‘beneficial ownership’ for instance certification paperwork.</w:t>
      </w:r>
    </w:p>
    <w:p w:rsidR="008E2024" w:rsidRDefault="008E2024" w:rsidP="00631E1C">
      <w:r>
        <w:t xml:space="preserve">Véronique mentions that there is a CETI </w:t>
      </w:r>
      <w:r w:rsidR="008D50A6">
        <w:t xml:space="preserve">(Certification/Breakdown Type) </w:t>
      </w:r>
      <w:r>
        <w:t>indicator in sequence E which can also be used to mention the type of cert</w:t>
      </w:r>
      <w:r w:rsidR="008D50A6">
        <w:t>ification required: CETI//PAPW or DOMI.</w:t>
      </w:r>
    </w:p>
    <w:p w:rsidR="008E2024" w:rsidRDefault="008E2024" w:rsidP="008E2024">
      <w:pPr>
        <w:pStyle w:val="Actions"/>
      </w:pPr>
      <w:r w:rsidRPr="008E2024">
        <w:rPr>
          <w:b/>
          <w:u w:val="single"/>
        </w:rPr>
        <w:t>Actions</w:t>
      </w:r>
      <w:r>
        <w:t>:</w:t>
      </w:r>
    </w:p>
    <w:p w:rsidR="008E2024" w:rsidRPr="008E2024" w:rsidRDefault="008E2024" w:rsidP="008E2024">
      <w:pPr>
        <w:pStyle w:val="Actions"/>
        <w:numPr>
          <w:ilvl w:val="0"/>
          <w:numId w:val="35"/>
        </w:numPr>
        <w:rPr>
          <w:color w:val="auto"/>
        </w:rPr>
      </w:pPr>
      <w:r w:rsidRPr="008E2024">
        <w:rPr>
          <w:u w:val="single"/>
        </w:rPr>
        <w:t>All NMPG</w:t>
      </w:r>
      <w:r>
        <w:t xml:space="preserve"> to provide business cases for which more than “beneficial ownership” </w:t>
      </w:r>
      <w:r w:rsidR="008D50A6">
        <w:t>must be covered so as to enrich the business case of the CR and be sure that the definition must be changed.</w:t>
      </w:r>
    </w:p>
    <w:p w:rsidR="008D50A6" w:rsidRPr="008D50A6" w:rsidRDefault="008D50A6" w:rsidP="00105A23">
      <w:pPr>
        <w:pStyle w:val="Actions"/>
        <w:numPr>
          <w:ilvl w:val="0"/>
          <w:numId w:val="35"/>
        </w:numPr>
      </w:pPr>
      <w:r w:rsidRPr="008D50A6">
        <w:rPr>
          <w:u w:val="single"/>
        </w:rPr>
        <w:t>Jyi-Chen, Jean-Pierre</w:t>
      </w:r>
      <w:r>
        <w:rPr>
          <w:u w:val="single"/>
        </w:rPr>
        <w:t>:</w:t>
      </w:r>
      <w:r w:rsidRPr="008D50A6">
        <w:t xml:space="preserve"> to follow up on the suggestion from Véronique to use CETI Indicator and see if </w:t>
      </w:r>
      <w:r w:rsidR="00E1242A">
        <w:t xml:space="preserve">the </w:t>
      </w:r>
      <w:r w:rsidRPr="008D50A6">
        <w:t>CR business case needs to be completed before submission.</w:t>
      </w:r>
    </w:p>
    <w:p w:rsidR="00F35560" w:rsidRPr="003B5FBD" w:rsidRDefault="00F35560" w:rsidP="00F35560">
      <w:pPr>
        <w:pStyle w:val="Heading1"/>
      </w:pPr>
      <w:bookmarkStart w:id="34" w:name="_Toc482870664"/>
      <w:r w:rsidRPr="003B5FBD">
        <w:t>CA354</w:t>
      </w:r>
      <w:r w:rsidRPr="003B5FBD">
        <w:tab/>
        <w:t>Market usage of "QINS//QALL" on field 36a of MT565</w:t>
      </w:r>
      <w:bookmarkEnd w:id="31"/>
      <w:bookmarkEnd w:id="34"/>
    </w:p>
    <w:p w:rsidR="0090116D" w:rsidRDefault="0090116D" w:rsidP="00F35560">
      <w:r>
        <w:t xml:space="preserve">The </w:t>
      </w:r>
      <w:r w:rsidR="002A2EA8">
        <w:t>results of the feedback from markets are</w:t>
      </w:r>
      <w:r>
        <w:t xml:space="preserve"> as follow:</w:t>
      </w:r>
    </w:p>
    <w:p w:rsidR="0090116D" w:rsidRPr="0090116D" w:rsidRDefault="0090116D" w:rsidP="00F35560">
      <w:r w:rsidRPr="0090116D">
        <w:t>Most of the markets do not use QALL</w:t>
      </w:r>
      <w:r>
        <w:t xml:space="preserve">. However QALL may be used in RU for meeting instructions, in PL to instruct on an unsolicited WTRC (tax related) event and is somewhat used by Euroclear as well. </w:t>
      </w:r>
    </w:p>
    <w:p w:rsidR="0090116D" w:rsidRDefault="0090116D" w:rsidP="0090116D">
      <w:pPr>
        <w:pStyle w:val="Decisions"/>
      </w:pPr>
      <w:r w:rsidRPr="0090116D">
        <w:rPr>
          <w:b/>
          <w:u w:val="single"/>
        </w:rPr>
        <w:t>Decision</w:t>
      </w:r>
      <w:r>
        <w:t xml:space="preserve">: Do not remove QALL but add a new MP in GMP1 to state that usage of QALL is not recommended since it is ambiguous </w:t>
      </w:r>
      <w:r w:rsidR="00BD505E">
        <w:t xml:space="preserve">(since quantity can change after record date) </w:t>
      </w:r>
      <w:r>
        <w:t>and that if used, QALL should then be subject to a bilateral agreement specifying not only usage but also meaning (e.g. settled/settled plus pending balance at record date, settled/settled plus pending balance at response deadline, settled/settled plus pending balance at market deadline).</w:t>
      </w:r>
    </w:p>
    <w:p w:rsidR="00F35560" w:rsidRDefault="00F35560" w:rsidP="00F35560">
      <w:pPr>
        <w:pStyle w:val="Actions"/>
      </w:pPr>
      <w:r w:rsidRPr="00F25F70">
        <w:rPr>
          <w:b/>
          <w:u w:val="single"/>
        </w:rPr>
        <w:t>Actions</w:t>
      </w:r>
      <w:r w:rsidRPr="00D041E6">
        <w:rPr>
          <w:b/>
        </w:rPr>
        <w:t>:</w:t>
      </w:r>
      <w:r>
        <w:rPr>
          <w:b/>
        </w:rPr>
        <w:t xml:space="preserve"> </w:t>
      </w:r>
      <w:r w:rsidR="00925187" w:rsidRPr="001909C4">
        <w:rPr>
          <w:u w:val="single"/>
        </w:rPr>
        <w:t>GMP1 SG</w:t>
      </w:r>
      <w:r w:rsidR="00925187" w:rsidRPr="00925187">
        <w:t xml:space="preserve"> to propose wording for the new MP.</w:t>
      </w:r>
    </w:p>
    <w:p w:rsidR="00F35560" w:rsidRPr="003B5FBD" w:rsidRDefault="00F35560" w:rsidP="00F35560">
      <w:pPr>
        <w:pStyle w:val="Heading1"/>
      </w:pPr>
      <w:bookmarkStart w:id="35" w:name="_Toc479157751"/>
      <w:bookmarkStart w:id="36" w:name="_Toc482870665"/>
      <w:r w:rsidRPr="003B5FBD">
        <w:t>CA358</w:t>
      </w:r>
      <w:r w:rsidRPr="003B5FBD">
        <w:tab/>
        <w:t>Cleaning of Un-used Tax Qualifiers</w:t>
      </w:r>
      <w:bookmarkEnd w:id="35"/>
      <w:bookmarkEnd w:id="36"/>
    </w:p>
    <w:p w:rsidR="00F35560" w:rsidRDefault="0078787F" w:rsidP="00F35560">
      <w:r>
        <w:t xml:space="preserve">The Tax Sub group has been working on identifying usage of Qualifier NRES and Rate Type Codes IMPU/PREC/TIER with a view </w:t>
      </w:r>
      <w:r w:rsidR="002A2EA8">
        <w:t>to request deletion if those codes are</w:t>
      </w:r>
      <w:r>
        <w:t xml:space="preserve"> not used.</w:t>
      </w:r>
    </w:p>
    <w:p w:rsidR="0078787F" w:rsidRDefault="0078787F" w:rsidP="00F35560">
      <w:r w:rsidRPr="0078787F">
        <w:t xml:space="preserve">At the meeting, </w:t>
      </w:r>
      <w:r>
        <w:t>FI, IT, JP, SE, and NO indicated that they were not using those codes.</w:t>
      </w:r>
    </w:p>
    <w:p w:rsidR="0078787F" w:rsidRDefault="0078787F" w:rsidP="00F35560">
      <w:r>
        <w:t>The consolidated feedback is as follows so far:</w:t>
      </w:r>
    </w:p>
    <w:p w:rsidR="00F35560" w:rsidRDefault="00F35560" w:rsidP="00F35560">
      <w:r>
        <w:t xml:space="preserve"> </w:t>
      </w:r>
      <w:r w:rsidR="00345C11">
        <w:object w:dxaOrig="1531" w:dyaOrig="990">
          <v:shape id="_x0000_i1034" type="#_x0000_t75" style="width:76.5pt;height:49.5pt" o:ole="">
            <v:imagedata r:id="rId34" o:title=""/>
          </v:shape>
          <o:OLEObject Type="Embed" ProgID="Excel.Sheet.12" ShapeID="_x0000_i1034" DrawAspect="Icon" ObjectID="_1558364465" r:id="rId35"/>
        </w:object>
      </w:r>
    </w:p>
    <w:p w:rsidR="0078787F" w:rsidRDefault="00F92FDA" w:rsidP="0078787F">
      <w:r>
        <w:t xml:space="preserve">Many markets have different tax rates and/or tax types for resident vs. non-resident investors, but with </w:t>
      </w:r>
      <w:r w:rsidR="00E1242A">
        <w:t xml:space="preserve">the </w:t>
      </w:r>
      <w:r>
        <w:t>D</w:t>
      </w:r>
      <w:r w:rsidR="00E1242A">
        <w:t xml:space="preserve">ouble </w:t>
      </w:r>
      <w:r>
        <w:t>T</w:t>
      </w:r>
      <w:r w:rsidR="00E1242A">
        <w:t xml:space="preserve">axation </w:t>
      </w:r>
      <w:r>
        <w:t>A</w:t>
      </w:r>
      <w:r w:rsidR="00E1242A">
        <w:t>greement</w:t>
      </w:r>
      <w:r>
        <w:t xml:space="preserve"> rates there is rarely one single NRES rate.</w:t>
      </w:r>
    </w:p>
    <w:p w:rsidR="00F92FDA" w:rsidRDefault="00F92FDA" w:rsidP="0078787F">
      <w:r>
        <w:t xml:space="preserve">DK </w:t>
      </w:r>
      <w:r w:rsidR="0078787F">
        <w:t xml:space="preserve">thinks it must be used in a different way.  </w:t>
      </w:r>
    </w:p>
    <w:p w:rsidR="0078787F" w:rsidRDefault="00F92FDA" w:rsidP="0078787F">
      <w:r>
        <w:t xml:space="preserve">ZA </w:t>
      </w:r>
      <w:r w:rsidR="0078787F">
        <w:t>do</w:t>
      </w:r>
      <w:r>
        <w:t>es not</w:t>
      </w:r>
      <w:r w:rsidR="0078787F">
        <w:t xml:space="preserve"> withhold tax for residents, but do for non-residents in processing.</w:t>
      </w:r>
      <w:r>
        <w:t xml:space="preserve"> It was probably c</w:t>
      </w:r>
      <w:r w:rsidR="0078787F">
        <w:t xml:space="preserve">reated to be a simple solution, but </w:t>
      </w:r>
      <w:r>
        <w:t>it finally does not fit well.</w:t>
      </w:r>
    </w:p>
    <w:p w:rsidR="00F92FDA" w:rsidRDefault="00F35560" w:rsidP="00F35560">
      <w:pPr>
        <w:pStyle w:val="Actions"/>
      </w:pPr>
      <w:r w:rsidRPr="00E064ED">
        <w:rPr>
          <w:b/>
          <w:u w:val="single"/>
        </w:rPr>
        <w:t>Action</w:t>
      </w:r>
      <w:r>
        <w:t>:</w:t>
      </w:r>
    </w:p>
    <w:p w:rsidR="00F92FDA" w:rsidRDefault="00F92FDA" w:rsidP="00F92FDA">
      <w:pPr>
        <w:pStyle w:val="Actions"/>
        <w:numPr>
          <w:ilvl w:val="0"/>
          <w:numId w:val="28"/>
        </w:numPr>
      </w:pPr>
      <w:r>
        <w:rPr>
          <w:u w:val="single"/>
        </w:rPr>
        <w:t xml:space="preserve">Remaining </w:t>
      </w:r>
      <w:r w:rsidR="00F35560" w:rsidRPr="00E064ED">
        <w:rPr>
          <w:u w:val="single"/>
        </w:rPr>
        <w:t>NMPGs</w:t>
      </w:r>
      <w:r>
        <w:rPr>
          <w:u w:val="single"/>
        </w:rPr>
        <w:t xml:space="preserve"> (US, NL, CH, AU, )</w:t>
      </w:r>
      <w:r w:rsidR="00F35560">
        <w:t xml:space="preserve"> to provide feedback on</w:t>
      </w:r>
      <w:r>
        <w:t xml:space="preserve"> usage of those qualifier/codes for mid-May.</w:t>
      </w:r>
    </w:p>
    <w:p w:rsidR="00F35560" w:rsidRDefault="00F92FDA" w:rsidP="00F92FDA">
      <w:pPr>
        <w:pStyle w:val="Actions"/>
        <w:numPr>
          <w:ilvl w:val="0"/>
          <w:numId w:val="28"/>
        </w:numPr>
      </w:pPr>
      <w:r w:rsidRPr="00F92FDA">
        <w:rPr>
          <w:u w:val="single"/>
        </w:rPr>
        <w:t>Jean-Pierre</w:t>
      </w:r>
      <w:r>
        <w:t xml:space="preserve"> to create already the change request to be ready before June 1</w:t>
      </w:r>
      <w:r w:rsidRPr="00F92FDA">
        <w:rPr>
          <w:vertAlign w:val="superscript"/>
        </w:rPr>
        <w:t>st</w:t>
      </w:r>
      <w:r>
        <w:t xml:space="preserve"> deadline.</w:t>
      </w:r>
    </w:p>
    <w:p w:rsidR="00C319C4" w:rsidRDefault="00C319C4" w:rsidP="00F92FDA">
      <w:pPr>
        <w:pStyle w:val="Actions"/>
        <w:numPr>
          <w:ilvl w:val="0"/>
          <w:numId w:val="28"/>
        </w:numPr>
      </w:pPr>
      <w:r>
        <w:rPr>
          <w:u w:val="single"/>
        </w:rPr>
        <w:lastRenderedPageBreak/>
        <w:t>Tax subgroup:</w:t>
      </w:r>
      <w:r w:rsidRPr="00C319C4">
        <w:t xml:space="preserve"> to make further investigation on IMPU usage with the Australian market.</w:t>
      </w:r>
    </w:p>
    <w:p w:rsidR="00105A23" w:rsidRDefault="00105A23" w:rsidP="00F35560">
      <w:pPr>
        <w:pStyle w:val="Heading1"/>
      </w:pPr>
      <w:bookmarkStart w:id="37" w:name="_Toc482870666"/>
      <w:bookmarkStart w:id="38" w:name="_Toc479157752"/>
      <w:r>
        <w:t>CA359</w:t>
      </w:r>
      <w:r>
        <w:tab/>
        <w:t>Tax Reclaim Processing</w:t>
      </w:r>
      <w:bookmarkEnd w:id="37"/>
    </w:p>
    <w:p w:rsidR="00105A23" w:rsidRDefault="00105A23" w:rsidP="00105A23">
      <w:r>
        <w:t xml:space="preserve">Two questions </w:t>
      </w:r>
      <w:r w:rsidR="00887D8B">
        <w:t>asked by UK NMPG</w:t>
      </w:r>
      <w:r>
        <w:t>:</w:t>
      </w:r>
    </w:p>
    <w:p w:rsidR="00105A23" w:rsidRPr="00887D8B" w:rsidRDefault="00105A23" w:rsidP="00105A23">
      <w:pPr>
        <w:rPr>
          <w:u w:val="single"/>
        </w:rPr>
      </w:pPr>
      <w:r w:rsidRPr="00887D8B">
        <w:rPr>
          <w:u w:val="single"/>
        </w:rPr>
        <w:t>Q1. Should it be a TREC event or is it something linked to the original DVCA event?</w:t>
      </w:r>
    </w:p>
    <w:p w:rsidR="00105A23" w:rsidRDefault="00887D8B" w:rsidP="00105A23">
      <w:r>
        <w:t>The WG agreed that tax reclaim event should be a TREC and that it can link back to original DVCA event. If it refers to an old dividend and the link is not possible, then it does not need to be shown.</w:t>
      </w:r>
    </w:p>
    <w:p w:rsidR="00105A23" w:rsidRPr="00887D8B" w:rsidRDefault="00105A23" w:rsidP="00105A23">
      <w:pPr>
        <w:rPr>
          <w:u w:val="single"/>
        </w:rPr>
      </w:pPr>
      <w:r>
        <w:br/>
      </w:r>
      <w:r w:rsidRPr="00887D8B">
        <w:rPr>
          <w:u w:val="single"/>
        </w:rPr>
        <w:t>2. In case of a separate event, should it be the same CORP reference as the original DVCA?</w:t>
      </w:r>
    </w:p>
    <w:p w:rsidR="00105A23" w:rsidRDefault="00887D8B" w:rsidP="00105A23">
      <w:r>
        <w:t xml:space="preserve">The WG agreed that the CORP should not be the same as the original DVCA. A new CORP is required. The </w:t>
      </w:r>
      <w:r w:rsidR="00105A23">
        <w:t xml:space="preserve">TREC </w:t>
      </w:r>
      <w:r>
        <w:t xml:space="preserve">event is however very </w:t>
      </w:r>
      <w:r w:rsidR="00105A23">
        <w:t>likely to be processed by a specialised team</w:t>
      </w:r>
      <w:r>
        <w:t xml:space="preserve"> in the bank</w:t>
      </w:r>
      <w:r w:rsidR="00105A23">
        <w:t>.</w:t>
      </w:r>
    </w:p>
    <w:p w:rsidR="00887D8B" w:rsidRDefault="00887D8B" w:rsidP="00887D8B"/>
    <w:p w:rsidR="00105A23" w:rsidRDefault="00887D8B" w:rsidP="00887D8B">
      <w:r>
        <w:t>Note that Tax Reclaim is usually based on</w:t>
      </w:r>
      <w:r w:rsidR="00105A23" w:rsidRPr="00887D8B">
        <w:t xml:space="preserve"> client subscription</w:t>
      </w:r>
      <w:r>
        <w:t xml:space="preserve"> (SLA), </w:t>
      </w:r>
      <w:r w:rsidR="00105A23" w:rsidRPr="00887D8B">
        <w:t xml:space="preserve">so all clients are not concerned by the process. </w:t>
      </w:r>
      <w:r>
        <w:t xml:space="preserve">In that case, it is </w:t>
      </w:r>
      <w:r w:rsidR="00105A23" w:rsidRPr="00887D8B">
        <w:t>different from the other Corpor</w:t>
      </w:r>
      <w:r>
        <w:t>ate Actions</w:t>
      </w:r>
      <w:r w:rsidR="00105A23" w:rsidRPr="00887D8B">
        <w:t>. Consequently, it is difficult to have a Market Practice on that because it is not</w:t>
      </w:r>
      <w:r>
        <w:t xml:space="preserve"> an event announced to every account owners.</w:t>
      </w:r>
    </w:p>
    <w:p w:rsidR="00105A23" w:rsidRDefault="00105A23" w:rsidP="00887D8B">
      <w:r w:rsidRPr="00887D8B">
        <w:t>MT568 may also</w:t>
      </w:r>
      <w:r w:rsidR="00887D8B">
        <w:t xml:space="preserve"> be</w:t>
      </w:r>
      <w:r w:rsidRPr="00887D8B">
        <w:t xml:space="preserve"> used</w:t>
      </w:r>
      <w:r w:rsidR="00887D8B">
        <w:t>.</w:t>
      </w:r>
    </w:p>
    <w:p w:rsidR="00887D8B" w:rsidRDefault="00887D8B" w:rsidP="00887D8B">
      <w:pPr>
        <w:pStyle w:val="Actions"/>
      </w:pPr>
      <w:r w:rsidRPr="00887D8B">
        <w:rPr>
          <w:b/>
          <w:u w:val="single"/>
        </w:rPr>
        <w:t>Action</w:t>
      </w:r>
      <w:r>
        <w:t>: Can be closed.</w:t>
      </w:r>
    </w:p>
    <w:p w:rsidR="004C7C7F" w:rsidRPr="003B5FBD" w:rsidRDefault="004C7C7F" w:rsidP="00F35560">
      <w:pPr>
        <w:pStyle w:val="Heading1"/>
      </w:pPr>
      <w:bookmarkStart w:id="39" w:name="_Toc482870667"/>
      <w:r w:rsidRPr="003B5FBD">
        <w:t>CA360 Taxation on Security Distributions</w:t>
      </w:r>
      <w:bookmarkEnd w:id="39"/>
    </w:p>
    <w:bookmarkStart w:id="40" w:name="_MON_1556101706"/>
    <w:bookmarkEnd w:id="40"/>
    <w:p w:rsidR="00834EE0" w:rsidRDefault="00834EE0" w:rsidP="004F0171">
      <w:r>
        <w:object w:dxaOrig="1531" w:dyaOrig="990">
          <v:shape id="_x0000_i1035" type="#_x0000_t75" style="width:76.5pt;height:49.5pt" o:ole="">
            <v:imagedata r:id="rId36" o:title=""/>
          </v:shape>
          <o:OLEObject Type="Embed" ProgID="Word.Document.12" ShapeID="_x0000_i1035" DrawAspect="Icon" ObjectID="_1558364466" r:id="rId37">
            <o:FieldCodes>\s</o:FieldCodes>
          </o:OLEObject>
        </w:object>
      </w:r>
    </w:p>
    <w:p w:rsidR="004F0171" w:rsidRDefault="004F0171" w:rsidP="004F0171">
      <w:r>
        <w:t xml:space="preserve">Sanjeev explains the case (see </w:t>
      </w:r>
      <w:r w:rsidR="000C173C">
        <w:t xml:space="preserve">also </w:t>
      </w:r>
      <w:r>
        <w:t>input document):</w:t>
      </w:r>
      <w:r w:rsidRPr="004F0171">
        <w:t xml:space="preserve"> </w:t>
      </w:r>
      <w:r w:rsidR="00834EE0">
        <w:t>Withholding tax normally applies</w:t>
      </w:r>
      <w:r>
        <w:t xml:space="preserve"> on cash distributions</w:t>
      </w:r>
      <w:r w:rsidR="000C173C">
        <w:t xml:space="preserve"> only</w:t>
      </w:r>
      <w:r>
        <w:t>.  In some cases</w:t>
      </w:r>
      <w:r w:rsidR="000C173C">
        <w:t xml:space="preserve"> in ZA</w:t>
      </w:r>
      <w:r>
        <w:t xml:space="preserve"> (e.g. DVOP) it can be applied to securities.  Therefore the fact that tax qualifiers </w:t>
      </w:r>
      <w:r w:rsidR="00B06527">
        <w:t xml:space="preserve">and amounts </w:t>
      </w:r>
      <w:r>
        <w:t>ar</w:t>
      </w:r>
      <w:r w:rsidR="00264A55">
        <w:t>e not available in the SECMOVE s</w:t>
      </w:r>
      <w:r>
        <w:t xml:space="preserve">equence </w:t>
      </w:r>
      <w:r w:rsidR="00264A55">
        <w:t>is a problem</w:t>
      </w:r>
      <w:r>
        <w:t xml:space="preserve">.  </w:t>
      </w:r>
    </w:p>
    <w:p w:rsidR="000C173C" w:rsidRDefault="000C173C" w:rsidP="004F0171">
      <w:r>
        <w:t xml:space="preserve">Does that exist in other markets and what is the solution </w:t>
      </w:r>
      <w:r w:rsidR="002A2EA8">
        <w:t>applied?</w:t>
      </w:r>
    </w:p>
    <w:p w:rsidR="00264A55" w:rsidRDefault="00DD68DB" w:rsidP="00264A55">
      <w:r w:rsidRPr="004F0171">
        <w:t xml:space="preserve">The WG supported the proposal made by Delphine </w:t>
      </w:r>
      <w:r w:rsidR="000C173C">
        <w:t xml:space="preserve">at the December </w:t>
      </w:r>
      <w:r w:rsidRPr="004F0171">
        <w:t xml:space="preserve">conference call to </w:t>
      </w:r>
      <w:r w:rsidR="00264A55">
        <w:t xml:space="preserve">rather </w:t>
      </w:r>
      <w:r w:rsidRPr="004F0171">
        <w:t>open a cash movement sequence</w:t>
      </w:r>
      <w:r w:rsidR="00264A55">
        <w:t xml:space="preserve"> in order to use the rates and amounts over there</w:t>
      </w:r>
      <w:r w:rsidRPr="004F0171">
        <w:t xml:space="preserve">. No cash amounts should be </w:t>
      </w:r>
      <w:r w:rsidR="00264A55">
        <w:t xml:space="preserve">ever </w:t>
      </w:r>
      <w:r w:rsidRPr="004F0171">
        <w:t>placed in a securities movement sequence</w:t>
      </w:r>
      <w:r w:rsidR="00264A55">
        <w:t xml:space="preserve"> or securities quantity in the cash movement sequence.</w:t>
      </w:r>
    </w:p>
    <w:p w:rsidR="003B5FBD" w:rsidRPr="004F0171" w:rsidRDefault="00DD68DB" w:rsidP="00264A55">
      <w:pPr>
        <w:pStyle w:val="Actions"/>
      </w:pPr>
      <w:r w:rsidRPr="000C173C">
        <w:rPr>
          <w:b/>
          <w:u w:val="single"/>
        </w:rPr>
        <w:t>Action</w:t>
      </w:r>
      <w:r w:rsidRPr="004F0171">
        <w:t xml:space="preserve">: </w:t>
      </w:r>
      <w:r w:rsidRPr="00264A55">
        <w:rPr>
          <w:u w:val="single"/>
        </w:rPr>
        <w:t>Sanjeev</w:t>
      </w:r>
      <w:r w:rsidRPr="004F0171">
        <w:t xml:space="preserve"> to </w:t>
      </w:r>
      <w:r w:rsidR="00A70BB3">
        <w:t xml:space="preserve">take the </w:t>
      </w:r>
      <w:r w:rsidR="00264A55">
        <w:t xml:space="preserve">proposed solution </w:t>
      </w:r>
      <w:r w:rsidR="00A70BB3">
        <w:t xml:space="preserve">back to the </w:t>
      </w:r>
      <w:r w:rsidRPr="004F0171">
        <w:t>ZA NMPG</w:t>
      </w:r>
      <w:r w:rsidR="00264A55">
        <w:t xml:space="preserve"> </w:t>
      </w:r>
      <w:r w:rsidR="00A70BB3">
        <w:t>and see if it can be agreed.</w:t>
      </w:r>
    </w:p>
    <w:p w:rsidR="00F35560" w:rsidRPr="00C54B12" w:rsidRDefault="00F35560" w:rsidP="00C54B12">
      <w:pPr>
        <w:pStyle w:val="Heading1"/>
      </w:pPr>
      <w:bookmarkStart w:id="41" w:name="_Toc482870668"/>
      <w:r w:rsidRPr="00C54B12">
        <w:t>CA361</w:t>
      </w:r>
      <w:r w:rsidRPr="00C54B12">
        <w:tab/>
        <w:t>How to handle fractional holdings resulting from Partial Redemptions in ZA?</w:t>
      </w:r>
      <w:bookmarkEnd w:id="38"/>
      <w:bookmarkEnd w:id="41"/>
    </w:p>
    <w:p w:rsidR="00F35560" w:rsidRPr="006B0880" w:rsidRDefault="00F35560" w:rsidP="00F35560">
      <w:pPr>
        <w:rPr>
          <w:lang w:val="en-ZA"/>
        </w:rPr>
      </w:pPr>
      <w:r w:rsidRPr="006B0880">
        <w:rPr>
          <w:lang w:val="en-ZA"/>
        </w:rPr>
        <w:t xml:space="preserve">The ZA market is in the process revamping debt instrument clearing &amp; settlement and corporate action processing by way of a Debt Instrument Solution Project (DIS). During analysis it was identified that through partial redemptions fractional holdings, e.g. 1,433,587.25, have crept into the system. </w:t>
      </w:r>
    </w:p>
    <w:p w:rsidR="00F35560" w:rsidRPr="006B0880" w:rsidRDefault="00F35560" w:rsidP="00F35560">
      <w:pPr>
        <w:rPr>
          <w:lang w:val="en-ZA"/>
        </w:rPr>
      </w:pPr>
      <w:r w:rsidRPr="006B0880">
        <w:rPr>
          <w:lang w:val="en-ZA"/>
        </w:rPr>
        <w:t xml:space="preserve">Whilst the Issuer may be redeeming a whole number of debt instruments in issue, when the partial redemption terms are applied at beneficial owner level it results in fractions. It is the intention of the </w:t>
      </w:r>
      <w:r w:rsidR="00834EE0">
        <w:rPr>
          <w:lang w:val="en-ZA"/>
        </w:rPr>
        <w:t xml:space="preserve">ZA </w:t>
      </w:r>
      <w:r w:rsidRPr="006B0880">
        <w:rPr>
          <w:lang w:val="en-ZA"/>
        </w:rPr>
        <w:t xml:space="preserve">market to eliminate such fractions going forward and is thus enquiring how other markets are contending with this issue. </w:t>
      </w:r>
    </w:p>
    <w:p w:rsidR="00F35560" w:rsidRPr="006B0880" w:rsidRDefault="00834EE0" w:rsidP="00F35560">
      <w:pPr>
        <w:rPr>
          <w:lang w:val="en-ZA"/>
        </w:rPr>
      </w:pPr>
      <w:r>
        <w:rPr>
          <w:lang w:val="en-ZA"/>
        </w:rPr>
        <w:t xml:space="preserve">ZA would like </w:t>
      </w:r>
      <w:r w:rsidR="00F35560" w:rsidRPr="006B0880">
        <w:rPr>
          <w:lang w:val="en-ZA"/>
        </w:rPr>
        <w:t xml:space="preserve">to know whether a rounding principle is being applied to eliminate such fractions, e.g. standard rounding. The market would like to align itself to global practice. </w:t>
      </w:r>
    </w:p>
    <w:p w:rsidR="00F35560" w:rsidRPr="006B0880" w:rsidRDefault="00F35560" w:rsidP="00F35560">
      <w:pPr>
        <w:rPr>
          <w:u w:val="single"/>
          <w:lang w:val="en-ZA"/>
        </w:rPr>
      </w:pPr>
      <w:r w:rsidRPr="006B0880">
        <w:rPr>
          <w:u w:val="single"/>
          <w:lang w:val="en-ZA"/>
        </w:rPr>
        <w:t xml:space="preserve">Feedback received from </w:t>
      </w:r>
      <w:r w:rsidR="009813B2">
        <w:rPr>
          <w:u w:val="single"/>
          <w:lang w:val="en-ZA"/>
        </w:rPr>
        <w:t xml:space="preserve">DE/PL and RU </w:t>
      </w:r>
      <w:r w:rsidRPr="006B0880">
        <w:rPr>
          <w:u w:val="single"/>
          <w:lang w:val="en-ZA"/>
        </w:rPr>
        <w:t>via email:</w:t>
      </w:r>
    </w:p>
    <w:bookmarkStart w:id="42" w:name="_MON_1556373792"/>
    <w:bookmarkEnd w:id="42"/>
    <w:p w:rsidR="00F35560" w:rsidRDefault="009813B2" w:rsidP="00F35560">
      <w:r>
        <w:object w:dxaOrig="1531" w:dyaOrig="990">
          <v:shape id="_x0000_i1036" type="#_x0000_t75" style="width:76.5pt;height:49.5pt" o:ole="">
            <v:imagedata r:id="rId38" o:title=""/>
          </v:shape>
          <o:OLEObject Type="Embed" ProgID="Word.Document.12" ShapeID="_x0000_i1036" DrawAspect="Icon" ObjectID="_1558364467" r:id="rId39">
            <o:FieldCodes>\s</o:FieldCodes>
          </o:OLEObject>
        </w:object>
      </w:r>
    </w:p>
    <w:p w:rsidR="009813B2" w:rsidRDefault="009813B2" w:rsidP="009813B2">
      <w:r>
        <w:t>There is no existing global market practice for this issue. However, ISMAG recommends the usage of pool factors to avoid this problem as there are no movements and therefore no fractions.</w:t>
      </w:r>
    </w:p>
    <w:p w:rsidR="009813B2" w:rsidRDefault="009813B2" w:rsidP="009813B2">
      <w:r>
        <w:t>If pool factors are not used, the best way to avoid fractions is to simply not have any.</w:t>
      </w:r>
    </w:p>
    <w:p w:rsidR="009813B2" w:rsidRDefault="009813B2" w:rsidP="009813B2">
      <w:pPr>
        <w:pStyle w:val="Actions"/>
      </w:pPr>
      <w:r w:rsidRPr="009813B2">
        <w:rPr>
          <w:b/>
          <w:u w:val="single"/>
        </w:rPr>
        <w:t>Action</w:t>
      </w:r>
      <w:r>
        <w:t xml:space="preserve">: </w:t>
      </w:r>
      <w:r w:rsidRPr="00DF133B">
        <w:rPr>
          <w:u w:val="single"/>
        </w:rPr>
        <w:t>Randi-Marie</w:t>
      </w:r>
      <w:r>
        <w:t xml:space="preserve"> to email Sanjeev a description of VP’s rounding down examples and Item </w:t>
      </w:r>
      <w:r w:rsidR="002A2EA8">
        <w:t>can</w:t>
      </w:r>
      <w:r>
        <w:t xml:space="preserve"> be closed. </w:t>
      </w:r>
    </w:p>
    <w:p w:rsidR="00F35560" w:rsidRDefault="00F35560" w:rsidP="00F35560">
      <w:pPr>
        <w:pStyle w:val="Heading1"/>
      </w:pPr>
      <w:bookmarkStart w:id="43" w:name="_Toc479157753"/>
      <w:bookmarkStart w:id="44" w:name="_Toc482870669"/>
      <w:r>
        <w:t>CA362</w:t>
      </w:r>
      <w:r>
        <w:tab/>
        <w:t>How can we handle CAPA (seev.035) at the beneficiary owner level?</w:t>
      </w:r>
      <w:bookmarkEnd w:id="43"/>
      <w:bookmarkEnd w:id="44"/>
    </w:p>
    <w:p w:rsidR="00F35560" w:rsidRDefault="00F35560" w:rsidP="00F35560">
      <w:r>
        <w:t>Michal (PL) has provided an input document to illustrate the business case for the question with seev.035 (CAPA) examples. At the end of the call, Michal has completed the input with additional illustration of the related seev.036 (CACO) message as follows:</w:t>
      </w:r>
    </w:p>
    <w:p w:rsidR="00F35560" w:rsidRDefault="00D45915" w:rsidP="00F35560">
      <w:r>
        <w:rPr>
          <w:noProof/>
        </w:rPr>
        <w:pict>
          <v:shape id="_x0000_s1030" type="#_x0000_t75" style="position:absolute;margin-left:0;margin-top:4.9pt;width:76.5pt;height:49.5pt;z-index:251658240;mso-position-horizontal-relative:text;mso-position-vertical-relative:text">
            <v:imagedata r:id="rId40" o:title=""/>
            <w10:wrap type="square" side="right"/>
          </v:shape>
          <o:OLEObject Type="Embed" ProgID="Word.Document.12" ShapeID="_x0000_s1030" DrawAspect="Icon" ObjectID="_1558364475" r:id="rId41">
            <o:FieldCodes>\s</o:FieldCodes>
          </o:OLEObject>
        </w:pict>
      </w:r>
    </w:p>
    <w:p w:rsidR="00F35560" w:rsidRDefault="00F35560" w:rsidP="00F35560">
      <w:r>
        <w:br w:type="textWrapping" w:clear="all"/>
        <w:t>The question is to know whether the proposed way the CAPA and CACO messages are structured with one cash movement per BO can be considered as valid as opposed for instance to send one CAPA message per BO.</w:t>
      </w:r>
    </w:p>
    <w:p w:rsidR="00F35560" w:rsidRPr="007756A2" w:rsidRDefault="00F35560" w:rsidP="00F35560">
      <w:pPr>
        <w:pStyle w:val="Actions"/>
      </w:pPr>
      <w:r w:rsidRPr="007756A2">
        <w:rPr>
          <w:b/>
          <w:u w:val="single"/>
        </w:rPr>
        <w:t>Action</w:t>
      </w:r>
      <w:r w:rsidRPr="007756A2">
        <w:t>:</w:t>
      </w:r>
      <w:r w:rsidR="004E09D0">
        <w:t xml:space="preserve"> </w:t>
      </w:r>
      <w:r w:rsidR="004E09D0" w:rsidRPr="004E09D0">
        <w:rPr>
          <w:u w:val="single"/>
        </w:rPr>
        <w:t>Jacques</w:t>
      </w:r>
      <w:r w:rsidR="004E09D0">
        <w:t xml:space="preserve"> to ask Micha</w:t>
      </w:r>
      <w:r w:rsidR="008959EF">
        <w:t>l whether he still need feedback on the proposed solutions</w:t>
      </w:r>
      <w:r w:rsidR="004E09D0">
        <w:t>.</w:t>
      </w:r>
    </w:p>
    <w:p w:rsidR="00F35560" w:rsidRDefault="008959EF" w:rsidP="00F35560">
      <w:pPr>
        <w:pStyle w:val="Heading1"/>
      </w:pPr>
      <w:bookmarkStart w:id="45" w:name="_Toc479157754"/>
      <w:bookmarkStart w:id="46" w:name="_Toc482870670"/>
      <w:r>
        <w:t>CA363</w:t>
      </w:r>
      <w:r>
        <w:tab/>
        <w:t>Interest R</w:t>
      </w:r>
      <w:r w:rsidR="00F35560">
        <w:t xml:space="preserve">ate </w:t>
      </w:r>
      <w:r>
        <w:t>Coupon P</w:t>
      </w:r>
      <w:r w:rsidR="00F35560">
        <w:t>eriod</w:t>
      </w:r>
      <w:bookmarkEnd w:id="45"/>
      <w:bookmarkEnd w:id="46"/>
    </w:p>
    <w:p w:rsidR="00F35560" w:rsidRDefault="00F35560" w:rsidP="00F35560">
      <w:r>
        <w:t>Laura has provided the following input with 2 questions and examples for this item:</w:t>
      </w:r>
    </w:p>
    <w:bookmarkStart w:id="47" w:name="_MON_1556365743"/>
    <w:bookmarkEnd w:id="47"/>
    <w:p w:rsidR="00F35560" w:rsidRDefault="00FA0FF2" w:rsidP="00F35560">
      <w:r>
        <w:object w:dxaOrig="1531" w:dyaOrig="990">
          <v:shape id="_x0000_i1038" type="#_x0000_t75" style="width:76.5pt;height:49.5pt" o:ole="">
            <v:imagedata r:id="rId42" o:title=""/>
          </v:shape>
          <o:OLEObject Type="Embed" ProgID="Word.Document.8" ShapeID="_x0000_i1038" DrawAspect="Icon" ObjectID="_1558364468" r:id="rId43">
            <o:FieldCodes>\s</o:FieldCodes>
          </o:OLEObject>
        </w:object>
      </w:r>
    </w:p>
    <w:p w:rsidR="00F35560" w:rsidRPr="00121CDA" w:rsidRDefault="00F35560" w:rsidP="00F35560">
      <w:pPr>
        <w:spacing w:after="0"/>
        <w:ind w:left="567"/>
        <w:rPr>
          <w:i/>
          <w:noProof/>
        </w:rPr>
      </w:pPr>
      <w:r w:rsidRPr="00121CDA">
        <w:rPr>
          <w:i/>
          <w:noProof/>
        </w:rPr>
        <w:t>Q1. How should the currency rate be output in an ISO 15022 message for Interest rates for a coupon period announced as a currency rate, with or without the percentage rate or with a rate per denomination of the bond?</w:t>
      </w:r>
    </w:p>
    <w:p w:rsidR="00F35560" w:rsidRPr="00121CDA" w:rsidRDefault="00F35560" w:rsidP="00F35560">
      <w:pPr>
        <w:spacing w:after="0"/>
        <w:ind w:left="567"/>
        <w:rPr>
          <w:i/>
          <w:noProof/>
        </w:rPr>
      </w:pPr>
      <w:r w:rsidRPr="00121CDA">
        <w:rPr>
          <w:i/>
          <w:noProof/>
        </w:rPr>
        <w:t>INTP seems to be the correct Qualifier to use with Format Options ‘F’ or ‘J’  to show the currency rate, but there are no Rate Type Codes that could be used to further explain the currency rate.  The rate may be franked or gross or net for example.</w:t>
      </w:r>
    </w:p>
    <w:p w:rsidR="00F35560" w:rsidRPr="00121CDA" w:rsidRDefault="00F35560" w:rsidP="00F35560">
      <w:pPr>
        <w:spacing w:after="0"/>
        <w:ind w:left="567"/>
        <w:rPr>
          <w:i/>
          <w:noProof/>
        </w:rPr>
      </w:pPr>
      <w:r w:rsidRPr="00121CDA">
        <w:rPr>
          <w:i/>
          <w:noProof/>
        </w:rPr>
        <w:t>One of the Data Providers reviewed the output of the interest currency rate with a selection of clients and could not get agreement.  Repetition of INTP was not favoured without a code to describe the rate further.</w:t>
      </w:r>
    </w:p>
    <w:p w:rsidR="00F35560" w:rsidRPr="00121CDA" w:rsidRDefault="00F35560" w:rsidP="00F35560">
      <w:pPr>
        <w:spacing w:after="0"/>
        <w:ind w:left="567"/>
        <w:rPr>
          <w:i/>
          <w:noProof/>
        </w:rPr>
      </w:pPr>
      <w:r w:rsidRPr="00121CDA">
        <w:rPr>
          <w:i/>
          <w:noProof/>
        </w:rPr>
        <w:t>Q2. The second question relates to the presentation of the interest currency rate when it is announced as an amount per bond denomination.  How should the ‘per denomination’ part be shown in ISO 15022.  Should the amount be divided by the denomination to show an amount per ‘1’.</w:t>
      </w:r>
    </w:p>
    <w:p w:rsidR="00F35560" w:rsidRPr="00121CDA" w:rsidRDefault="00F35560" w:rsidP="00F35560">
      <w:pPr>
        <w:ind w:left="567"/>
        <w:rPr>
          <w:i/>
        </w:rPr>
      </w:pPr>
      <w:r w:rsidRPr="00121CDA">
        <w:rPr>
          <w:i/>
          <w:noProof/>
        </w:rPr>
        <w:t>What if two rates are announced for two different denominations of the same bond?  Should both be output using INTP?</w:t>
      </w:r>
    </w:p>
    <w:p w:rsidR="00FA0FF2" w:rsidRDefault="00FA0FF2" w:rsidP="00FA0FF2">
      <w:r>
        <w:t>INTP</w:t>
      </w:r>
      <w:r w:rsidR="002C4772">
        <w:t xml:space="preserve"> </w:t>
      </w:r>
      <w:r>
        <w:t xml:space="preserve">is </w:t>
      </w:r>
      <w:r w:rsidR="002C4772">
        <w:t xml:space="preserve">a </w:t>
      </w:r>
      <w:r>
        <w:t>repetitive field</w:t>
      </w:r>
      <w:r w:rsidR="002C4772">
        <w:t xml:space="preserve"> in the </w:t>
      </w:r>
      <w:r w:rsidR="002A2EA8">
        <w:t>standards;</w:t>
      </w:r>
      <w:r w:rsidR="002C4772">
        <w:t xml:space="preserve"> however most agree that INTP should not be repetitive except when used in option J with the Rate Type Code “Scheduled” &amp; “Unscheduled”.</w:t>
      </w:r>
      <w:r w:rsidR="00ED43CD">
        <w:t xml:space="preserve"> An NVR similar to C7, C8 was probably forgotten when the Option J was introduced.</w:t>
      </w:r>
    </w:p>
    <w:p w:rsidR="00ED43CD" w:rsidRDefault="00FA0FF2" w:rsidP="00FA0FF2">
      <w:r>
        <w:lastRenderedPageBreak/>
        <w:t>Some issuers announce cash rates. Clients want to see cash rates to validate against their systems (ICE).</w:t>
      </w:r>
      <w:r w:rsidR="002C4772">
        <w:t xml:space="preserve"> </w:t>
      </w:r>
      <w:r w:rsidR="00ED43CD">
        <w:t xml:space="preserve"> </w:t>
      </w:r>
      <w:r w:rsidRPr="00ED43CD">
        <w:t>There is a need</w:t>
      </w:r>
      <w:r w:rsidR="00ED43CD" w:rsidRPr="00ED43CD">
        <w:t xml:space="preserve"> also</w:t>
      </w:r>
      <w:r w:rsidRPr="00ED43CD">
        <w:t xml:space="preserve"> to report the amount in addition to the rate (e.g. Asset Managers are more and more focused on bonds data)</w:t>
      </w:r>
      <w:r w:rsidR="00ED43CD" w:rsidRPr="00ED43CD">
        <w:t>.</w:t>
      </w:r>
      <w:r w:rsidR="00ED43CD">
        <w:t xml:space="preserve"> </w:t>
      </w:r>
    </w:p>
    <w:p w:rsidR="00FA0FF2" w:rsidRDefault="00FA0FF2" w:rsidP="00FA0FF2">
      <w:r>
        <w:t>MINO in Subsequence B1 is the correct field to use for denomination of the payment.</w:t>
      </w:r>
      <w:r w:rsidR="00ED43CD">
        <w:t xml:space="preserve"> The existing </w:t>
      </w:r>
      <w:r>
        <w:t>MP</w:t>
      </w:r>
      <w:r w:rsidR="00ED43CD">
        <w:t xml:space="preserve"> 3.12.3 </w:t>
      </w:r>
      <w:r>
        <w:t xml:space="preserve">is to use 92A, not an amount.  OPTN </w:t>
      </w:r>
      <w:r w:rsidR="00ED43CD">
        <w:t>is to be used t</w:t>
      </w:r>
      <w:r>
        <w:t xml:space="preserve">o show the currency. 92F can be used if necessary, but is not specifically recommended in </w:t>
      </w:r>
      <w:r w:rsidR="00ED43CD">
        <w:t xml:space="preserve">the </w:t>
      </w:r>
      <w:r>
        <w:t>Market Practice.</w:t>
      </w:r>
    </w:p>
    <w:p w:rsidR="00FA0FF2" w:rsidRDefault="00E633F7" w:rsidP="00FA0FF2">
      <w:r>
        <w:t>However t</w:t>
      </w:r>
      <w:r w:rsidR="00FA0FF2">
        <w:t>here’s nothing to prevent the Data Provider from repeating INTP if that is necessary.</w:t>
      </w:r>
    </w:p>
    <w:p w:rsidR="00F35560" w:rsidRPr="000A387E" w:rsidRDefault="00F35560" w:rsidP="00F35560">
      <w:pPr>
        <w:pStyle w:val="Actions"/>
        <w:rPr>
          <w:u w:val="single"/>
        </w:rPr>
      </w:pPr>
      <w:r w:rsidRPr="000A387E">
        <w:rPr>
          <w:b/>
          <w:u w:val="single"/>
        </w:rPr>
        <w:t>Action</w:t>
      </w:r>
      <w:r>
        <w:rPr>
          <w:b/>
          <w:u w:val="single"/>
        </w:rPr>
        <w:t>s</w:t>
      </w:r>
      <w:r w:rsidRPr="000A387E">
        <w:rPr>
          <w:u w:val="single"/>
        </w:rPr>
        <w:t xml:space="preserve">: </w:t>
      </w:r>
      <w:r w:rsidR="00E633F7" w:rsidRPr="00E633F7">
        <w:t>N</w:t>
      </w:r>
      <w:r w:rsidR="00E633F7">
        <w:t>o</w:t>
      </w:r>
      <w:r w:rsidR="00E633F7" w:rsidRPr="00E633F7">
        <w:t xml:space="preserve"> action, no change of market practice</w:t>
      </w:r>
      <w:r w:rsidR="00E633F7">
        <w:t>. The item can be closed.</w:t>
      </w:r>
      <w:r w:rsidR="00E633F7" w:rsidRPr="00E633F7">
        <w:t xml:space="preserve"> </w:t>
      </w:r>
    </w:p>
    <w:p w:rsidR="00F35560" w:rsidRDefault="00F35560" w:rsidP="00F35560">
      <w:pPr>
        <w:pStyle w:val="Heading1"/>
      </w:pPr>
      <w:bookmarkStart w:id="48" w:name="_Toc479157755"/>
      <w:bookmarkStart w:id="49" w:name="_Toc482870671"/>
      <w:r>
        <w:t>CA364</w:t>
      </w:r>
      <w:r>
        <w:tab/>
        <w:t>Usage Rule for DEVI</w:t>
      </w:r>
      <w:bookmarkEnd w:id="48"/>
      <w:r w:rsidR="002800FF">
        <w:t xml:space="preserve"> Rate</w:t>
      </w:r>
      <w:bookmarkEnd w:id="49"/>
    </w:p>
    <w:p w:rsidR="0038642F" w:rsidRDefault="0038642F" w:rsidP="0038642F">
      <w:r>
        <w:t xml:space="preserve">The UK&amp;IE Group has had a request to raise a CR to allow DEVI within Sequence D to be used even if there is a choice of currencies so as to allow </w:t>
      </w:r>
      <w:r w:rsidR="00AA2EB0">
        <w:t>to</w:t>
      </w:r>
      <w:r>
        <w:t xml:space="preserve"> use DEVI to show the declared rate, even if the dividend is paid out in that currency.</w:t>
      </w:r>
    </w:p>
    <w:p w:rsidR="00F35560" w:rsidRPr="002800FF" w:rsidRDefault="002800FF" w:rsidP="00F35560">
      <w:pPr>
        <w:rPr>
          <w:u w:val="single"/>
        </w:rPr>
      </w:pPr>
      <w:r w:rsidRPr="002800FF">
        <w:rPr>
          <w:u w:val="single"/>
        </w:rPr>
        <w:t>Proposed CR Input from UK</w:t>
      </w:r>
      <w:r w:rsidR="00F35560" w:rsidRPr="002800FF">
        <w:rPr>
          <w:u w:val="single"/>
        </w:rPr>
        <w:t>:</w:t>
      </w:r>
    </w:p>
    <w:p w:rsidR="002800FF" w:rsidRPr="000A387E" w:rsidRDefault="002800FF" w:rsidP="00F35560">
      <w:pPr>
        <w:rPr>
          <w:b/>
          <w:u w:val="single"/>
        </w:rPr>
      </w:pPr>
      <w:r>
        <w:rPr>
          <w:b/>
          <w:u w:val="single"/>
        </w:rPr>
        <w:object w:dxaOrig="1531" w:dyaOrig="990">
          <v:shape id="_x0000_i1039" type="#_x0000_t75" style="width:76.5pt;height:49.5pt" o:ole="">
            <v:imagedata r:id="rId44" o:title=""/>
          </v:shape>
          <o:OLEObject Type="Embed" ProgID="Excel.Sheet.12" ShapeID="_x0000_i1039" DrawAspect="Icon" ObjectID="_1558364469" r:id="rId45"/>
        </w:object>
      </w:r>
    </w:p>
    <w:p w:rsidR="0038642F" w:rsidRDefault="008959EF" w:rsidP="0038642F">
      <w:r>
        <w:t>The WG confirms that t</w:t>
      </w:r>
      <w:r w:rsidR="0038642F">
        <w:t xml:space="preserve">he Usage rule was introduced in order to stop overuse of the field in all announcements. There is a concern however that removing the usage rule will eventually cause all actors to be </w:t>
      </w:r>
      <w:proofErr w:type="gramStart"/>
      <w:r w:rsidR="0038642F">
        <w:t>requested/required</w:t>
      </w:r>
      <w:proofErr w:type="gramEnd"/>
      <w:r w:rsidR="0038642F">
        <w:t xml:space="preserve"> to include the </w:t>
      </w:r>
      <w:r>
        <w:t>“</w:t>
      </w:r>
      <w:r w:rsidR="0038642F">
        <w:t>declared rate</w:t>
      </w:r>
      <w:r>
        <w:t>”</w:t>
      </w:r>
      <w:r w:rsidR="0038642F">
        <w:t>.</w:t>
      </w:r>
    </w:p>
    <w:p w:rsidR="0038642F" w:rsidRDefault="0038642F" w:rsidP="00AA2EB0">
      <w:pPr>
        <w:pStyle w:val="Decisions"/>
      </w:pPr>
      <w:r w:rsidRPr="00AA2EB0">
        <w:rPr>
          <w:u w:val="single"/>
        </w:rPr>
        <w:t>Decision</w:t>
      </w:r>
      <w:r>
        <w:t xml:space="preserve">: The U&amp;IE market will submit the CR, and </w:t>
      </w:r>
      <w:r w:rsidR="00AA2EB0">
        <w:t xml:space="preserve">the </w:t>
      </w:r>
      <w:r>
        <w:t xml:space="preserve">MWG will discuss </w:t>
      </w:r>
      <w:r w:rsidR="00235730">
        <w:t>the wording of the rule so as to cover the UK case and the other markets as well.</w:t>
      </w:r>
    </w:p>
    <w:p w:rsidR="007321BF" w:rsidRDefault="007321BF" w:rsidP="007321BF">
      <w:pPr>
        <w:pStyle w:val="Actions"/>
      </w:pPr>
      <w:r w:rsidRPr="007321BF">
        <w:rPr>
          <w:b/>
          <w:u w:val="single"/>
        </w:rPr>
        <w:t>Action</w:t>
      </w:r>
      <w:r>
        <w:t>: Close the Item</w:t>
      </w:r>
    </w:p>
    <w:p w:rsidR="00F35560" w:rsidRDefault="008959EF" w:rsidP="00F35560">
      <w:pPr>
        <w:pStyle w:val="Heading1"/>
      </w:pPr>
      <w:bookmarkStart w:id="50" w:name="_Toc479157756"/>
      <w:bookmarkStart w:id="51" w:name="_Toc482870672"/>
      <w:r>
        <w:t>CA365</w:t>
      </w:r>
      <w:r>
        <w:tab/>
        <w:t>Split Election per B</w:t>
      </w:r>
      <w:r w:rsidR="00F35560">
        <w:t>ucket</w:t>
      </w:r>
      <w:bookmarkEnd w:id="50"/>
      <w:bookmarkEnd w:id="51"/>
    </w:p>
    <w:p w:rsidR="00F35560" w:rsidRPr="000A387E" w:rsidRDefault="00F35560" w:rsidP="00F35560">
      <w:pPr>
        <w:rPr>
          <w:b/>
          <w:u w:val="single"/>
        </w:rPr>
      </w:pPr>
      <w:r w:rsidRPr="000A387E">
        <w:rPr>
          <w:b/>
          <w:u w:val="single"/>
        </w:rPr>
        <w:t>Input from (UK):</w:t>
      </w:r>
    </w:p>
    <w:p w:rsidR="00F35560" w:rsidRPr="000A387E" w:rsidRDefault="00F35560" w:rsidP="00F35560">
      <w:r>
        <w:rPr>
          <w:rFonts w:ascii="Calibri" w:hAnsi="Calibri" w:cs="Times New Roman"/>
          <w:sz w:val="22"/>
          <w:szCs w:val="22"/>
          <w:lang w:val="en-GB"/>
        </w:rPr>
        <w:object w:dxaOrig="1440" w:dyaOrig="1215">
          <v:shape id="_x0000_i1040" type="#_x0000_t75" style="width:1in;height:60.75pt" o:ole="">
            <v:imagedata r:id="rId46" o:title=""/>
          </v:shape>
          <o:OLEObject Type="Embed" ProgID="Outlook.FileAttach" ShapeID="_x0000_i1040" DrawAspect="Icon" ObjectID="_1558364470" r:id="rId47"/>
        </w:object>
      </w:r>
    </w:p>
    <w:p w:rsidR="007505D5" w:rsidRDefault="007505D5" w:rsidP="007505D5">
      <w:r>
        <w:t>Veronique has not yet found the BNYM scenarios on this topic. After discussion on both proposals in the Excel file, the WG preferred the solution in sheet 1, the one without use of NELG/ELIG.</w:t>
      </w:r>
    </w:p>
    <w:p w:rsidR="007505D5" w:rsidRDefault="007505D5" w:rsidP="007505D5">
      <w:r>
        <w:t>The proposal could also be used for collateral (COLO) holdings in addition to lent securities (LOAN). However, it can only be used if there is one lending agent, and the entire process/lifecycle flow (with cancellation, replacement) would also be needed to evaluate the business feasibility.</w:t>
      </w:r>
    </w:p>
    <w:p w:rsidR="007505D5" w:rsidRDefault="007505D5" w:rsidP="007505D5">
      <w:pPr>
        <w:pStyle w:val="Decisions"/>
      </w:pPr>
      <w:r w:rsidRPr="007505D5">
        <w:rPr>
          <w:b/>
          <w:u w:val="single"/>
        </w:rPr>
        <w:t>Decision</w:t>
      </w:r>
      <w:r>
        <w:t xml:space="preserve">: At this stage, in absence of further scenario and lifecycle impact analysis, there is no </w:t>
      </w:r>
      <w:r w:rsidR="008959EF">
        <w:t>consensus</w:t>
      </w:r>
      <w:r>
        <w:t xml:space="preserve"> to create a market practice.</w:t>
      </w:r>
    </w:p>
    <w:p w:rsidR="007321BF" w:rsidRDefault="007321BF" w:rsidP="007321BF">
      <w:pPr>
        <w:pStyle w:val="Actions"/>
      </w:pPr>
      <w:r w:rsidRPr="007321BF">
        <w:rPr>
          <w:b/>
          <w:u w:val="single"/>
        </w:rPr>
        <w:t>Action</w:t>
      </w:r>
      <w:r>
        <w:t>: Up to the UK to decide whether they want to further analyse the various potential scenario and impacts and come back with some more input to the group.</w:t>
      </w:r>
    </w:p>
    <w:p w:rsidR="00B959E3" w:rsidRPr="007505D5" w:rsidRDefault="00B959E3" w:rsidP="00B959E3">
      <w:pPr>
        <w:pStyle w:val="Heading1"/>
      </w:pPr>
      <w:bookmarkStart w:id="52" w:name="_Toc482870673"/>
      <w:r w:rsidRPr="007505D5">
        <w:lastRenderedPageBreak/>
        <w:t>CA366</w:t>
      </w:r>
      <w:r w:rsidRPr="007505D5">
        <w:tab/>
        <w:t xml:space="preserve">Review Voluntary Rolling </w:t>
      </w:r>
      <w:proofErr w:type="gramStart"/>
      <w:r w:rsidRPr="007505D5">
        <w:t>Event  in</w:t>
      </w:r>
      <w:proofErr w:type="gramEnd"/>
      <w:r w:rsidRPr="007505D5">
        <w:t xml:space="preserve"> GMP1</w:t>
      </w:r>
      <w:bookmarkEnd w:id="52"/>
    </w:p>
    <w:bookmarkStart w:id="53" w:name="_MON_1555509283"/>
    <w:bookmarkEnd w:id="53"/>
    <w:p w:rsidR="00B959E3" w:rsidRDefault="00B959E3" w:rsidP="00B959E3">
      <w:r>
        <w:object w:dxaOrig="1551" w:dyaOrig="991">
          <v:shape id="_x0000_i1041" type="#_x0000_t75" style="width:77.25pt;height:49.5pt" o:ole="">
            <v:imagedata r:id="rId48" o:title=""/>
          </v:shape>
          <o:OLEObject Type="Embed" ProgID="Word.Document.12" ShapeID="_x0000_i1041" DrawAspect="Icon" ObjectID="_1558364471" r:id="rId49">
            <o:FieldCodes>\s</o:FieldCodes>
          </o:OLEObject>
        </w:object>
      </w:r>
    </w:p>
    <w:p w:rsidR="00B959E3" w:rsidRDefault="00B959E3" w:rsidP="00B959E3">
      <w:r>
        <w:t>Not addressed at the Dublin meeting.</w:t>
      </w:r>
    </w:p>
    <w:p w:rsidR="00B959E3" w:rsidRPr="00B959E3" w:rsidRDefault="00B959E3" w:rsidP="00B959E3">
      <w:pPr>
        <w:pStyle w:val="Actions"/>
      </w:pPr>
      <w:r w:rsidRPr="00B959E3">
        <w:rPr>
          <w:b/>
          <w:u w:val="single"/>
        </w:rPr>
        <w:t>Action</w:t>
      </w:r>
      <w:r w:rsidRPr="00B959E3">
        <w:t xml:space="preserve">: </w:t>
      </w:r>
      <w:r w:rsidR="00DF133B" w:rsidRPr="00DD179B">
        <w:rPr>
          <w:u w:val="single"/>
        </w:rPr>
        <w:t>Christine</w:t>
      </w:r>
      <w:r w:rsidR="00DF133B">
        <w:rPr>
          <w:u w:val="single"/>
        </w:rPr>
        <w:t xml:space="preserve"> &amp;</w:t>
      </w:r>
      <w:r w:rsidR="00DF133B" w:rsidRPr="00DF133B">
        <w:rPr>
          <w:u w:val="single"/>
        </w:rPr>
        <w:t xml:space="preserve"> </w:t>
      </w:r>
      <w:r w:rsidR="00DF133B">
        <w:rPr>
          <w:u w:val="single"/>
        </w:rPr>
        <w:t>Bernard</w:t>
      </w:r>
      <w:r w:rsidR="00DF133B" w:rsidRPr="00DF133B">
        <w:t xml:space="preserve"> </w:t>
      </w:r>
      <w:r w:rsidRPr="00DD179B">
        <w:t>to amend the MP draft proposal accordingly</w:t>
      </w:r>
      <w:r>
        <w:t xml:space="preserve"> to the comments provided on December 13 conference call.</w:t>
      </w:r>
    </w:p>
    <w:p w:rsidR="00F35560" w:rsidRDefault="00F35560" w:rsidP="00F35560">
      <w:pPr>
        <w:pStyle w:val="Heading1"/>
      </w:pPr>
      <w:bookmarkStart w:id="54" w:name="_Toc479157757"/>
      <w:bookmarkStart w:id="55" w:name="_Toc482870674"/>
      <w:r>
        <w:t>CA367</w:t>
      </w:r>
      <w:r>
        <w:tab/>
      </w:r>
      <w:r w:rsidRPr="00D9056E">
        <w:t>INTP and OFFR usage with multiple payment Currencies</w:t>
      </w:r>
      <w:bookmarkEnd w:id="54"/>
      <w:bookmarkEnd w:id="55"/>
    </w:p>
    <w:p w:rsidR="00F35560" w:rsidRDefault="00F35560" w:rsidP="00F35560">
      <w:pPr>
        <w:rPr>
          <w:b/>
          <w:u w:val="single"/>
        </w:rPr>
      </w:pPr>
      <w:r w:rsidRPr="000A387E">
        <w:rPr>
          <w:b/>
          <w:u w:val="single"/>
        </w:rPr>
        <w:t xml:space="preserve">Input from </w:t>
      </w:r>
      <w:r>
        <w:rPr>
          <w:b/>
          <w:u w:val="single"/>
        </w:rPr>
        <w:t>Delphine</w:t>
      </w:r>
      <w:r w:rsidRPr="000A387E">
        <w:rPr>
          <w:b/>
          <w:u w:val="single"/>
        </w:rPr>
        <w:t>:</w:t>
      </w:r>
    </w:p>
    <w:p w:rsidR="00F35560" w:rsidRDefault="00F35560" w:rsidP="00F35560">
      <w:r w:rsidRPr="00821536">
        <w:t xml:space="preserve">How to handle </w:t>
      </w:r>
      <w:r>
        <w:t xml:space="preserve">the </w:t>
      </w:r>
      <w:r w:rsidRPr="00821536">
        <w:t>curren</w:t>
      </w:r>
      <w:r w:rsidR="0061166C">
        <w:t>cy for INTP and OFFR for income</w:t>
      </w:r>
      <w:r w:rsidRPr="00821536">
        <w:t xml:space="preserve"> cash payment event (INTR &amp; REDM) when multiple</w:t>
      </w:r>
      <w:r>
        <w:t xml:space="preserve"> payment currencies are offered?</w:t>
      </w:r>
    </w:p>
    <w:p w:rsidR="00F35560" w:rsidRDefault="00F35560" w:rsidP="00F35560">
      <w:r>
        <w:t xml:space="preserve">Delphine tried to summarize </w:t>
      </w:r>
      <w:r w:rsidR="00343635">
        <w:t xml:space="preserve">in the table below </w:t>
      </w:r>
      <w:r>
        <w:t xml:space="preserve">several scenarios of mandatory income cash payment and the existing SMPG recommendation on which format to use for the interest rate or price. </w:t>
      </w:r>
      <w:r>
        <w:br/>
        <w:t>In red, the cases for which there is no clear recommendation so far are highlighted.</w:t>
      </w:r>
      <w:r>
        <w:br/>
      </w:r>
    </w:p>
    <w:tbl>
      <w:tblPr>
        <w:tblW w:w="9375" w:type="dxa"/>
        <w:tblLook w:val="04A0" w:firstRow="1" w:lastRow="0" w:firstColumn="1" w:lastColumn="0" w:noHBand="0" w:noVBand="1"/>
      </w:tblPr>
      <w:tblGrid>
        <w:gridCol w:w="664"/>
        <w:gridCol w:w="1316"/>
        <w:gridCol w:w="2722"/>
        <w:gridCol w:w="2329"/>
        <w:gridCol w:w="2344"/>
      </w:tblGrid>
      <w:tr w:rsidR="00F35560" w:rsidTr="0061166C">
        <w:trPr>
          <w:trHeight w:val="120"/>
        </w:trPr>
        <w:tc>
          <w:tcPr>
            <w:tcW w:w="664" w:type="dxa"/>
            <w:tcBorders>
              <w:bottom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 </w:t>
            </w:r>
            <w:r>
              <w:t xml:space="preserve"> </w:t>
            </w:r>
          </w:p>
        </w:tc>
        <w:tc>
          <w:tcPr>
            <w:tcW w:w="1316" w:type="dxa"/>
            <w:tcBorders>
              <w:bottom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 </w:t>
            </w:r>
            <w:r>
              <w:t xml:space="preserve"> </w:t>
            </w:r>
          </w:p>
        </w:tc>
        <w:tc>
          <w:tcPr>
            <w:tcW w:w="2722" w:type="dxa"/>
            <w:tcBorders>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 </w:t>
            </w:r>
            <w:r>
              <w:t xml:space="preserve"> </w:t>
            </w:r>
          </w:p>
        </w:tc>
        <w:tc>
          <w:tcPr>
            <w:tcW w:w="467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Pr="00821536" w:rsidRDefault="00F35560" w:rsidP="00F35560">
            <w:pPr>
              <w:spacing w:before="0" w:after="0" w:line="120" w:lineRule="atLeast"/>
              <w:jc w:val="center"/>
              <w:rPr>
                <w:rFonts w:ascii="Times New Roman" w:hAnsi="Times New Roman" w:cs="Times New Roman"/>
                <w:color w:val="0000FF"/>
                <w:sz w:val="24"/>
                <w:szCs w:val="24"/>
              </w:rPr>
            </w:pPr>
            <w:r w:rsidRPr="00821536">
              <w:rPr>
                <w:rFonts w:ascii="Calibri" w:hAnsi="Calibri" w:cs="Calibri"/>
                <w:color w:val="0000FF"/>
              </w:rPr>
              <w:t>SMPG recommendation</w:t>
            </w:r>
          </w:p>
        </w:tc>
      </w:tr>
      <w:tr w:rsidR="00F35560" w:rsidTr="0061166C">
        <w:trPr>
          <w:trHeight w:val="120"/>
        </w:trPr>
        <w:tc>
          <w:tcPr>
            <w:tcW w:w="6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CAMV</w:t>
            </w:r>
            <w:r>
              <w:t xml:space="preserve"> </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Payment ccy</w:t>
            </w:r>
            <w:r>
              <w:t xml:space="preserve"> </w:t>
            </w:r>
          </w:p>
        </w:tc>
        <w:tc>
          <w:tcPr>
            <w:tcW w:w="2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Denom ccy</w:t>
            </w:r>
            <w:r>
              <w:t xml:space="preserve"> </w:t>
            </w:r>
          </w:p>
        </w:tc>
        <w:tc>
          <w:tcPr>
            <w:tcW w:w="23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Pr="00821536" w:rsidRDefault="00F35560" w:rsidP="00F35560">
            <w:pPr>
              <w:spacing w:before="0" w:after="0" w:line="120" w:lineRule="atLeast"/>
              <w:jc w:val="center"/>
              <w:rPr>
                <w:rFonts w:ascii="Times New Roman" w:hAnsi="Times New Roman" w:cs="Times New Roman"/>
                <w:color w:val="0000FF"/>
                <w:sz w:val="24"/>
                <w:szCs w:val="24"/>
              </w:rPr>
            </w:pPr>
            <w:r w:rsidRPr="00821536">
              <w:rPr>
                <w:rFonts w:ascii="Calibri" w:hAnsi="Calibri" w:cs="Calibri"/>
                <w:color w:val="0000FF"/>
              </w:rPr>
              <w:t>INTR event</w:t>
            </w:r>
          </w:p>
        </w:tc>
        <w:tc>
          <w:tcPr>
            <w:tcW w:w="23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Pr="00821536" w:rsidRDefault="00F35560" w:rsidP="00F35560">
            <w:pPr>
              <w:spacing w:before="0" w:after="0" w:line="120" w:lineRule="atLeast"/>
              <w:jc w:val="center"/>
              <w:rPr>
                <w:rFonts w:ascii="Times New Roman" w:hAnsi="Times New Roman" w:cs="Times New Roman"/>
                <w:color w:val="0000FF"/>
                <w:sz w:val="24"/>
                <w:szCs w:val="24"/>
              </w:rPr>
            </w:pPr>
            <w:r w:rsidRPr="00821536">
              <w:rPr>
                <w:rFonts w:ascii="Calibri" w:hAnsi="Calibri" w:cs="Calibri"/>
                <w:color w:val="0000FF"/>
              </w:rPr>
              <w:t>REDM event</w:t>
            </w:r>
          </w:p>
        </w:tc>
      </w:tr>
      <w:tr w:rsidR="00F35560" w:rsidTr="0061166C">
        <w:trPr>
          <w:trHeight w:val="120"/>
        </w:trPr>
        <w:tc>
          <w:tcPr>
            <w:tcW w:w="6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MAND</w:t>
            </w:r>
            <w:r>
              <w:t xml:space="preserve"> </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Single</w:t>
            </w:r>
            <w:r>
              <w:t xml:space="preserve"> </w:t>
            </w:r>
          </w:p>
        </w:tc>
        <w:tc>
          <w:tcPr>
            <w:tcW w:w="2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Same as payment ccy</w:t>
            </w:r>
            <w:r>
              <w:t xml:space="preserve"> </w:t>
            </w:r>
          </w:p>
        </w:tc>
        <w:tc>
          <w:tcPr>
            <w:tcW w:w="23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:92A::INTP</w:t>
            </w:r>
            <w:r>
              <w:t xml:space="preserve"> </w:t>
            </w:r>
          </w:p>
        </w:tc>
        <w:tc>
          <w:tcPr>
            <w:tcW w:w="23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:90A::OFFR//PRCT</w:t>
            </w:r>
            <w:r>
              <w:t xml:space="preserve"> </w:t>
            </w:r>
          </w:p>
        </w:tc>
      </w:tr>
      <w:tr w:rsidR="00F35560" w:rsidTr="0061166C">
        <w:trPr>
          <w:trHeight w:val="120"/>
        </w:trPr>
        <w:tc>
          <w:tcPr>
            <w:tcW w:w="6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MAND</w:t>
            </w:r>
            <w:r>
              <w:t xml:space="preserve"> </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Single</w:t>
            </w:r>
            <w:r>
              <w:t xml:space="preserve"> </w:t>
            </w:r>
          </w:p>
        </w:tc>
        <w:tc>
          <w:tcPr>
            <w:tcW w:w="2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Different from payment ccy</w:t>
            </w:r>
            <w:r>
              <w:t xml:space="preserve"> </w:t>
            </w:r>
          </w:p>
        </w:tc>
        <w:tc>
          <w:tcPr>
            <w:tcW w:w="23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Pr="00821536" w:rsidRDefault="00F35560" w:rsidP="00F35560">
            <w:pPr>
              <w:spacing w:before="0" w:after="0" w:line="120" w:lineRule="atLeast"/>
              <w:rPr>
                <w:rFonts w:ascii="Times New Roman" w:hAnsi="Times New Roman" w:cs="Times New Roman"/>
                <w:b/>
                <w:sz w:val="24"/>
                <w:szCs w:val="24"/>
              </w:rPr>
            </w:pPr>
            <w:r w:rsidRPr="00821536">
              <w:rPr>
                <w:rFonts w:ascii="Calibri" w:hAnsi="Calibri" w:cs="Calibri"/>
                <w:b/>
                <w:color w:val="FF0000"/>
              </w:rPr>
              <w:t>Open item CA 356</w:t>
            </w:r>
            <w:r w:rsidRPr="00821536">
              <w:rPr>
                <w:b/>
              </w:rPr>
              <w:t xml:space="preserve"> </w:t>
            </w:r>
          </w:p>
        </w:tc>
        <w:tc>
          <w:tcPr>
            <w:tcW w:w="23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:90J::OFFR//</w:t>
            </w:r>
            <w:r>
              <w:t xml:space="preserve"> </w:t>
            </w:r>
          </w:p>
        </w:tc>
      </w:tr>
      <w:tr w:rsidR="00F35560" w:rsidTr="0061166C">
        <w:trPr>
          <w:trHeight w:val="120"/>
        </w:trPr>
        <w:tc>
          <w:tcPr>
            <w:tcW w:w="6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MAND</w:t>
            </w:r>
            <w:r>
              <w:t xml:space="preserve"> </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Issuer option</w:t>
            </w:r>
            <w:r>
              <w:t xml:space="preserve"> </w:t>
            </w:r>
          </w:p>
        </w:tc>
        <w:tc>
          <w:tcPr>
            <w:tcW w:w="2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N/A</w:t>
            </w:r>
            <w:r>
              <w:t xml:space="preserve"> </w:t>
            </w:r>
          </w:p>
        </w:tc>
        <w:tc>
          <w:tcPr>
            <w:tcW w:w="23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:22F::OPTF//CAOS</w:t>
            </w:r>
            <w:r>
              <w:t xml:space="preserve"> </w:t>
            </w:r>
            <w:r>
              <w:br/>
            </w:r>
            <w:r>
              <w:rPr>
                <w:rFonts w:ascii="Calibri" w:hAnsi="Calibri" w:cs="Calibri"/>
              </w:rPr>
              <w:t>Several options</w:t>
            </w:r>
            <w:r>
              <w:t xml:space="preserve"> </w:t>
            </w:r>
            <w:r>
              <w:br/>
            </w:r>
            <w:r>
              <w:rPr>
                <w:rFonts w:ascii="Calibri" w:hAnsi="Calibri" w:cs="Calibri"/>
              </w:rPr>
              <w:t>:92A::INTP</w:t>
            </w:r>
            <w:r>
              <w:t xml:space="preserve"> </w:t>
            </w:r>
          </w:p>
        </w:tc>
        <w:tc>
          <w:tcPr>
            <w:tcW w:w="23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:22F::OPTF//CAOS</w:t>
            </w:r>
            <w:r>
              <w:rPr>
                <w:rFonts w:ascii="Calibri" w:hAnsi="Calibri" w:cs="Calibri"/>
              </w:rPr>
              <w:br/>
              <w:t>Several options</w:t>
            </w:r>
            <w:r>
              <w:rPr>
                <w:rFonts w:ascii="Calibri" w:hAnsi="Calibri" w:cs="Calibri"/>
              </w:rPr>
              <w:br/>
              <w:t>:90A::OFRR//PRCT</w:t>
            </w:r>
            <w:r>
              <w:t xml:space="preserve"> </w:t>
            </w:r>
          </w:p>
        </w:tc>
      </w:tr>
      <w:tr w:rsidR="00F35560" w:rsidTr="0061166C">
        <w:trPr>
          <w:trHeight w:val="120"/>
        </w:trPr>
        <w:tc>
          <w:tcPr>
            <w:tcW w:w="6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MAND</w:t>
            </w:r>
            <w:r>
              <w:t xml:space="preserve"> </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Multiple</w:t>
            </w:r>
            <w:r>
              <w:t xml:space="preserve"> </w:t>
            </w:r>
          </w:p>
        </w:tc>
        <w:tc>
          <w:tcPr>
            <w:tcW w:w="27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Default="00F35560" w:rsidP="00F35560">
            <w:pPr>
              <w:spacing w:before="0" w:after="0" w:line="120" w:lineRule="atLeast"/>
              <w:rPr>
                <w:rFonts w:ascii="Times New Roman" w:hAnsi="Times New Roman" w:cs="Times New Roman"/>
                <w:sz w:val="24"/>
                <w:szCs w:val="24"/>
              </w:rPr>
            </w:pPr>
            <w:r>
              <w:rPr>
                <w:rFonts w:ascii="Calibri" w:hAnsi="Calibri" w:cs="Calibri"/>
              </w:rPr>
              <w:t>N/A</w:t>
            </w:r>
            <w:r>
              <w:t xml:space="preserve"> </w:t>
            </w:r>
          </w:p>
        </w:tc>
        <w:tc>
          <w:tcPr>
            <w:tcW w:w="23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Pr="00821536" w:rsidRDefault="00F35560" w:rsidP="00F35560">
            <w:pPr>
              <w:spacing w:before="0" w:after="0" w:line="120" w:lineRule="atLeast"/>
              <w:rPr>
                <w:rFonts w:ascii="Times New Roman" w:hAnsi="Times New Roman" w:cs="Times New Roman"/>
                <w:b/>
                <w:sz w:val="24"/>
                <w:szCs w:val="24"/>
              </w:rPr>
            </w:pPr>
            <w:r w:rsidRPr="00821536">
              <w:rPr>
                <w:rFonts w:ascii="Calibri" w:hAnsi="Calibri" w:cs="Calibri"/>
                <w:b/>
                <w:color w:val="FF0000"/>
              </w:rPr>
              <w:t>New Open Item CA367</w:t>
            </w:r>
            <w:r w:rsidRPr="00821536">
              <w:rPr>
                <w:b/>
              </w:rPr>
              <w:t xml:space="preserve"> </w:t>
            </w:r>
          </w:p>
        </w:tc>
        <w:tc>
          <w:tcPr>
            <w:tcW w:w="23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F35560" w:rsidRPr="00821536" w:rsidRDefault="00F35560" w:rsidP="00F35560">
            <w:pPr>
              <w:spacing w:before="0" w:after="0" w:line="120" w:lineRule="atLeast"/>
              <w:rPr>
                <w:rFonts w:ascii="Times New Roman" w:hAnsi="Times New Roman" w:cs="Times New Roman"/>
                <w:b/>
                <w:sz w:val="24"/>
                <w:szCs w:val="24"/>
              </w:rPr>
            </w:pPr>
            <w:r w:rsidRPr="00821536">
              <w:rPr>
                <w:rFonts w:ascii="Calibri" w:hAnsi="Calibri" w:cs="Calibri"/>
                <w:b/>
                <w:color w:val="FF0000"/>
              </w:rPr>
              <w:t>New Open Item CA367</w:t>
            </w:r>
          </w:p>
        </w:tc>
      </w:tr>
    </w:tbl>
    <w:p w:rsidR="00351225" w:rsidRDefault="00351225" w:rsidP="00351225">
      <w:r>
        <w:t>This is happen</w:t>
      </w:r>
      <w:r w:rsidR="00343635">
        <w:t xml:space="preserve">ing more often with Eurobonds. </w:t>
      </w:r>
    </w:p>
    <w:p w:rsidR="00343635" w:rsidRPr="00343635" w:rsidRDefault="00343635" w:rsidP="00351225">
      <w:pPr>
        <w:rPr>
          <w:color w:val="00B050"/>
        </w:rPr>
      </w:pPr>
      <w:r w:rsidRPr="00343635">
        <w:rPr>
          <w:b/>
          <w:color w:val="00B050"/>
          <w:u w:val="single"/>
        </w:rPr>
        <w:t>Decision</w:t>
      </w:r>
      <w:r w:rsidRPr="00343635">
        <w:rPr>
          <w:color w:val="00B050"/>
        </w:rPr>
        <w:t>:</w:t>
      </w:r>
    </w:p>
    <w:p w:rsidR="0061166C" w:rsidRPr="00343635" w:rsidRDefault="0061166C" w:rsidP="0061166C">
      <w:pPr>
        <w:rPr>
          <w:color w:val="00B050"/>
        </w:rPr>
      </w:pPr>
      <w:r w:rsidRPr="00343635">
        <w:rPr>
          <w:b/>
          <w:color w:val="00B050"/>
          <w:u w:val="single"/>
        </w:rPr>
        <w:t>For CA356</w:t>
      </w:r>
      <w:r w:rsidRPr="00343635">
        <w:rPr>
          <w:color w:val="00B050"/>
        </w:rPr>
        <w:t xml:space="preserve">, the scenario with a single payment, and denomination currency different from payment currency, use OPTN </w:t>
      </w:r>
      <w:r w:rsidR="00343635" w:rsidRPr="00343635">
        <w:rPr>
          <w:color w:val="00B050"/>
        </w:rPr>
        <w:t xml:space="preserve">for denomination currency </w:t>
      </w:r>
      <w:r w:rsidR="008959EF" w:rsidRPr="00343635">
        <w:rPr>
          <w:color w:val="00B050"/>
        </w:rPr>
        <w:t>and</w:t>
      </w:r>
      <w:r w:rsidRPr="00343635">
        <w:rPr>
          <w:color w:val="00B050"/>
        </w:rPr>
        <w:t xml:space="preserve"> show payment currency </w:t>
      </w:r>
      <w:proofErr w:type="gramStart"/>
      <w:r w:rsidRPr="00343635">
        <w:rPr>
          <w:color w:val="00B050"/>
        </w:rPr>
        <w:t xml:space="preserve">in </w:t>
      </w:r>
      <w:r w:rsidR="00351225" w:rsidRPr="00343635">
        <w:rPr>
          <w:color w:val="00B050"/>
        </w:rPr>
        <w:t>:92A</w:t>
      </w:r>
      <w:proofErr w:type="gramEnd"/>
      <w:r w:rsidR="00351225" w:rsidRPr="00343635">
        <w:rPr>
          <w:color w:val="00B050"/>
        </w:rPr>
        <w:t>::</w:t>
      </w:r>
      <w:r w:rsidRPr="00343635">
        <w:rPr>
          <w:color w:val="00B050"/>
        </w:rPr>
        <w:t>INTP</w:t>
      </w:r>
      <w:r w:rsidR="00351225" w:rsidRPr="00343635">
        <w:rPr>
          <w:color w:val="00B050"/>
        </w:rPr>
        <w:t>.</w:t>
      </w:r>
    </w:p>
    <w:p w:rsidR="00713743" w:rsidRPr="00343635" w:rsidRDefault="00713743" w:rsidP="0061166C">
      <w:pPr>
        <w:rPr>
          <w:color w:val="00B050"/>
        </w:rPr>
      </w:pPr>
      <w:r w:rsidRPr="00343635">
        <w:rPr>
          <w:color w:val="00B050"/>
          <w:u w:val="single"/>
        </w:rPr>
        <w:t>For CA367</w:t>
      </w:r>
      <w:r w:rsidRPr="00343635">
        <w:rPr>
          <w:color w:val="00B050"/>
        </w:rPr>
        <w:t>, follow the same logic as in the INTR CHOS template.</w:t>
      </w:r>
    </w:p>
    <w:p w:rsidR="00351225" w:rsidRDefault="00351225" w:rsidP="00351225">
      <w:pPr>
        <w:pStyle w:val="Actions"/>
      </w:pPr>
      <w:r w:rsidRPr="00351225">
        <w:rPr>
          <w:b/>
          <w:u w:val="single"/>
        </w:rPr>
        <w:t>Action</w:t>
      </w:r>
      <w:r w:rsidR="0061166C">
        <w:t xml:space="preserve">: </w:t>
      </w:r>
    </w:p>
    <w:p w:rsidR="00351225" w:rsidRDefault="00351225" w:rsidP="00351225">
      <w:pPr>
        <w:pStyle w:val="Actions"/>
        <w:numPr>
          <w:ilvl w:val="0"/>
          <w:numId w:val="30"/>
        </w:numPr>
      </w:pPr>
      <w:r w:rsidRPr="00351225">
        <w:rPr>
          <w:u w:val="single"/>
        </w:rPr>
        <w:t>Delphine</w:t>
      </w:r>
      <w:r w:rsidR="0061166C">
        <w:t xml:space="preserve"> to provide examples </w:t>
      </w:r>
      <w:r>
        <w:t>on multiple payment currency for review.</w:t>
      </w:r>
    </w:p>
    <w:p w:rsidR="0061166C" w:rsidRDefault="00351225" w:rsidP="00351225">
      <w:pPr>
        <w:pStyle w:val="Actions"/>
        <w:numPr>
          <w:ilvl w:val="0"/>
          <w:numId w:val="30"/>
        </w:numPr>
      </w:pPr>
      <w:r w:rsidRPr="00351225">
        <w:rPr>
          <w:u w:val="single"/>
        </w:rPr>
        <w:t>Delphine and Bernard</w:t>
      </w:r>
      <w:r>
        <w:t xml:space="preserve"> </w:t>
      </w:r>
      <w:r w:rsidR="0061166C">
        <w:t xml:space="preserve">to mock up example </w:t>
      </w:r>
      <w:r>
        <w:t xml:space="preserve">to check feasibility. </w:t>
      </w:r>
    </w:p>
    <w:p w:rsidR="00F35560" w:rsidRDefault="00F35560" w:rsidP="00F35560">
      <w:pPr>
        <w:pStyle w:val="Heading1"/>
      </w:pPr>
      <w:bookmarkStart w:id="56" w:name="_Toc479157758"/>
      <w:bookmarkStart w:id="57" w:name="_Toc482870675"/>
      <w:r>
        <w:t>CA368</w:t>
      </w:r>
      <w:r>
        <w:tab/>
      </w:r>
      <w:r w:rsidRPr="00D9056E">
        <w:t>Crea</w:t>
      </w:r>
      <w:r>
        <w:t>te new "form of securities" indi</w:t>
      </w:r>
      <w:r w:rsidRPr="00D9056E">
        <w:t>cator element</w:t>
      </w:r>
      <w:bookmarkEnd w:id="56"/>
      <w:bookmarkEnd w:id="57"/>
    </w:p>
    <w:p w:rsidR="00626D13" w:rsidRDefault="00626D13" w:rsidP="00626D13">
      <w:r>
        <w:t>Jean-Pierre explains the business case and the potential new FR CR:</w:t>
      </w:r>
      <w:r w:rsidRPr="00626D13">
        <w:t xml:space="preserve"> </w:t>
      </w:r>
      <w:r w:rsidRPr="00762EE4">
        <w:t xml:space="preserve">A new indicator should be added on the MT564 to indicate in which holding form </w:t>
      </w:r>
      <w:r>
        <w:t xml:space="preserve">the </w:t>
      </w:r>
      <w:r w:rsidRPr="00762EE4">
        <w:t xml:space="preserve">securities are paid: either same as underlying security or always </w:t>
      </w:r>
      <w:r>
        <w:t>“</w:t>
      </w:r>
      <w:r w:rsidRPr="00762EE4">
        <w:t>bearer</w:t>
      </w:r>
      <w:r>
        <w:t>”.</w:t>
      </w:r>
    </w:p>
    <w:bookmarkStart w:id="58" w:name="_MON_1556368236"/>
    <w:bookmarkEnd w:id="58"/>
    <w:p w:rsidR="00626D13" w:rsidRDefault="00626D13" w:rsidP="00F35560">
      <w:r>
        <w:object w:dxaOrig="1531" w:dyaOrig="990">
          <v:shape id="_x0000_i1042" type="#_x0000_t75" style="width:76.5pt;height:49.5pt" o:ole="">
            <v:imagedata r:id="rId50" o:title=""/>
          </v:shape>
          <o:OLEObject Type="Embed" ProgID="Word.Document.12" ShapeID="_x0000_i1042" DrawAspect="Icon" ObjectID="_1558364472" r:id="rId51">
            <o:FieldCodes>\s</o:FieldCodes>
          </o:OLEObject>
        </w:object>
      </w:r>
    </w:p>
    <w:p w:rsidR="00626D13" w:rsidRDefault="00626D13" w:rsidP="00626D13">
      <w:r>
        <w:t>Both bearer and registered securities can have the same ISIN.</w:t>
      </w:r>
    </w:p>
    <w:p w:rsidR="00626D13" w:rsidRDefault="00626D13" w:rsidP="00626D13">
      <w:pPr>
        <w:pStyle w:val="Decisions"/>
      </w:pPr>
      <w:r w:rsidRPr="00626D13">
        <w:rPr>
          <w:b/>
          <w:u w:val="single"/>
        </w:rPr>
        <w:lastRenderedPageBreak/>
        <w:t>Decision</w:t>
      </w:r>
      <w:r>
        <w:t xml:space="preserve">: </w:t>
      </w:r>
      <w:r w:rsidR="008959EF">
        <w:t xml:space="preserve">The group agrees with </w:t>
      </w:r>
      <w:r w:rsidRPr="008959EF">
        <w:t>Christine and Bernard</w:t>
      </w:r>
      <w:r w:rsidR="008959EF" w:rsidRPr="008959EF">
        <w:t xml:space="preserve">’s </w:t>
      </w:r>
      <w:r w:rsidR="008959EF">
        <w:t>proposal</w:t>
      </w:r>
      <w:r>
        <w:t xml:space="preserve"> to use Subsequence E1a in SECMOVE and qualifier CLAS (Classification Type) Option </w:t>
      </w:r>
      <w:proofErr w:type="gramStart"/>
      <w:r>
        <w:t>A</w:t>
      </w:r>
      <w:proofErr w:type="gramEnd"/>
      <w:r>
        <w:t xml:space="preserve"> and the 30 characters to describe if the distributed securities are in bearer or registered form.</w:t>
      </w:r>
    </w:p>
    <w:p w:rsidR="00F35560" w:rsidRPr="00762EE4" w:rsidRDefault="00F35560" w:rsidP="00F35560">
      <w:pPr>
        <w:pStyle w:val="Actions"/>
      </w:pPr>
      <w:r w:rsidRPr="00762EE4">
        <w:rPr>
          <w:b/>
          <w:u w:val="single"/>
        </w:rPr>
        <w:t>Action</w:t>
      </w:r>
      <w:r>
        <w:t xml:space="preserve">: </w:t>
      </w:r>
      <w:r w:rsidR="00E97EB9">
        <w:t>Close item.</w:t>
      </w:r>
    </w:p>
    <w:p w:rsidR="00F35560" w:rsidRDefault="00F35560" w:rsidP="00F35560">
      <w:pPr>
        <w:pStyle w:val="Heading1"/>
      </w:pPr>
      <w:bookmarkStart w:id="59" w:name="_Toc479157759"/>
      <w:bookmarkStart w:id="60" w:name="_Toc482870676"/>
      <w:r>
        <w:t>CA369</w:t>
      </w:r>
      <w:r>
        <w:tab/>
      </w:r>
      <w:r w:rsidRPr="00D9056E">
        <w:t>ACC</w:t>
      </w:r>
      <w:r>
        <w:t>U event and XDTE or EFFD</w:t>
      </w:r>
      <w:bookmarkEnd w:id="59"/>
      <w:bookmarkEnd w:id="60"/>
    </w:p>
    <w:p w:rsidR="00F35560" w:rsidRDefault="00F35560" w:rsidP="00F35560">
      <w:r w:rsidRPr="00762EE4">
        <w:t xml:space="preserve">Laura has </w:t>
      </w:r>
      <w:r>
        <w:t xml:space="preserve">noticed lately that the UK MP recommends to use XDTE date for the accumulation event (ACCU) whilst DE is recommending EFFD. </w:t>
      </w:r>
      <w:r w:rsidR="00713743">
        <w:t xml:space="preserve">Shouldn’t </w:t>
      </w:r>
      <w:r>
        <w:t xml:space="preserve">the same date </w:t>
      </w:r>
      <w:r w:rsidR="00713743">
        <w:t>be used</w:t>
      </w:r>
      <w:r>
        <w:t>?</w:t>
      </w:r>
    </w:p>
    <w:p w:rsidR="00713743" w:rsidRDefault="00EE4D3D" w:rsidP="00713743">
      <w:r>
        <w:t>In Accumulation events, a t</w:t>
      </w:r>
      <w:r w:rsidR="00713743">
        <w:t xml:space="preserve">ax </w:t>
      </w:r>
      <w:r>
        <w:t xml:space="preserve">is </w:t>
      </w:r>
      <w:r w:rsidR="00713743">
        <w:t xml:space="preserve">paid due to accumulation but </w:t>
      </w:r>
      <w:r>
        <w:t xml:space="preserve">there is no </w:t>
      </w:r>
      <w:r w:rsidR="00713743">
        <w:t>actual payout.</w:t>
      </w:r>
      <w:r>
        <w:t xml:space="preserve"> </w:t>
      </w:r>
      <w:r w:rsidR="00713743">
        <w:t xml:space="preserve">Germany </w:t>
      </w:r>
      <w:r>
        <w:t xml:space="preserve">use effective date since </w:t>
      </w:r>
      <w:r w:rsidR="00713743">
        <w:t xml:space="preserve">ex date </w:t>
      </w:r>
      <w:r>
        <w:t>is inappropriate in this case because there is no distribution.</w:t>
      </w:r>
    </w:p>
    <w:p w:rsidR="00713743" w:rsidRDefault="00EE4D3D" w:rsidP="00EE4D3D">
      <w:pPr>
        <w:pStyle w:val="Decisions"/>
      </w:pPr>
      <w:r w:rsidRPr="00EE4D3D">
        <w:rPr>
          <w:b/>
          <w:u w:val="single"/>
        </w:rPr>
        <w:t>Decision</w:t>
      </w:r>
      <w:r>
        <w:t xml:space="preserve">: </w:t>
      </w:r>
      <w:r w:rsidR="00713743">
        <w:t>Neither ex or effective date should be used, both markets should be using record date</w:t>
      </w:r>
      <w:r>
        <w:t xml:space="preserve"> (RDTE)</w:t>
      </w:r>
      <w:r w:rsidR="00713743">
        <w:t>.</w:t>
      </w:r>
    </w:p>
    <w:p w:rsidR="00EE4D3D" w:rsidRPr="00EE4D3D" w:rsidRDefault="00EE4D3D" w:rsidP="00EE4D3D">
      <w:pPr>
        <w:pStyle w:val="Actions"/>
        <w:rPr>
          <w:b/>
          <w:u w:val="single"/>
        </w:rPr>
      </w:pPr>
      <w:r w:rsidRPr="00EE4D3D">
        <w:rPr>
          <w:b/>
          <w:u w:val="single"/>
        </w:rPr>
        <w:t>Action</w:t>
      </w:r>
      <w:r>
        <w:rPr>
          <w:b/>
          <w:u w:val="single"/>
        </w:rPr>
        <w:t>s:</w:t>
      </w:r>
    </w:p>
    <w:p w:rsidR="00713743" w:rsidRPr="00EE4D3D" w:rsidRDefault="00EE4D3D" w:rsidP="00EE4D3D">
      <w:pPr>
        <w:pStyle w:val="Actions"/>
        <w:numPr>
          <w:ilvl w:val="0"/>
          <w:numId w:val="32"/>
        </w:numPr>
      </w:pPr>
      <w:r w:rsidRPr="00DF133B">
        <w:rPr>
          <w:u w:val="single"/>
        </w:rPr>
        <w:t>Daniel</w:t>
      </w:r>
      <w:r w:rsidR="00713743" w:rsidRPr="00EE4D3D">
        <w:t xml:space="preserve"> to discuss with German NMPG </w:t>
      </w:r>
      <w:r>
        <w:t xml:space="preserve">so </w:t>
      </w:r>
      <w:r w:rsidR="00713743" w:rsidRPr="00EE4D3D">
        <w:t xml:space="preserve">as to </w:t>
      </w:r>
      <w:r>
        <w:t xml:space="preserve">be </w:t>
      </w:r>
      <w:r w:rsidR="00713743" w:rsidRPr="00EE4D3D">
        <w:t>moving to using record</w:t>
      </w:r>
      <w:r>
        <w:t xml:space="preserve"> date instead of effective date (</w:t>
      </w:r>
      <w:r w:rsidR="00713743" w:rsidRPr="00EE4D3D">
        <w:t>Germany has only had the record date for four months so far</w:t>
      </w:r>
      <w:r>
        <w:t>)</w:t>
      </w:r>
      <w:r w:rsidR="00713743" w:rsidRPr="00EE4D3D">
        <w:t>.</w:t>
      </w:r>
    </w:p>
    <w:p w:rsidR="00713743" w:rsidRPr="00EE4D3D" w:rsidRDefault="00EE4D3D" w:rsidP="00EE4D3D">
      <w:pPr>
        <w:pStyle w:val="Actions"/>
        <w:numPr>
          <w:ilvl w:val="0"/>
          <w:numId w:val="32"/>
        </w:numPr>
      </w:pPr>
      <w:r w:rsidRPr="00DF133B">
        <w:rPr>
          <w:u w:val="single"/>
        </w:rPr>
        <w:t>Mathew</w:t>
      </w:r>
      <w:r w:rsidR="00713743" w:rsidRPr="00EE4D3D">
        <w:t xml:space="preserve"> to raise </w:t>
      </w:r>
      <w:r w:rsidRPr="00EE4D3D">
        <w:t xml:space="preserve">the issue </w:t>
      </w:r>
      <w:r w:rsidR="00B41284">
        <w:t xml:space="preserve">at the UK NMPG so as to change the </w:t>
      </w:r>
      <w:r w:rsidR="00713743" w:rsidRPr="00EE4D3D">
        <w:t xml:space="preserve">UK MP </w:t>
      </w:r>
      <w:r w:rsidRPr="00EE4D3D">
        <w:t xml:space="preserve">(using </w:t>
      </w:r>
      <w:r w:rsidR="00713743" w:rsidRPr="00EE4D3D">
        <w:t>e</w:t>
      </w:r>
      <w:r w:rsidRPr="00EE4D3D">
        <w:t xml:space="preserve">x-date) and investigate </w:t>
      </w:r>
      <w:r w:rsidR="00713743" w:rsidRPr="00EE4D3D">
        <w:t>on the ev</w:t>
      </w:r>
      <w:r w:rsidR="00E9074D">
        <w:t xml:space="preserve">ents where ex-date is announced </w:t>
      </w:r>
      <w:r w:rsidR="00713743" w:rsidRPr="00EE4D3D">
        <w:t>when ex-date is not applicable.</w:t>
      </w:r>
    </w:p>
    <w:p w:rsidR="001E1FF3" w:rsidRDefault="001E1FF3" w:rsidP="001E1FF3">
      <w:pPr>
        <w:pStyle w:val="Heading1"/>
      </w:pPr>
      <w:bookmarkStart w:id="61" w:name="_Toc482870677"/>
      <w:r>
        <w:t>CA370</w:t>
      </w:r>
      <w:r>
        <w:tab/>
        <w:t xml:space="preserve">TAXR / </w:t>
      </w:r>
      <w:r w:rsidRPr="001E1FF3">
        <w:t xml:space="preserve">WITL Usage for the Italian </w:t>
      </w:r>
      <w:r>
        <w:t>M</w:t>
      </w:r>
      <w:r w:rsidRPr="001E1FF3">
        <w:t>arket Scenario</w:t>
      </w:r>
      <w:bookmarkEnd w:id="61"/>
    </w:p>
    <w:p w:rsidR="001E1FF3" w:rsidRDefault="00E35E7F" w:rsidP="001E1FF3">
      <w:r w:rsidRPr="00E35E7F">
        <w:rPr>
          <w:b/>
          <w:u w:val="single"/>
        </w:rPr>
        <w:t>Input Document</w:t>
      </w:r>
      <w:r>
        <w:t>:</w:t>
      </w:r>
    </w:p>
    <w:bookmarkStart w:id="62" w:name="_MON_1556460149"/>
    <w:bookmarkEnd w:id="62"/>
    <w:p w:rsidR="00E35E7F" w:rsidRDefault="00E35E7F" w:rsidP="001E1FF3">
      <w:r>
        <w:object w:dxaOrig="1551" w:dyaOrig="991">
          <v:shape id="_x0000_i1043" type="#_x0000_t75" style="width:77.25pt;height:49.5pt" o:ole="">
            <v:imagedata r:id="rId52" o:title=""/>
          </v:shape>
          <o:OLEObject Type="Embed" ProgID="Word.Document.12" ShapeID="_x0000_i1043" DrawAspect="Icon" ObjectID="_1558364473" r:id="rId53">
            <o:FieldCodes>\s</o:FieldCodes>
          </o:OLEObject>
        </w:object>
      </w:r>
    </w:p>
    <w:p w:rsidR="000277C4" w:rsidRDefault="00E35E7F" w:rsidP="000277C4">
      <w:r>
        <w:t>Based on one Italian tax scenario (described in the input document here above), Jacques has made a proposal on how to reflect in the MT564 message both a “foreign gross” rate and “local gross” rate (or first and second level gross rate) so that we are able to distinguish the gross rate on which the secondary level withholding tax is applied.</w:t>
      </w:r>
      <w:r w:rsidR="000277C4" w:rsidRPr="000277C4">
        <w:t xml:space="preserve"> </w:t>
      </w:r>
      <w:r w:rsidR="000277C4">
        <w:t>Currently the narrative is used.</w:t>
      </w:r>
    </w:p>
    <w:p w:rsidR="000277C4" w:rsidRPr="000277C4" w:rsidRDefault="000277C4" w:rsidP="000277C4">
      <w:r w:rsidRPr="000277C4">
        <w:t>Jacques prop</w:t>
      </w:r>
      <w:r>
        <w:t>osal is to use Taxable and Tax F</w:t>
      </w:r>
      <w:r w:rsidRPr="000277C4">
        <w:t xml:space="preserve">ree codes. The Italian market agrees on the proposal. </w:t>
      </w:r>
    </w:p>
    <w:p w:rsidR="000277C4" w:rsidRDefault="000277C4" w:rsidP="000277C4">
      <w:r>
        <w:t>South Africa has the same scenario and agrees with the presentation shown, but tax cal</w:t>
      </w:r>
      <w:r w:rsidR="00E9074D">
        <w:t>culation is different in ZA.  So</w:t>
      </w:r>
      <w:r>
        <w:t>, the recipient needs to know the Market Practice for tax calculation on the specific market if they plan to STP the message.</w:t>
      </w:r>
    </w:p>
    <w:p w:rsidR="00ED05CF" w:rsidRDefault="00ED05CF" w:rsidP="0069152B">
      <w:pPr>
        <w:pStyle w:val="Decisions"/>
        <w:rPr>
          <w:b/>
          <w:u w:val="single"/>
        </w:rPr>
      </w:pPr>
    </w:p>
    <w:p w:rsidR="000277C4" w:rsidRDefault="0069152B" w:rsidP="0069152B">
      <w:pPr>
        <w:pStyle w:val="Decisions"/>
      </w:pPr>
      <w:r w:rsidRPr="0069152B">
        <w:rPr>
          <w:b/>
          <w:u w:val="single"/>
        </w:rPr>
        <w:t>Decision</w:t>
      </w:r>
      <w:r>
        <w:t xml:space="preserve">: </w:t>
      </w:r>
      <w:r w:rsidR="000277C4">
        <w:t xml:space="preserve">Although the WG recognizes that this solution cannot be generalized for </w:t>
      </w:r>
      <w:r w:rsidR="00ED05CF">
        <w:t xml:space="preserve">various </w:t>
      </w:r>
      <w:r w:rsidR="000277C4">
        <w:t>tax scenarios in all markets (as there might be lots of variations), the WG agrees that Jacques’s proposal</w:t>
      </w:r>
      <w:r w:rsidR="00ED05CF">
        <w:t xml:space="preserve"> can work in this particular</w:t>
      </w:r>
      <w:r w:rsidR="000277C4">
        <w:t xml:space="preserve"> Italian business </w:t>
      </w:r>
      <w:r w:rsidR="00ED05CF">
        <w:t>case</w:t>
      </w:r>
      <w:r w:rsidR="000277C4">
        <w:t>.</w:t>
      </w:r>
    </w:p>
    <w:p w:rsidR="00E35E7F" w:rsidRDefault="00E35E7F" w:rsidP="00E35E7F">
      <w:r>
        <w:t xml:space="preserve">There is also a proposal to add a </w:t>
      </w:r>
      <w:r w:rsidR="00852015">
        <w:t>paragraph to GMP1, section 8.34 so as to explain</w:t>
      </w:r>
      <w:r>
        <w:t xml:space="preserve"> the </w:t>
      </w:r>
      <w:r w:rsidR="00852015">
        <w:t xml:space="preserve">potential </w:t>
      </w:r>
      <w:r>
        <w:t>scenarios that have been identified so far, and clarifying that there are more</w:t>
      </w:r>
      <w:r w:rsidR="00852015">
        <w:t xml:space="preserve"> </w:t>
      </w:r>
      <w:r w:rsidR="002A2EA8">
        <w:t>scenarios</w:t>
      </w:r>
      <w:r w:rsidR="00852015">
        <w:t xml:space="preserve"> possible</w:t>
      </w:r>
      <w:r>
        <w:t xml:space="preserve">. </w:t>
      </w:r>
      <w:r w:rsidR="002A2EA8">
        <w:t>Amendment</w:t>
      </w:r>
      <w:r w:rsidR="00852015">
        <w:t xml:space="preserve"> is as follows:</w:t>
      </w:r>
      <w:r>
        <w:t xml:space="preserve"> </w:t>
      </w:r>
    </w:p>
    <w:p w:rsidR="00852015" w:rsidRPr="00852015" w:rsidRDefault="00852015" w:rsidP="00852015">
      <w:pPr>
        <w:rPr>
          <w:i/>
        </w:rPr>
      </w:pPr>
      <w:r w:rsidRPr="00852015">
        <w:rPr>
          <w:i/>
        </w:rPr>
        <w:t xml:space="preserve"> “The method used to calculate a dividend </w:t>
      </w:r>
      <w:r w:rsidR="002A2EA8" w:rsidRPr="00852015">
        <w:rPr>
          <w:i/>
        </w:rPr>
        <w:t>net</w:t>
      </w:r>
      <w:r w:rsidRPr="00852015">
        <w:rPr>
          <w:i/>
        </w:rPr>
        <w:t xml:space="preserve"> amount when both a withholding tax rate (TAXR) and second level tax rate (WITL) are provided in the event announcement message may be dependent upon local market practices. </w:t>
      </w:r>
    </w:p>
    <w:p w:rsidR="00852015" w:rsidRPr="00852015" w:rsidRDefault="00852015" w:rsidP="00852015">
      <w:pPr>
        <w:rPr>
          <w:i/>
        </w:rPr>
      </w:pPr>
      <w:r w:rsidRPr="00852015">
        <w:rPr>
          <w:i/>
        </w:rPr>
        <w:t>2 cases identified so far:</w:t>
      </w:r>
    </w:p>
    <w:p w:rsidR="00852015" w:rsidRPr="00852015" w:rsidRDefault="00852015" w:rsidP="00852015">
      <w:pPr>
        <w:pStyle w:val="ListParagraph"/>
        <w:numPr>
          <w:ilvl w:val="0"/>
          <w:numId w:val="36"/>
        </w:numPr>
        <w:spacing w:before="0" w:after="200" w:line="276" w:lineRule="auto"/>
        <w:contextualSpacing/>
        <w:rPr>
          <w:rFonts w:ascii="Times New Roman" w:hAnsi="Times New Roman"/>
          <w:i/>
          <w:sz w:val="24"/>
          <w:szCs w:val="24"/>
        </w:rPr>
      </w:pPr>
      <w:r w:rsidRPr="00852015">
        <w:rPr>
          <w:rFonts w:ascii="Times New Roman" w:hAnsi="Times New Roman"/>
          <w:i/>
          <w:sz w:val="24"/>
          <w:szCs w:val="24"/>
        </w:rPr>
        <w:lastRenderedPageBreak/>
        <w:t>the second level tax rate (WITL) applies only on the amount net of the withholding tax rate (TAXR) (i.e. the resulting amount after deduction of the withholding tax on the gross dividend amount).</w:t>
      </w:r>
    </w:p>
    <w:p w:rsidR="00852015" w:rsidRPr="00852015" w:rsidRDefault="00852015" w:rsidP="00852015">
      <w:pPr>
        <w:pStyle w:val="ListParagraph"/>
        <w:numPr>
          <w:ilvl w:val="0"/>
          <w:numId w:val="36"/>
        </w:numPr>
        <w:spacing w:before="0" w:after="200" w:line="276" w:lineRule="auto"/>
        <w:contextualSpacing/>
        <w:rPr>
          <w:rFonts w:ascii="Times New Roman" w:hAnsi="Times New Roman"/>
          <w:i/>
          <w:sz w:val="24"/>
          <w:szCs w:val="24"/>
        </w:rPr>
      </w:pPr>
      <w:r w:rsidRPr="00852015">
        <w:rPr>
          <w:rFonts w:ascii="Times New Roman" w:hAnsi="Times New Roman"/>
          <w:i/>
          <w:sz w:val="24"/>
          <w:szCs w:val="24"/>
        </w:rPr>
        <w:t>Both tax rates applied on the gross dividend amount”</w:t>
      </w:r>
    </w:p>
    <w:p w:rsidR="00E35E7F" w:rsidRDefault="00852015" w:rsidP="00852015">
      <w:pPr>
        <w:pStyle w:val="Decisions"/>
      </w:pPr>
      <w:r w:rsidRPr="0069152B">
        <w:rPr>
          <w:b/>
          <w:u w:val="single"/>
        </w:rPr>
        <w:t>Decision</w:t>
      </w:r>
      <w:r>
        <w:t xml:space="preserve">: The WG agrees with the </w:t>
      </w:r>
      <w:r w:rsidR="00E9074D">
        <w:t xml:space="preserve">above </w:t>
      </w:r>
      <w:r>
        <w:t xml:space="preserve">proposal to amend section 8.34; </w:t>
      </w:r>
    </w:p>
    <w:p w:rsidR="00852015" w:rsidRPr="001E1FF3" w:rsidRDefault="00852015" w:rsidP="00852015">
      <w:pPr>
        <w:pStyle w:val="Actions"/>
      </w:pPr>
      <w:r w:rsidRPr="00852015">
        <w:rPr>
          <w:b/>
          <w:u w:val="single"/>
        </w:rPr>
        <w:t>Action</w:t>
      </w:r>
      <w:r>
        <w:t xml:space="preserve">: </w:t>
      </w:r>
      <w:r w:rsidRPr="00852015">
        <w:rPr>
          <w:u w:val="single"/>
        </w:rPr>
        <w:t>Jacques</w:t>
      </w:r>
      <w:r w:rsidR="002F6FEE">
        <w:t xml:space="preserve"> to amend GMP1 accordingly and close the item.</w:t>
      </w:r>
    </w:p>
    <w:p w:rsidR="004E09D0" w:rsidRDefault="004E09D0" w:rsidP="004E09D0">
      <w:pPr>
        <w:pStyle w:val="Heading1"/>
      </w:pPr>
      <w:bookmarkStart w:id="63" w:name="_Toc482870678"/>
      <w:r>
        <w:t>CA371</w:t>
      </w:r>
      <w:r>
        <w:tab/>
      </w:r>
      <w:r w:rsidRPr="004E09D0">
        <w:t>CONB in PCAL &amp; DRAW</w:t>
      </w:r>
      <w:bookmarkEnd w:id="63"/>
    </w:p>
    <w:p w:rsidR="00EA502B" w:rsidRPr="00EA502B" w:rsidRDefault="00EA502B" w:rsidP="00EA502B">
      <w:pPr>
        <w:suppressAutoHyphens/>
        <w:spacing w:before="0" w:after="0" w:line="280" w:lineRule="atLeast"/>
        <w:contextualSpacing/>
      </w:pPr>
      <w:r w:rsidRPr="00EA502B">
        <w:t xml:space="preserve">Alexander </w:t>
      </w:r>
      <w:r>
        <w:t>introduces the open item explaining why he thinks the usage of the CONB balance in the MT566 is not fully clear in the GMP1 MP document (Section 6.5) for PCAL and DRAW. Is CONB related rather to ELIG or to PSTA ?</w:t>
      </w:r>
    </w:p>
    <w:bookmarkStart w:id="64" w:name="_MON_1556436013"/>
    <w:bookmarkEnd w:id="64"/>
    <w:p w:rsidR="004E09D0" w:rsidRDefault="008C76CD" w:rsidP="00467834">
      <w:pPr>
        <w:suppressAutoHyphens/>
        <w:spacing w:before="0" w:after="0" w:line="280" w:lineRule="atLeast"/>
        <w:contextualSpacing/>
        <w:rPr>
          <w:b/>
        </w:rPr>
      </w:pPr>
      <w:r>
        <w:rPr>
          <w:b/>
        </w:rPr>
        <w:object w:dxaOrig="1551" w:dyaOrig="991">
          <v:shape id="_x0000_i1044" type="#_x0000_t75" style="width:77.25pt;height:49.5pt" o:ole="">
            <v:imagedata r:id="rId54" o:title=""/>
          </v:shape>
          <o:OLEObject Type="Embed" ProgID="Word.Document.12" ShapeID="_x0000_i1044" DrawAspect="Icon" ObjectID="_1558364474" r:id="rId55">
            <o:FieldCodes>\s</o:FieldCodes>
          </o:OLEObject>
        </w:object>
      </w:r>
    </w:p>
    <w:p w:rsidR="004E09D0" w:rsidRPr="00EA502B" w:rsidRDefault="00EA502B" w:rsidP="00467834">
      <w:pPr>
        <w:suppressAutoHyphens/>
        <w:spacing w:before="0" w:after="0" w:line="280" w:lineRule="atLeast"/>
        <w:contextualSpacing/>
      </w:pPr>
      <w:r w:rsidRPr="00EA502B">
        <w:t xml:space="preserve">The </w:t>
      </w:r>
      <w:r>
        <w:t xml:space="preserve">WG confirms that for PCAL, the CONB </w:t>
      </w:r>
      <w:r w:rsidR="008A4A96">
        <w:t xml:space="preserve">balance </w:t>
      </w:r>
      <w:r>
        <w:t xml:space="preserve">should </w:t>
      </w:r>
      <w:r w:rsidR="008A4A96">
        <w:t xml:space="preserve">always </w:t>
      </w:r>
      <w:r>
        <w:t xml:space="preserve">be equal to </w:t>
      </w:r>
      <w:r w:rsidR="008A4A96">
        <w:t>the ELIG balance whilst for a DRAW there is a special MP using AFFB balance.</w:t>
      </w:r>
    </w:p>
    <w:p w:rsidR="00EA502B" w:rsidRPr="00EA502B" w:rsidRDefault="008A4A96" w:rsidP="00467834">
      <w:pPr>
        <w:suppressAutoHyphens/>
        <w:spacing w:before="0" w:after="0" w:line="280" w:lineRule="atLeast"/>
        <w:contextualSpacing/>
      </w:pPr>
      <w:r>
        <w:t>The WG agrees that the existing MP might need to be reviewed so as to be clearer.</w:t>
      </w:r>
    </w:p>
    <w:p w:rsidR="004E09D0" w:rsidRPr="00EA502B" w:rsidRDefault="008A4A96" w:rsidP="008A4A96">
      <w:pPr>
        <w:pStyle w:val="Actions"/>
      </w:pPr>
      <w:r w:rsidRPr="008A4A96">
        <w:rPr>
          <w:b/>
          <w:u w:val="single"/>
        </w:rPr>
        <w:t>Action</w:t>
      </w:r>
      <w:r>
        <w:t xml:space="preserve">: </w:t>
      </w:r>
      <w:r w:rsidRPr="008A4A96">
        <w:rPr>
          <w:u w:val="single"/>
        </w:rPr>
        <w:t>Alexandre</w:t>
      </w:r>
      <w:r>
        <w:t xml:space="preserve"> to propose a reviewed text for the existing MP 6.5. </w:t>
      </w:r>
    </w:p>
    <w:p w:rsidR="00C54B12" w:rsidRDefault="00631E1C" w:rsidP="00631E1C">
      <w:pPr>
        <w:pStyle w:val="Heading1"/>
      </w:pPr>
      <w:bookmarkStart w:id="65" w:name="_Toc482870679"/>
      <w:r>
        <w:t>AOB</w:t>
      </w:r>
      <w:bookmarkEnd w:id="65"/>
    </w:p>
    <w:p w:rsidR="00C54B12" w:rsidRPr="00143272" w:rsidRDefault="00631E1C" w:rsidP="009003E1">
      <w:pPr>
        <w:pStyle w:val="ListParagraph"/>
        <w:numPr>
          <w:ilvl w:val="0"/>
          <w:numId w:val="38"/>
        </w:numPr>
        <w:spacing w:before="240" w:line="276" w:lineRule="auto"/>
        <w:ind w:left="357" w:hanging="357"/>
        <w:contextualSpacing/>
        <w:rPr>
          <w:b/>
        </w:rPr>
      </w:pPr>
      <w:r w:rsidRPr="00143272">
        <w:rPr>
          <w:b/>
        </w:rPr>
        <w:t>Spring Election of co-C</w:t>
      </w:r>
      <w:r w:rsidR="00C54B12" w:rsidRPr="00143272">
        <w:rPr>
          <w:b/>
        </w:rPr>
        <w:t>hair</w:t>
      </w:r>
    </w:p>
    <w:p w:rsidR="00C54B12" w:rsidRDefault="00C54B12" w:rsidP="00C54B12">
      <w:r>
        <w:t>Bernard is re-elected as CA WG co-chair by acclamation</w:t>
      </w:r>
      <w:r w:rsidRPr="00C54B12">
        <w:t xml:space="preserve"> </w:t>
      </w:r>
      <w:r>
        <w:t>for a period of 2 years (until Spring 2019).</w:t>
      </w:r>
    </w:p>
    <w:p w:rsidR="00631E1C" w:rsidRPr="00143272" w:rsidRDefault="00631E1C" w:rsidP="009003E1">
      <w:pPr>
        <w:pStyle w:val="ListParagraph"/>
        <w:numPr>
          <w:ilvl w:val="0"/>
          <w:numId w:val="38"/>
        </w:numPr>
        <w:spacing w:before="240" w:line="276" w:lineRule="auto"/>
        <w:ind w:left="357" w:hanging="357"/>
        <w:contextualSpacing/>
        <w:rPr>
          <w:b/>
        </w:rPr>
      </w:pPr>
      <w:r w:rsidRPr="00143272">
        <w:rPr>
          <w:b/>
        </w:rPr>
        <w:t>Representation of CA at the SMPG</w:t>
      </w:r>
    </w:p>
    <w:p w:rsidR="00631E1C" w:rsidRDefault="00631E1C" w:rsidP="00467834">
      <w:pPr>
        <w:suppressAutoHyphens/>
        <w:spacing w:before="0" w:after="0" w:line="280" w:lineRule="atLeast"/>
        <w:contextualSpacing/>
      </w:pPr>
      <w:r w:rsidRPr="00631E1C">
        <w:t xml:space="preserve">It seems that we have lost contact </w:t>
      </w:r>
      <w:r w:rsidR="00E9074D">
        <w:t xml:space="preserve">with the Canadian </w:t>
      </w:r>
      <w:r>
        <w:t xml:space="preserve">representatives at the SMPG. </w:t>
      </w:r>
    </w:p>
    <w:p w:rsidR="00C54B12" w:rsidRDefault="00631E1C" w:rsidP="00631E1C">
      <w:pPr>
        <w:pStyle w:val="Actions"/>
      </w:pPr>
      <w:r w:rsidRPr="00631E1C">
        <w:rPr>
          <w:b/>
          <w:u w:val="single"/>
        </w:rPr>
        <w:t>Action</w:t>
      </w:r>
      <w:r>
        <w:rPr>
          <w:u w:val="single"/>
        </w:rPr>
        <w:t xml:space="preserve">: </w:t>
      </w:r>
      <w:r>
        <w:t xml:space="preserve"> </w:t>
      </w:r>
      <w:r w:rsidRPr="00631E1C">
        <w:rPr>
          <w:u w:val="single"/>
        </w:rPr>
        <w:t>V</w:t>
      </w:r>
      <w:r>
        <w:rPr>
          <w:u w:val="single"/>
        </w:rPr>
        <w:t>é</w:t>
      </w:r>
      <w:r w:rsidRPr="00631E1C">
        <w:rPr>
          <w:u w:val="single"/>
        </w:rPr>
        <w:t>ronique</w:t>
      </w:r>
      <w:r>
        <w:t xml:space="preserve"> to look for / provide </w:t>
      </w:r>
      <w:r w:rsidR="00E9074D">
        <w:t xml:space="preserve">possible </w:t>
      </w:r>
      <w:r>
        <w:t>contacts in Canada.</w:t>
      </w:r>
    </w:p>
    <w:p w:rsidR="00631E1C" w:rsidRDefault="00852015" w:rsidP="009003E1">
      <w:pPr>
        <w:pStyle w:val="ListParagraph"/>
        <w:numPr>
          <w:ilvl w:val="0"/>
          <w:numId w:val="38"/>
        </w:numPr>
        <w:spacing w:before="240" w:line="276" w:lineRule="auto"/>
        <w:ind w:left="357" w:hanging="357"/>
        <w:contextualSpacing/>
        <w:rPr>
          <w:b/>
        </w:rPr>
      </w:pPr>
      <w:r w:rsidRPr="00852015">
        <w:rPr>
          <w:b/>
        </w:rPr>
        <w:t xml:space="preserve">WG Chair’s Proposal to Shorten </w:t>
      </w:r>
      <w:r>
        <w:rPr>
          <w:b/>
        </w:rPr>
        <w:t xml:space="preserve">Global </w:t>
      </w:r>
      <w:r w:rsidRPr="00852015">
        <w:rPr>
          <w:b/>
        </w:rPr>
        <w:t>SMPG meetings to 2 days iso 2½  days</w:t>
      </w:r>
    </w:p>
    <w:p w:rsidR="00143272" w:rsidRDefault="00852015" w:rsidP="00852015">
      <w:r>
        <w:t xml:space="preserve">Christine and Bernard would like to get feedback on the idea to eventually shorten the SMPG meetings so that it only takes 2 days </w:t>
      </w:r>
      <w:r w:rsidR="00143272">
        <w:t xml:space="preserve">iso 3 by for instance shortening the plenary meeting which would be limited to the strict minimum (voting for elections or by-laws) as plenary presentations are often not bringing new market information that is not already known by other means. </w:t>
      </w:r>
    </w:p>
    <w:p w:rsidR="00852015" w:rsidRDefault="00143272" w:rsidP="00852015">
      <w:r w:rsidRPr="00143272">
        <w:rPr>
          <w:u w:val="single"/>
        </w:rPr>
        <w:t>Feedback</w:t>
      </w:r>
      <w:r>
        <w:t xml:space="preserve">: </w:t>
      </w:r>
      <w:r w:rsidR="00852015">
        <w:t xml:space="preserve">Various views raised but non-conclusive </w:t>
      </w:r>
      <w:r>
        <w:t xml:space="preserve">at this stage </w:t>
      </w:r>
      <w:r w:rsidR="00852015">
        <w:t xml:space="preserve">as this may depend a lot </w:t>
      </w:r>
      <w:r w:rsidR="00E9074D">
        <w:t xml:space="preserve">on the </w:t>
      </w:r>
      <w:r>
        <w:t xml:space="preserve">contents of the </w:t>
      </w:r>
      <w:r w:rsidR="00E9074D">
        <w:t xml:space="preserve">WG </w:t>
      </w:r>
      <w:r>
        <w:t xml:space="preserve">agenda, </w:t>
      </w:r>
      <w:r w:rsidR="00852015">
        <w:t>meeting location and flights connections available</w:t>
      </w:r>
      <w:r>
        <w:t>.</w:t>
      </w:r>
    </w:p>
    <w:p w:rsidR="00143272" w:rsidRDefault="00143272" w:rsidP="00852015">
      <w:r>
        <w:t>Paola proposes to raise the quest</w:t>
      </w:r>
      <w:r w:rsidR="00E9074D">
        <w:t>ion at the next SMPG SC meeting so as to have the SC feedback on the proposal.</w:t>
      </w:r>
    </w:p>
    <w:p w:rsidR="00143272" w:rsidRPr="00143272" w:rsidRDefault="00143272" w:rsidP="009003E1">
      <w:pPr>
        <w:pStyle w:val="ListParagraph"/>
        <w:numPr>
          <w:ilvl w:val="0"/>
          <w:numId w:val="38"/>
        </w:numPr>
        <w:spacing w:before="240" w:line="276" w:lineRule="auto"/>
        <w:ind w:left="357" w:hanging="357"/>
        <w:contextualSpacing/>
        <w:rPr>
          <w:b/>
        </w:rPr>
      </w:pPr>
      <w:r>
        <w:rPr>
          <w:b/>
        </w:rPr>
        <w:t>Reporting  I</w:t>
      </w:r>
      <w:r w:rsidRPr="00143272">
        <w:rPr>
          <w:b/>
        </w:rPr>
        <w:t xml:space="preserve">ssue </w:t>
      </w:r>
      <w:r>
        <w:rPr>
          <w:b/>
        </w:rPr>
        <w:t>in CH with R</w:t>
      </w:r>
      <w:r w:rsidRPr="00143272">
        <w:rPr>
          <w:b/>
        </w:rPr>
        <w:t xml:space="preserve">everse </w:t>
      </w:r>
      <w:r>
        <w:rPr>
          <w:b/>
        </w:rPr>
        <w:t>M</w:t>
      </w:r>
      <w:r w:rsidRPr="00143272">
        <w:rPr>
          <w:b/>
        </w:rPr>
        <w:t xml:space="preserve">arket </w:t>
      </w:r>
      <w:r>
        <w:rPr>
          <w:b/>
        </w:rPr>
        <w:t>C</w:t>
      </w:r>
      <w:r w:rsidRPr="00143272">
        <w:rPr>
          <w:b/>
        </w:rPr>
        <w:t>laims</w:t>
      </w:r>
      <w:r w:rsidR="009003E1">
        <w:rPr>
          <w:b/>
        </w:rPr>
        <w:t xml:space="preserve"> (Mike)</w:t>
      </w:r>
    </w:p>
    <w:p w:rsidR="00143272" w:rsidRDefault="00143272" w:rsidP="00143272">
      <w:r>
        <w:t>Most Swiss banks have legacy systems, only communicating with CSD for reverse market claims, not market claims. Client reporting is different for market claims and reverse market claims.</w:t>
      </w:r>
    </w:p>
    <w:p w:rsidR="00143272" w:rsidRDefault="00143272" w:rsidP="00143272">
      <w:pPr>
        <w:pStyle w:val="Actions"/>
      </w:pPr>
      <w:r w:rsidRPr="00143272">
        <w:rPr>
          <w:b/>
          <w:u w:val="single"/>
        </w:rPr>
        <w:t>Action</w:t>
      </w:r>
      <w:r>
        <w:rPr>
          <w:b/>
        </w:rPr>
        <w:t xml:space="preserve">: </w:t>
      </w:r>
      <w:r>
        <w:t>New open item to be created for further discussion</w:t>
      </w:r>
    </w:p>
    <w:p w:rsidR="009003E1" w:rsidRPr="009003E1" w:rsidRDefault="009003E1" w:rsidP="00BD0F64">
      <w:pPr>
        <w:pStyle w:val="ListParagraph"/>
        <w:numPr>
          <w:ilvl w:val="0"/>
          <w:numId w:val="38"/>
        </w:numPr>
        <w:spacing w:before="240" w:line="276" w:lineRule="auto"/>
        <w:ind w:left="357" w:hanging="357"/>
        <w:contextualSpacing/>
        <w:rPr>
          <w:b/>
        </w:rPr>
      </w:pPr>
      <w:r>
        <w:rPr>
          <w:b/>
        </w:rPr>
        <w:lastRenderedPageBreak/>
        <w:t>Usage of COIN in ZA (Sanjeev)</w:t>
      </w:r>
    </w:p>
    <w:p w:rsidR="009003E1" w:rsidRDefault="009003E1" w:rsidP="009003E1">
      <w:r>
        <w:t>ZA would like to use uses COIN to say that a dividend is coming from a foreign issuer, and give the issuer’s country code. However, the definition does not include this usage.  ZA would like the SMPG to support ZA local market practice to identify COIN as where the dividend is actually paid from.</w:t>
      </w:r>
    </w:p>
    <w:p w:rsidR="00AB36CF" w:rsidRPr="009003E1" w:rsidRDefault="00AB36CF" w:rsidP="00AB36CF">
      <w:r>
        <w:t>Z</w:t>
      </w:r>
      <w:r w:rsidRPr="009003E1">
        <w:t xml:space="preserve">A </w:t>
      </w:r>
      <w:r>
        <w:t xml:space="preserve">Tax </w:t>
      </w:r>
      <w:r w:rsidRPr="009003E1">
        <w:t>Authoriti</w:t>
      </w:r>
      <w:r>
        <w:t xml:space="preserve">es requires to separate local from </w:t>
      </w:r>
      <w:r w:rsidRPr="009003E1">
        <w:t>foreign dividends. TAXR / WITL seem to answer this need but if the country is needed precisely, we are back to the previous discussion when we were thinking about adding a country code to TAXR.</w:t>
      </w:r>
    </w:p>
    <w:p w:rsidR="009003E1" w:rsidRPr="009003E1" w:rsidRDefault="009003E1" w:rsidP="009003E1">
      <w:r w:rsidRPr="009003E1">
        <w:t xml:space="preserve">The </w:t>
      </w:r>
      <w:r w:rsidR="00AB36CF">
        <w:t>Z</w:t>
      </w:r>
      <w:r w:rsidRPr="009003E1">
        <w:t>A case looks rather as a misuse of the original need.</w:t>
      </w:r>
    </w:p>
    <w:p w:rsidR="009003E1" w:rsidRPr="009003E1" w:rsidRDefault="009003E1" w:rsidP="009003E1">
      <w:r w:rsidRPr="009003E1">
        <w:t>In such a case, a Change Request appears better than a misuse of COIN</w:t>
      </w:r>
      <w:r w:rsidR="002F6FEE">
        <w:t>.</w:t>
      </w:r>
    </w:p>
    <w:p w:rsidR="009003E1" w:rsidRDefault="009003E1" w:rsidP="009003E1">
      <w:pPr>
        <w:pStyle w:val="Actions"/>
      </w:pPr>
      <w:r w:rsidRPr="009003E1">
        <w:rPr>
          <w:b/>
          <w:u w:val="single"/>
        </w:rPr>
        <w:t>Action</w:t>
      </w:r>
      <w:r>
        <w:rPr>
          <w:b/>
        </w:rPr>
        <w:t xml:space="preserve">: </w:t>
      </w:r>
      <w:r w:rsidRPr="009003E1">
        <w:rPr>
          <w:u w:val="single"/>
        </w:rPr>
        <w:t>Sanjeev</w:t>
      </w:r>
      <w:r w:rsidRPr="009003E1">
        <w:t xml:space="preserve"> to</w:t>
      </w:r>
      <w:r>
        <w:t xml:space="preserve"> raise a business case for consideration by the Tax Sub-Group.</w:t>
      </w:r>
    </w:p>
    <w:p w:rsidR="00BD0F64" w:rsidRDefault="00BD0F64" w:rsidP="00BD0F64">
      <w:pPr>
        <w:pStyle w:val="ListParagraph"/>
        <w:numPr>
          <w:ilvl w:val="0"/>
          <w:numId w:val="38"/>
        </w:numPr>
        <w:spacing w:before="240" w:line="276" w:lineRule="auto"/>
        <w:ind w:left="357" w:hanging="357"/>
        <w:contextualSpacing/>
        <w:rPr>
          <w:b/>
        </w:rPr>
      </w:pPr>
      <w:r>
        <w:rPr>
          <w:b/>
        </w:rPr>
        <w:t>Armin’s Proposal for a Common Securities Regulation Session at next SMPG Meeting in LUX</w:t>
      </w:r>
    </w:p>
    <w:p w:rsidR="00BD0F64" w:rsidRDefault="00BD0F64" w:rsidP="00BD0F64">
      <w:r w:rsidRPr="00BD0F64">
        <w:t xml:space="preserve">Armin Borries </w:t>
      </w:r>
      <w:r>
        <w:t>joined for 15</w:t>
      </w:r>
      <w:r w:rsidRPr="00BD0F64">
        <w:t xml:space="preserve"> minutes the </w:t>
      </w:r>
      <w:r>
        <w:t>CA WG and proposed to organise a half day common session at next meeting in Luxembourg on the several securities regulations (EMIR, OFAC, etc…) and therefore extend the general session to one full day.</w:t>
      </w:r>
      <w:r w:rsidR="007E1480">
        <w:t xml:space="preserve"> We could then invite regulation experts in the field.</w:t>
      </w:r>
    </w:p>
    <w:p w:rsidR="00BD0F64" w:rsidRPr="00BD0F64" w:rsidRDefault="007E1480" w:rsidP="007E1480">
      <w:r>
        <w:t>The CA WG note that it</w:t>
      </w:r>
      <w:r w:rsidR="00BD0F64" w:rsidRPr="00BD0F64">
        <w:t xml:space="preserve"> would need to be relevant to Market Practice and be in a working group format rather than </w:t>
      </w:r>
      <w:r>
        <w:t xml:space="preserve">simply </w:t>
      </w:r>
      <w:r w:rsidR="00BD0F64" w:rsidRPr="00BD0F64">
        <w:t>presentations.</w:t>
      </w:r>
      <w:r>
        <w:t xml:space="preserve"> The CA WG thinks that it needs to be further discussed before deciding.</w:t>
      </w:r>
    </w:p>
    <w:p w:rsidR="00BD0F64" w:rsidRPr="007E1480" w:rsidRDefault="007E1480" w:rsidP="00BD0F64">
      <w:pPr>
        <w:spacing w:before="240" w:line="276" w:lineRule="auto"/>
        <w:contextualSpacing/>
        <w:rPr>
          <w:b/>
          <w:color w:val="FF0000"/>
          <w:u w:val="single"/>
        </w:rPr>
      </w:pPr>
      <w:r w:rsidRPr="007E1480">
        <w:rPr>
          <w:b/>
          <w:color w:val="FF0000"/>
          <w:u w:val="single"/>
        </w:rPr>
        <w:t xml:space="preserve">Action: </w:t>
      </w:r>
      <w:r w:rsidRPr="007E1480">
        <w:rPr>
          <w:color w:val="FF0000"/>
          <w:u w:val="single"/>
        </w:rPr>
        <w:t>Armin</w:t>
      </w:r>
      <w:r w:rsidRPr="007E1480">
        <w:rPr>
          <w:color w:val="FF0000"/>
        </w:rPr>
        <w:t xml:space="preserve"> to </w:t>
      </w:r>
      <w:r>
        <w:rPr>
          <w:color w:val="FF0000"/>
        </w:rPr>
        <w:t xml:space="preserve">first </w:t>
      </w:r>
      <w:r w:rsidRPr="007E1480">
        <w:rPr>
          <w:color w:val="FF0000"/>
        </w:rPr>
        <w:t>clarify the proposal (topics, speakers etc…) before the CA WG can make a decision</w:t>
      </w:r>
      <w:r>
        <w:rPr>
          <w:color w:val="FF0000"/>
        </w:rPr>
        <w:t xml:space="preserve"> about it</w:t>
      </w:r>
      <w:r w:rsidRPr="007E1480">
        <w:rPr>
          <w:color w:val="FF0000"/>
        </w:rPr>
        <w:t>.</w:t>
      </w:r>
    </w:p>
    <w:p w:rsidR="004E09D0" w:rsidRDefault="004E09D0" w:rsidP="00467834">
      <w:pPr>
        <w:suppressAutoHyphens/>
        <w:spacing w:before="0" w:after="0" w:line="280" w:lineRule="atLeast"/>
        <w:contextualSpacing/>
        <w:rPr>
          <w:b/>
        </w:rPr>
      </w:pPr>
    </w:p>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56"/>
      <w:headerReference w:type="default" r:id="rId57"/>
      <w:headerReference w:type="first" r:id="rId58"/>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8DF" w:rsidRDefault="008948DF" w:rsidP="00592037">
      <w:r>
        <w:separator/>
      </w:r>
    </w:p>
    <w:p w:rsidR="008948DF" w:rsidRDefault="008948DF" w:rsidP="00592037"/>
  </w:endnote>
  <w:endnote w:type="continuationSeparator" w:id="0">
    <w:p w:rsidR="008948DF" w:rsidRDefault="008948DF" w:rsidP="00592037">
      <w:r>
        <w:continuationSeparator/>
      </w:r>
    </w:p>
    <w:p w:rsidR="008948DF" w:rsidRDefault="008948DF"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8DF" w:rsidRDefault="008948DF"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948DF" w:rsidRDefault="008948DF"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8DF" w:rsidRPr="00C40CE5" w:rsidRDefault="008948DF"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D45915">
      <w:rPr>
        <w:noProof/>
        <w:sz w:val="16"/>
        <w:szCs w:val="16"/>
        <w:lang w:val="sv-SE"/>
      </w:rPr>
      <w:t>Dublin_Apr2017_CA_FINAL_Minutes_v1_0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D45915">
      <w:rPr>
        <w:noProof/>
        <w:lang w:val="en-GB"/>
      </w:rPr>
      <w:t>1</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741" w:rsidRDefault="00945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8DF" w:rsidRDefault="008948DF" w:rsidP="00592037">
      <w:r>
        <w:separator/>
      </w:r>
    </w:p>
    <w:p w:rsidR="008948DF" w:rsidRDefault="008948DF" w:rsidP="00592037"/>
  </w:footnote>
  <w:footnote w:type="continuationSeparator" w:id="0">
    <w:p w:rsidR="008948DF" w:rsidRDefault="008948DF" w:rsidP="00592037">
      <w:r>
        <w:continuationSeparator/>
      </w:r>
    </w:p>
    <w:p w:rsidR="008948DF" w:rsidRDefault="008948DF"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741" w:rsidRDefault="009457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8DF" w:rsidRDefault="008948DF"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741" w:rsidRDefault="0094574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8DF" w:rsidRDefault="008948DF"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8DF" w:rsidRPr="00284B42" w:rsidRDefault="008948DF"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4065381</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Dublin Meeting Minutes – 26 – 28 April 2017</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8DF" w:rsidRDefault="008948DF"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C2441"/>
    <w:multiLevelType w:val="hybridMultilevel"/>
    <w:tmpl w:val="022A7FB4"/>
    <w:lvl w:ilvl="0" w:tplc="458C7AE0">
      <w:start w:val="1"/>
      <w:numFmt w:val="decimal"/>
      <w:lvlText w:val="%1."/>
      <w:lvlJc w:val="left"/>
      <w:pPr>
        <w:ind w:left="720" w:hanging="360"/>
      </w:pPr>
      <w:rPr>
        <w:rFonts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2E6218"/>
    <w:multiLevelType w:val="hybridMultilevel"/>
    <w:tmpl w:val="F4B2EC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E3F3B18"/>
    <w:multiLevelType w:val="hybridMultilevel"/>
    <w:tmpl w:val="690A3C5E"/>
    <w:lvl w:ilvl="0" w:tplc="743490D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91E32"/>
    <w:multiLevelType w:val="hybridMultilevel"/>
    <w:tmpl w:val="3BBC2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22B3654"/>
    <w:multiLevelType w:val="hybridMultilevel"/>
    <w:tmpl w:val="4D0ADB88"/>
    <w:lvl w:ilvl="0" w:tplc="62224CC4">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59F2BAF"/>
    <w:multiLevelType w:val="hybridMultilevel"/>
    <w:tmpl w:val="DAF46C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E0C5122"/>
    <w:multiLevelType w:val="hybridMultilevel"/>
    <w:tmpl w:val="2408A534"/>
    <w:lvl w:ilvl="0" w:tplc="7BA29C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E05081"/>
    <w:multiLevelType w:val="hybridMultilevel"/>
    <w:tmpl w:val="3DB6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704135"/>
    <w:multiLevelType w:val="hybridMultilevel"/>
    <w:tmpl w:val="9C4C8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7D3485A"/>
    <w:multiLevelType w:val="hybridMultilevel"/>
    <w:tmpl w:val="346A31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4">
    <w:nsid w:val="3E57438F"/>
    <w:multiLevelType w:val="hybridMultilevel"/>
    <w:tmpl w:val="14FA40BE"/>
    <w:lvl w:ilvl="0" w:tplc="98AC6D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2B2D98"/>
    <w:multiLevelType w:val="hybridMultilevel"/>
    <w:tmpl w:val="B08C6E3A"/>
    <w:lvl w:ilvl="0" w:tplc="E9F85A8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1E5096"/>
    <w:multiLevelType w:val="hybridMultilevel"/>
    <w:tmpl w:val="F208B9FA"/>
    <w:lvl w:ilvl="0" w:tplc="F2B47CB6">
      <w:start w:val="1"/>
      <w:numFmt w:val="decimal"/>
      <w:lvlText w:val="%1."/>
      <w:lvlJc w:val="left"/>
      <w:pPr>
        <w:ind w:left="360" w:hanging="360"/>
      </w:pPr>
      <w:rPr>
        <w:rFonts w:hint="default"/>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055067C"/>
    <w:multiLevelType w:val="hybridMultilevel"/>
    <w:tmpl w:val="D4D44514"/>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155303"/>
    <w:multiLevelType w:val="hybridMultilevel"/>
    <w:tmpl w:val="516292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nsid w:val="5A750AEC"/>
    <w:multiLevelType w:val="hybridMultilevel"/>
    <w:tmpl w:val="CCB49A6A"/>
    <w:lvl w:ilvl="0" w:tplc="D362D2D4">
      <w:start w:val="28"/>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D42664D"/>
    <w:multiLevelType w:val="hybridMultilevel"/>
    <w:tmpl w:val="0A6899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5E5F36E4"/>
    <w:multiLevelType w:val="hybridMultilevel"/>
    <w:tmpl w:val="2824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1862140"/>
    <w:multiLevelType w:val="hybridMultilevel"/>
    <w:tmpl w:val="F822EC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68F5119"/>
    <w:multiLevelType w:val="hybridMultilevel"/>
    <w:tmpl w:val="E9002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72F48EA"/>
    <w:multiLevelType w:val="hybridMultilevel"/>
    <w:tmpl w:val="0FACA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BC0242"/>
    <w:multiLevelType w:val="hybridMultilevel"/>
    <w:tmpl w:val="AAC23F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6DEF26B8"/>
    <w:multiLevelType w:val="hybridMultilevel"/>
    <w:tmpl w:val="6826F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4">
    <w:nsid w:val="7DD81C5F"/>
    <w:multiLevelType w:val="hybridMultilevel"/>
    <w:tmpl w:val="B8FAF0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0"/>
  </w:num>
  <w:num w:numId="3">
    <w:abstractNumId w:val="13"/>
  </w:num>
  <w:num w:numId="4">
    <w:abstractNumId w:val="7"/>
  </w:num>
  <w:num w:numId="5">
    <w:abstractNumId w:val="3"/>
  </w:num>
  <w:num w:numId="6">
    <w:abstractNumId w:val="29"/>
  </w:num>
  <w:num w:numId="7">
    <w:abstractNumId w:val="25"/>
  </w:num>
  <w:num w:numId="8">
    <w:abstractNumId w:val="19"/>
  </w:num>
  <w:num w:numId="9">
    <w:abstractNumId w:val="35"/>
  </w:num>
  <w:num w:numId="10">
    <w:abstractNumId w:val="12"/>
  </w:num>
  <w:num w:numId="11">
    <w:abstractNumId w:val="31"/>
  </w:num>
  <w:num w:numId="12">
    <w:abstractNumId w:val="15"/>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7"/>
  </w:num>
  <w:num w:numId="16">
    <w:abstractNumId w:val="8"/>
  </w:num>
  <w:num w:numId="17">
    <w:abstractNumId w:val="1"/>
  </w:num>
  <w:num w:numId="18">
    <w:abstractNumId w:val="22"/>
  </w:num>
  <w:num w:numId="19">
    <w:abstractNumId w:val="10"/>
  </w:num>
  <w:num w:numId="20">
    <w:abstractNumId w:val="28"/>
  </w:num>
  <w:num w:numId="21">
    <w:abstractNumId w:val="5"/>
  </w:num>
  <w:num w:numId="22">
    <w:abstractNumId w:val="4"/>
  </w:num>
  <w:num w:numId="23">
    <w:abstractNumId w:val="34"/>
  </w:num>
  <w:num w:numId="24">
    <w:abstractNumId w:val="6"/>
  </w:num>
  <w:num w:numId="25">
    <w:abstractNumId w:val="24"/>
  </w:num>
  <w:num w:numId="26">
    <w:abstractNumId w:val="9"/>
  </w:num>
  <w:num w:numId="27">
    <w:abstractNumId w:val="4"/>
  </w:num>
  <w:num w:numId="28">
    <w:abstractNumId w:val="11"/>
  </w:num>
  <w:num w:numId="29">
    <w:abstractNumId w:val="30"/>
  </w:num>
  <w:num w:numId="30">
    <w:abstractNumId w:val="26"/>
  </w:num>
  <w:num w:numId="31">
    <w:abstractNumId w:val="14"/>
  </w:num>
  <w:num w:numId="32">
    <w:abstractNumId w:val="20"/>
  </w:num>
  <w:num w:numId="33">
    <w:abstractNumId w:val="4"/>
  </w:num>
  <w:num w:numId="34">
    <w:abstractNumId w:val="2"/>
  </w:num>
  <w:num w:numId="35">
    <w:abstractNumId w:val="17"/>
  </w:num>
  <w:num w:numId="36">
    <w:abstractNumId w:val="1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2"/>
  </w:num>
  <w:num w:numId="40">
    <w:abstractNumId w:val="12"/>
  </w:num>
  <w:num w:numId="41">
    <w:abstractNumId w:val="12"/>
  </w:num>
  <w:num w:numId="42">
    <w:abstractNumId w:val="12"/>
  </w:num>
  <w:num w:numId="43">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241A"/>
    <w:rsid w:val="00002D65"/>
    <w:rsid w:val="00003BDD"/>
    <w:rsid w:val="00003F28"/>
    <w:rsid w:val="00004F11"/>
    <w:rsid w:val="000051B3"/>
    <w:rsid w:val="00005A1F"/>
    <w:rsid w:val="00005B96"/>
    <w:rsid w:val="0000748A"/>
    <w:rsid w:val="0001004E"/>
    <w:rsid w:val="00010813"/>
    <w:rsid w:val="00010AB6"/>
    <w:rsid w:val="000136C5"/>
    <w:rsid w:val="000142B1"/>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C6"/>
    <w:rsid w:val="000312DB"/>
    <w:rsid w:val="000316DB"/>
    <w:rsid w:val="000320E1"/>
    <w:rsid w:val="00034CFD"/>
    <w:rsid w:val="0003564A"/>
    <w:rsid w:val="000357FF"/>
    <w:rsid w:val="00037351"/>
    <w:rsid w:val="00040918"/>
    <w:rsid w:val="000410CD"/>
    <w:rsid w:val="00043D75"/>
    <w:rsid w:val="00044226"/>
    <w:rsid w:val="00044679"/>
    <w:rsid w:val="00044AD0"/>
    <w:rsid w:val="00046B58"/>
    <w:rsid w:val="00046E03"/>
    <w:rsid w:val="00047614"/>
    <w:rsid w:val="00047EB2"/>
    <w:rsid w:val="000516D6"/>
    <w:rsid w:val="000528FE"/>
    <w:rsid w:val="00052FE4"/>
    <w:rsid w:val="0005309A"/>
    <w:rsid w:val="000530AA"/>
    <w:rsid w:val="000556AD"/>
    <w:rsid w:val="00055BD5"/>
    <w:rsid w:val="00056990"/>
    <w:rsid w:val="00057A3B"/>
    <w:rsid w:val="00057AD3"/>
    <w:rsid w:val="00057B4E"/>
    <w:rsid w:val="0006008A"/>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91A"/>
    <w:rsid w:val="000729A3"/>
    <w:rsid w:val="00072DAB"/>
    <w:rsid w:val="000739DF"/>
    <w:rsid w:val="00073E98"/>
    <w:rsid w:val="000745EC"/>
    <w:rsid w:val="0007524A"/>
    <w:rsid w:val="00075326"/>
    <w:rsid w:val="00075D3E"/>
    <w:rsid w:val="00076110"/>
    <w:rsid w:val="00076786"/>
    <w:rsid w:val="000768FB"/>
    <w:rsid w:val="00081263"/>
    <w:rsid w:val="00081965"/>
    <w:rsid w:val="000822F7"/>
    <w:rsid w:val="00082FA1"/>
    <w:rsid w:val="00086E1B"/>
    <w:rsid w:val="00087328"/>
    <w:rsid w:val="0008767E"/>
    <w:rsid w:val="0009050D"/>
    <w:rsid w:val="000910EF"/>
    <w:rsid w:val="00092790"/>
    <w:rsid w:val="0009483B"/>
    <w:rsid w:val="00095B6F"/>
    <w:rsid w:val="00095ECB"/>
    <w:rsid w:val="00096171"/>
    <w:rsid w:val="00096810"/>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867"/>
    <w:rsid w:val="000A4E72"/>
    <w:rsid w:val="000A4F55"/>
    <w:rsid w:val="000A5606"/>
    <w:rsid w:val="000A641E"/>
    <w:rsid w:val="000A785A"/>
    <w:rsid w:val="000A7B3B"/>
    <w:rsid w:val="000B03EB"/>
    <w:rsid w:val="000B0679"/>
    <w:rsid w:val="000B1331"/>
    <w:rsid w:val="000B13A8"/>
    <w:rsid w:val="000B1811"/>
    <w:rsid w:val="000B1929"/>
    <w:rsid w:val="000B1B66"/>
    <w:rsid w:val="000B4025"/>
    <w:rsid w:val="000B557A"/>
    <w:rsid w:val="000B5831"/>
    <w:rsid w:val="000B5DFD"/>
    <w:rsid w:val="000B62B8"/>
    <w:rsid w:val="000B7094"/>
    <w:rsid w:val="000B70C1"/>
    <w:rsid w:val="000C0868"/>
    <w:rsid w:val="000C103C"/>
    <w:rsid w:val="000C15E7"/>
    <w:rsid w:val="000C173C"/>
    <w:rsid w:val="000C18B1"/>
    <w:rsid w:val="000C1E02"/>
    <w:rsid w:val="000C29FB"/>
    <w:rsid w:val="000C4C34"/>
    <w:rsid w:val="000C5A2C"/>
    <w:rsid w:val="000C5FF2"/>
    <w:rsid w:val="000D0384"/>
    <w:rsid w:val="000D04FB"/>
    <w:rsid w:val="000D0612"/>
    <w:rsid w:val="000D1115"/>
    <w:rsid w:val="000D1A73"/>
    <w:rsid w:val="000D1EB3"/>
    <w:rsid w:val="000D3584"/>
    <w:rsid w:val="000D3E94"/>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F07A5"/>
    <w:rsid w:val="000F159D"/>
    <w:rsid w:val="000F23D7"/>
    <w:rsid w:val="000F3ADB"/>
    <w:rsid w:val="000F4705"/>
    <w:rsid w:val="000F6974"/>
    <w:rsid w:val="000F738A"/>
    <w:rsid w:val="001006E9"/>
    <w:rsid w:val="0010126B"/>
    <w:rsid w:val="0010148B"/>
    <w:rsid w:val="00101A78"/>
    <w:rsid w:val="001021B7"/>
    <w:rsid w:val="00103C0A"/>
    <w:rsid w:val="00104342"/>
    <w:rsid w:val="00104E0B"/>
    <w:rsid w:val="00105A23"/>
    <w:rsid w:val="00106021"/>
    <w:rsid w:val="00107248"/>
    <w:rsid w:val="00107F23"/>
    <w:rsid w:val="00111422"/>
    <w:rsid w:val="00111B6A"/>
    <w:rsid w:val="001121B4"/>
    <w:rsid w:val="001122CF"/>
    <w:rsid w:val="00112883"/>
    <w:rsid w:val="001129FA"/>
    <w:rsid w:val="001135E3"/>
    <w:rsid w:val="00113E82"/>
    <w:rsid w:val="00114286"/>
    <w:rsid w:val="001147AD"/>
    <w:rsid w:val="0011499B"/>
    <w:rsid w:val="00115141"/>
    <w:rsid w:val="0011553E"/>
    <w:rsid w:val="0011565B"/>
    <w:rsid w:val="00115D11"/>
    <w:rsid w:val="00116E13"/>
    <w:rsid w:val="001170FE"/>
    <w:rsid w:val="00120B68"/>
    <w:rsid w:val="001210F0"/>
    <w:rsid w:val="00121650"/>
    <w:rsid w:val="00121763"/>
    <w:rsid w:val="0012187B"/>
    <w:rsid w:val="001219C5"/>
    <w:rsid w:val="00123167"/>
    <w:rsid w:val="00123412"/>
    <w:rsid w:val="00123AE5"/>
    <w:rsid w:val="00123B8B"/>
    <w:rsid w:val="00124456"/>
    <w:rsid w:val="00125819"/>
    <w:rsid w:val="00125C14"/>
    <w:rsid w:val="00126482"/>
    <w:rsid w:val="001278D7"/>
    <w:rsid w:val="0013330E"/>
    <w:rsid w:val="00133F85"/>
    <w:rsid w:val="00133FCD"/>
    <w:rsid w:val="00134A8B"/>
    <w:rsid w:val="0013566B"/>
    <w:rsid w:val="001358D5"/>
    <w:rsid w:val="00136796"/>
    <w:rsid w:val="001368E8"/>
    <w:rsid w:val="001379EC"/>
    <w:rsid w:val="00137E29"/>
    <w:rsid w:val="00140D10"/>
    <w:rsid w:val="00141100"/>
    <w:rsid w:val="0014123C"/>
    <w:rsid w:val="001418F7"/>
    <w:rsid w:val="00143146"/>
    <w:rsid w:val="00143272"/>
    <w:rsid w:val="00143292"/>
    <w:rsid w:val="001438E0"/>
    <w:rsid w:val="00143CD5"/>
    <w:rsid w:val="00144061"/>
    <w:rsid w:val="00144D89"/>
    <w:rsid w:val="00144F78"/>
    <w:rsid w:val="0014506F"/>
    <w:rsid w:val="001470EA"/>
    <w:rsid w:val="001474F5"/>
    <w:rsid w:val="00147A6F"/>
    <w:rsid w:val="00147C1D"/>
    <w:rsid w:val="00150FA8"/>
    <w:rsid w:val="00152168"/>
    <w:rsid w:val="00152351"/>
    <w:rsid w:val="00152911"/>
    <w:rsid w:val="00152AFF"/>
    <w:rsid w:val="001535DD"/>
    <w:rsid w:val="00155A05"/>
    <w:rsid w:val="00155B4B"/>
    <w:rsid w:val="00156331"/>
    <w:rsid w:val="001568CE"/>
    <w:rsid w:val="00156EF0"/>
    <w:rsid w:val="0015716F"/>
    <w:rsid w:val="00157457"/>
    <w:rsid w:val="001577B5"/>
    <w:rsid w:val="00157DF3"/>
    <w:rsid w:val="00160901"/>
    <w:rsid w:val="00163E9F"/>
    <w:rsid w:val="00164CCB"/>
    <w:rsid w:val="001661A6"/>
    <w:rsid w:val="001671A7"/>
    <w:rsid w:val="001676C8"/>
    <w:rsid w:val="00167B04"/>
    <w:rsid w:val="0017019E"/>
    <w:rsid w:val="00171970"/>
    <w:rsid w:val="00171F2F"/>
    <w:rsid w:val="001725CB"/>
    <w:rsid w:val="0017306F"/>
    <w:rsid w:val="00173C0D"/>
    <w:rsid w:val="001753F9"/>
    <w:rsid w:val="00175E31"/>
    <w:rsid w:val="0017663A"/>
    <w:rsid w:val="00176E6C"/>
    <w:rsid w:val="001773E9"/>
    <w:rsid w:val="001803DE"/>
    <w:rsid w:val="00182C75"/>
    <w:rsid w:val="0018324D"/>
    <w:rsid w:val="001838FC"/>
    <w:rsid w:val="00185A76"/>
    <w:rsid w:val="00186352"/>
    <w:rsid w:val="001865D5"/>
    <w:rsid w:val="001868D6"/>
    <w:rsid w:val="001869F3"/>
    <w:rsid w:val="00186F88"/>
    <w:rsid w:val="00187EB0"/>
    <w:rsid w:val="001909C4"/>
    <w:rsid w:val="00190D5F"/>
    <w:rsid w:val="00191E31"/>
    <w:rsid w:val="00193271"/>
    <w:rsid w:val="00193282"/>
    <w:rsid w:val="00193957"/>
    <w:rsid w:val="00193B1C"/>
    <w:rsid w:val="00193BD9"/>
    <w:rsid w:val="00193C6C"/>
    <w:rsid w:val="00194818"/>
    <w:rsid w:val="00196DC2"/>
    <w:rsid w:val="001A0FFD"/>
    <w:rsid w:val="001A13AA"/>
    <w:rsid w:val="001A2690"/>
    <w:rsid w:val="001A27C7"/>
    <w:rsid w:val="001A2C12"/>
    <w:rsid w:val="001A2F9A"/>
    <w:rsid w:val="001A539D"/>
    <w:rsid w:val="001A5A33"/>
    <w:rsid w:val="001A62CF"/>
    <w:rsid w:val="001A6505"/>
    <w:rsid w:val="001A75FA"/>
    <w:rsid w:val="001A7AB0"/>
    <w:rsid w:val="001A7E80"/>
    <w:rsid w:val="001B0406"/>
    <w:rsid w:val="001B1E86"/>
    <w:rsid w:val="001B23FA"/>
    <w:rsid w:val="001B297C"/>
    <w:rsid w:val="001B3103"/>
    <w:rsid w:val="001B43F8"/>
    <w:rsid w:val="001B5218"/>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EE1"/>
    <w:rsid w:val="001D318B"/>
    <w:rsid w:val="001D47AD"/>
    <w:rsid w:val="001D51EC"/>
    <w:rsid w:val="001D7111"/>
    <w:rsid w:val="001D7F34"/>
    <w:rsid w:val="001E06A9"/>
    <w:rsid w:val="001E1FF3"/>
    <w:rsid w:val="001E2DFE"/>
    <w:rsid w:val="001E335A"/>
    <w:rsid w:val="001E3E8E"/>
    <w:rsid w:val="001E4444"/>
    <w:rsid w:val="001E44C0"/>
    <w:rsid w:val="001E5AAA"/>
    <w:rsid w:val="001E69F8"/>
    <w:rsid w:val="001E774B"/>
    <w:rsid w:val="001E78CC"/>
    <w:rsid w:val="001E7ED4"/>
    <w:rsid w:val="001F03B0"/>
    <w:rsid w:val="001F2C65"/>
    <w:rsid w:val="001F3F45"/>
    <w:rsid w:val="001F5A02"/>
    <w:rsid w:val="001F5F52"/>
    <w:rsid w:val="001F70B4"/>
    <w:rsid w:val="0020115E"/>
    <w:rsid w:val="00201BDB"/>
    <w:rsid w:val="00202058"/>
    <w:rsid w:val="0020312B"/>
    <w:rsid w:val="0020323F"/>
    <w:rsid w:val="0020391C"/>
    <w:rsid w:val="002042AE"/>
    <w:rsid w:val="00204617"/>
    <w:rsid w:val="00205310"/>
    <w:rsid w:val="002053BA"/>
    <w:rsid w:val="00206DF5"/>
    <w:rsid w:val="00211C67"/>
    <w:rsid w:val="002127BA"/>
    <w:rsid w:val="00212BFF"/>
    <w:rsid w:val="002131AF"/>
    <w:rsid w:val="00213FDC"/>
    <w:rsid w:val="00215780"/>
    <w:rsid w:val="0021680E"/>
    <w:rsid w:val="00216A0C"/>
    <w:rsid w:val="00217002"/>
    <w:rsid w:val="0021726E"/>
    <w:rsid w:val="002178B6"/>
    <w:rsid w:val="002200DE"/>
    <w:rsid w:val="002200F0"/>
    <w:rsid w:val="00220F3C"/>
    <w:rsid w:val="00221837"/>
    <w:rsid w:val="00221E09"/>
    <w:rsid w:val="00222412"/>
    <w:rsid w:val="00222569"/>
    <w:rsid w:val="00222D84"/>
    <w:rsid w:val="002251B0"/>
    <w:rsid w:val="00225ACB"/>
    <w:rsid w:val="00226A54"/>
    <w:rsid w:val="00226B5E"/>
    <w:rsid w:val="002275E0"/>
    <w:rsid w:val="0022784C"/>
    <w:rsid w:val="0023028C"/>
    <w:rsid w:val="00230996"/>
    <w:rsid w:val="00230BC8"/>
    <w:rsid w:val="0023157A"/>
    <w:rsid w:val="002321F8"/>
    <w:rsid w:val="002322DE"/>
    <w:rsid w:val="00232E54"/>
    <w:rsid w:val="00234A2F"/>
    <w:rsid w:val="00235730"/>
    <w:rsid w:val="002361FF"/>
    <w:rsid w:val="00236BA7"/>
    <w:rsid w:val="00236D1A"/>
    <w:rsid w:val="00236F14"/>
    <w:rsid w:val="0023774C"/>
    <w:rsid w:val="002377B1"/>
    <w:rsid w:val="00237CCE"/>
    <w:rsid w:val="00240BD1"/>
    <w:rsid w:val="00240FD7"/>
    <w:rsid w:val="00241119"/>
    <w:rsid w:val="00241C46"/>
    <w:rsid w:val="002421C4"/>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B07"/>
    <w:rsid w:val="00262E44"/>
    <w:rsid w:val="00262F75"/>
    <w:rsid w:val="002635BD"/>
    <w:rsid w:val="00264A55"/>
    <w:rsid w:val="00265B60"/>
    <w:rsid w:val="00266341"/>
    <w:rsid w:val="0026674E"/>
    <w:rsid w:val="00266950"/>
    <w:rsid w:val="00270080"/>
    <w:rsid w:val="00272B37"/>
    <w:rsid w:val="00273516"/>
    <w:rsid w:val="00274AB9"/>
    <w:rsid w:val="00275165"/>
    <w:rsid w:val="00276C1F"/>
    <w:rsid w:val="0027750B"/>
    <w:rsid w:val="00277BC7"/>
    <w:rsid w:val="002800FF"/>
    <w:rsid w:val="0028014D"/>
    <w:rsid w:val="0028030F"/>
    <w:rsid w:val="00281F26"/>
    <w:rsid w:val="00281FE5"/>
    <w:rsid w:val="0028242A"/>
    <w:rsid w:val="00284B42"/>
    <w:rsid w:val="00285001"/>
    <w:rsid w:val="00285165"/>
    <w:rsid w:val="0028574A"/>
    <w:rsid w:val="00285976"/>
    <w:rsid w:val="00285DAA"/>
    <w:rsid w:val="00286485"/>
    <w:rsid w:val="0028678C"/>
    <w:rsid w:val="00290DD9"/>
    <w:rsid w:val="00291FDD"/>
    <w:rsid w:val="002925CE"/>
    <w:rsid w:val="0029301A"/>
    <w:rsid w:val="00293BD3"/>
    <w:rsid w:val="0029519D"/>
    <w:rsid w:val="00295544"/>
    <w:rsid w:val="00296E12"/>
    <w:rsid w:val="0029725B"/>
    <w:rsid w:val="00297D5D"/>
    <w:rsid w:val="002A0493"/>
    <w:rsid w:val="002A0A67"/>
    <w:rsid w:val="002A1D00"/>
    <w:rsid w:val="002A22A1"/>
    <w:rsid w:val="002A2EA8"/>
    <w:rsid w:val="002A3638"/>
    <w:rsid w:val="002A4C5E"/>
    <w:rsid w:val="002A4CC2"/>
    <w:rsid w:val="002A54C7"/>
    <w:rsid w:val="002A63CB"/>
    <w:rsid w:val="002A656D"/>
    <w:rsid w:val="002A783A"/>
    <w:rsid w:val="002A7FCC"/>
    <w:rsid w:val="002B0D84"/>
    <w:rsid w:val="002B160F"/>
    <w:rsid w:val="002B2237"/>
    <w:rsid w:val="002B289A"/>
    <w:rsid w:val="002B3AA8"/>
    <w:rsid w:val="002B45B3"/>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BE9"/>
    <w:rsid w:val="002D13AB"/>
    <w:rsid w:val="002D15BA"/>
    <w:rsid w:val="002D1D5E"/>
    <w:rsid w:val="002D1FC7"/>
    <w:rsid w:val="002D20A6"/>
    <w:rsid w:val="002D218A"/>
    <w:rsid w:val="002D2424"/>
    <w:rsid w:val="002D26F6"/>
    <w:rsid w:val="002D2DC4"/>
    <w:rsid w:val="002D309B"/>
    <w:rsid w:val="002D33B9"/>
    <w:rsid w:val="002D3F70"/>
    <w:rsid w:val="002D4171"/>
    <w:rsid w:val="002D5579"/>
    <w:rsid w:val="002D5A70"/>
    <w:rsid w:val="002E08BB"/>
    <w:rsid w:val="002E2A49"/>
    <w:rsid w:val="002F0EA9"/>
    <w:rsid w:val="002F144B"/>
    <w:rsid w:val="002F15ED"/>
    <w:rsid w:val="002F1879"/>
    <w:rsid w:val="002F18DE"/>
    <w:rsid w:val="002F3775"/>
    <w:rsid w:val="002F434C"/>
    <w:rsid w:val="002F4917"/>
    <w:rsid w:val="002F6FEE"/>
    <w:rsid w:val="002F7332"/>
    <w:rsid w:val="002F79AF"/>
    <w:rsid w:val="00300665"/>
    <w:rsid w:val="00301ECC"/>
    <w:rsid w:val="00302059"/>
    <w:rsid w:val="00302447"/>
    <w:rsid w:val="0030375D"/>
    <w:rsid w:val="00303F00"/>
    <w:rsid w:val="003041C5"/>
    <w:rsid w:val="00304516"/>
    <w:rsid w:val="00304753"/>
    <w:rsid w:val="00304831"/>
    <w:rsid w:val="00305B81"/>
    <w:rsid w:val="00305BD1"/>
    <w:rsid w:val="00306144"/>
    <w:rsid w:val="00306BCB"/>
    <w:rsid w:val="00311763"/>
    <w:rsid w:val="003119EC"/>
    <w:rsid w:val="00311D66"/>
    <w:rsid w:val="00311F02"/>
    <w:rsid w:val="00312754"/>
    <w:rsid w:val="00312E97"/>
    <w:rsid w:val="00313942"/>
    <w:rsid w:val="00314C7D"/>
    <w:rsid w:val="00315877"/>
    <w:rsid w:val="003158F8"/>
    <w:rsid w:val="00315F00"/>
    <w:rsid w:val="00316EC5"/>
    <w:rsid w:val="003214C1"/>
    <w:rsid w:val="0032197A"/>
    <w:rsid w:val="00321F52"/>
    <w:rsid w:val="00322089"/>
    <w:rsid w:val="00322BE1"/>
    <w:rsid w:val="00323AB9"/>
    <w:rsid w:val="00324679"/>
    <w:rsid w:val="00324805"/>
    <w:rsid w:val="0032483E"/>
    <w:rsid w:val="00325C07"/>
    <w:rsid w:val="003261CF"/>
    <w:rsid w:val="00327C15"/>
    <w:rsid w:val="00330A55"/>
    <w:rsid w:val="00330C7E"/>
    <w:rsid w:val="00330C96"/>
    <w:rsid w:val="00331BFF"/>
    <w:rsid w:val="00332F91"/>
    <w:rsid w:val="00333A87"/>
    <w:rsid w:val="00334BED"/>
    <w:rsid w:val="00335451"/>
    <w:rsid w:val="00335A76"/>
    <w:rsid w:val="00343635"/>
    <w:rsid w:val="003439BE"/>
    <w:rsid w:val="003448E5"/>
    <w:rsid w:val="00345C11"/>
    <w:rsid w:val="0034611B"/>
    <w:rsid w:val="00346733"/>
    <w:rsid w:val="003467E2"/>
    <w:rsid w:val="003468FB"/>
    <w:rsid w:val="00346AA9"/>
    <w:rsid w:val="00346E12"/>
    <w:rsid w:val="00351225"/>
    <w:rsid w:val="003524FD"/>
    <w:rsid w:val="003525AE"/>
    <w:rsid w:val="00353B81"/>
    <w:rsid w:val="0035412E"/>
    <w:rsid w:val="00354582"/>
    <w:rsid w:val="003549AC"/>
    <w:rsid w:val="0035512A"/>
    <w:rsid w:val="003559F3"/>
    <w:rsid w:val="003562A2"/>
    <w:rsid w:val="003569DA"/>
    <w:rsid w:val="00356E99"/>
    <w:rsid w:val="003611AC"/>
    <w:rsid w:val="00361484"/>
    <w:rsid w:val="00361DAB"/>
    <w:rsid w:val="00362856"/>
    <w:rsid w:val="00363620"/>
    <w:rsid w:val="00363C0E"/>
    <w:rsid w:val="003656AB"/>
    <w:rsid w:val="003657AB"/>
    <w:rsid w:val="003679E4"/>
    <w:rsid w:val="0037101D"/>
    <w:rsid w:val="00371B50"/>
    <w:rsid w:val="00371D8F"/>
    <w:rsid w:val="00373F15"/>
    <w:rsid w:val="00374B83"/>
    <w:rsid w:val="003750EA"/>
    <w:rsid w:val="00375D17"/>
    <w:rsid w:val="00376698"/>
    <w:rsid w:val="0037670C"/>
    <w:rsid w:val="00376A6D"/>
    <w:rsid w:val="00376BEF"/>
    <w:rsid w:val="00376EDD"/>
    <w:rsid w:val="00377295"/>
    <w:rsid w:val="00380312"/>
    <w:rsid w:val="003808AF"/>
    <w:rsid w:val="00380E6A"/>
    <w:rsid w:val="003815C4"/>
    <w:rsid w:val="00381A23"/>
    <w:rsid w:val="00382A00"/>
    <w:rsid w:val="00383BD5"/>
    <w:rsid w:val="00384B04"/>
    <w:rsid w:val="00385E1E"/>
    <w:rsid w:val="0038642F"/>
    <w:rsid w:val="003872CD"/>
    <w:rsid w:val="0039065D"/>
    <w:rsid w:val="00390CCC"/>
    <w:rsid w:val="0039109C"/>
    <w:rsid w:val="00391C35"/>
    <w:rsid w:val="00391E5B"/>
    <w:rsid w:val="00392112"/>
    <w:rsid w:val="003926E7"/>
    <w:rsid w:val="00393230"/>
    <w:rsid w:val="0039483F"/>
    <w:rsid w:val="0039522C"/>
    <w:rsid w:val="0039571D"/>
    <w:rsid w:val="00396037"/>
    <w:rsid w:val="0039626C"/>
    <w:rsid w:val="003979EC"/>
    <w:rsid w:val="003A0493"/>
    <w:rsid w:val="003A0FFA"/>
    <w:rsid w:val="003A179F"/>
    <w:rsid w:val="003A21E9"/>
    <w:rsid w:val="003A310E"/>
    <w:rsid w:val="003A3863"/>
    <w:rsid w:val="003A4FB7"/>
    <w:rsid w:val="003A50DC"/>
    <w:rsid w:val="003A548A"/>
    <w:rsid w:val="003A630B"/>
    <w:rsid w:val="003A66B0"/>
    <w:rsid w:val="003A694B"/>
    <w:rsid w:val="003A70D3"/>
    <w:rsid w:val="003B0CD2"/>
    <w:rsid w:val="003B0CEF"/>
    <w:rsid w:val="003B1348"/>
    <w:rsid w:val="003B1C69"/>
    <w:rsid w:val="003B250E"/>
    <w:rsid w:val="003B28EF"/>
    <w:rsid w:val="003B43BF"/>
    <w:rsid w:val="003B4476"/>
    <w:rsid w:val="003B46C6"/>
    <w:rsid w:val="003B4992"/>
    <w:rsid w:val="003B5194"/>
    <w:rsid w:val="003B52F4"/>
    <w:rsid w:val="003B54B2"/>
    <w:rsid w:val="003B5537"/>
    <w:rsid w:val="003B5D70"/>
    <w:rsid w:val="003B5FBD"/>
    <w:rsid w:val="003B66A6"/>
    <w:rsid w:val="003B6899"/>
    <w:rsid w:val="003B7A76"/>
    <w:rsid w:val="003B7AD6"/>
    <w:rsid w:val="003C292A"/>
    <w:rsid w:val="003C3076"/>
    <w:rsid w:val="003C3419"/>
    <w:rsid w:val="003C44DF"/>
    <w:rsid w:val="003C4F1E"/>
    <w:rsid w:val="003C502B"/>
    <w:rsid w:val="003C599B"/>
    <w:rsid w:val="003C6748"/>
    <w:rsid w:val="003C762F"/>
    <w:rsid w:val="003D01B3"/>
    <w:rsid w:val="003D0288"/>
    <w:rsid w:val="003D0D90"/>
    <w:rsid w:val="003D0F10"/>
    <w:rsid w:val="003D17A5"/>
    <w:rsid w:val="003D1B5C"/>
    <w:rsid w:val="003D2830"/>
    <w:rsid w:val="003D2B29"/>
    <w:rsid w:val="003D2B4D"/>
    <w:rsid w:val="003D3B56"/>
    <w:rsid w:val="003D4332"/>
    <w:rsid w:val="003D4D85"/>
    <w:rsid w:val="003D56C9"/>
    <w:rsid w:val="003D57EB"/>
    <w:rsid w:val="003D5B02"/>
    <w:rsid w:val="003D681E"/>
    <w:rsid w:val="003E05AF"/>
    <w:rsid w:val="003E0A22"/>
    <w:rsid w:val="003E0ABF"/>
    <w:rsid w:val="003E1DDB"/>
    <w:rsid w:val="003E223A"/>
    <w:rsid w:val="003E2320"/>
    <w:rsid w:val="003E2AA0"/>
    <w:rsid w:val="003E458D"/>
    <w:rsid w:val="003E52E0"/>
    <w:rsid w:val="003E5618"/>
    <w:rsid w:val="003E58A3"/>
    <w:rsid w:val="003E5EFD"/>
    <w:rsid w:val="003E6B0C"/>
    <w:rsid w:val="003F0952"/>
    <w:rsid w:val="003F0EE4"/>
    <w:rsid w:val="003F11A6"/>
    <w:rsid w:val="003F1217"/>
    <w:rsid w:val="003F15D1"/>
    <w:rsid w:val="003F1787"/>
    <w:rsid w:val="003F2BDB"/>
    <w:rsid w:val="003F4318"/>
    <w:rsid w:val="003F44FE"/>
    <w:rsid w:val="003F5926"/>
    <w:rsid w:val="003F5CD3"/>
    <w:rsid w:val="003F79E6"/>
    <w:rsid w:val="003F7DC8"/>
    <w:rsid w:val="0040048C"/>
    <w:rsid w:val="00401AD3"/>
    <w:rsid w:val="0040244E"/>
    <w:rsid w:val="00403047"/>
    <w:rsid w:val="00403D4A"/>
    <w:rsid w:val="00404C0C"/>
    <w:rsid w:val="00404FF3"/>
    <w:rsid w:val="004059D7"/>
    <w:rsid w:val="00405C5F"/>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95A"/>
    <w:rsid w:val="00415DB0"/>
    <w:rsid w:val="00416156"/>
    <w:rsid w:val="00416230"/>
    <w:rsid w:val="004168D8"/>
    <w:rsid w:val="004175A3"/>
    <w:rsid w:val="00420744"/>
    <w:rsid w:val="00420F85"/>
    <w:rsid w:val="00421049"/>
    <w:rsid w:val="00421714"/>
    <w:rsid w:val="004219B0"/>
    <w:rsid w:val="00423D1E"/>
    <w:rsid w:val="00425162"/>
    <w:rsid w:val="00425883"/>
    <w:rsid w:val="00425AED"/>
    <w:rsid w:val="00430444"/>
    <w:rsid w:val="00431C06"/>
    <w:rsid w:val="0043250A"/>
    <w:rsid w:val="00432964"/>
    <w:rsid w:val="00432D93"/>
    <w:rsid w:val="00433A4B"/>
    <w:rsid w:val="0043409F"/>
    <w:rsid w:val="004343EB"/>
    <w:rsid w:val="00434952"/>
    <w:rsid w:val="004367E8"/>
    <w:rsid w:val="00436BB0"/>
    <w:rsid w:val="004378C7"/>
    <w:rsid w:val="00437DC2"/>
    <w:rsid w:val="00440A64"/>
    <w:rsid w:val="00440DC0"/>
    <w:rsid w:val="0044105F"/>
    <w:rsid w:val="0044227C"/>
    <w:rsid w:val="0044610D"/>
    <w:rsid w:val="004466C3"/>
    <w:rsid w:val="00450689"/>
    <w:rsid w:val="00450990"/>
    <w:rsid w:val="00450EBE"/>
    <w:rsid w:val="00451AAA"/>
    <w:rsid w:val="00452625"/>
    <w:rsid w:val="00454A63"/>
    <w:rsid w:val="00456BBD"/>
    <w:rsid w:val="00456E82"/>
    <w:rsid w:val="004572D2"/>
    <w:rsid w:val="00457BF4"/>
    <w:rsid w:val="004612F2"/>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9B4"/>
    <w:rsid w:val="00480BDE"/>
    <w:rsid w:val="00480DE4"/>
    <w:rsid w:val="00480F54"/>
    <w:rsid w:val="004812E8"/>
    <w:rsid w:val="00481582"/>
    <w:rsid w:val="0048221B"/>
    <w:rsid w:val="00482E4C"/>
    <w:rsid w:val="00483126"/>
    <w:rsid w:val="00483131"/>
    <w:rsid w:val="00484021"/>
    <w:rsid w:val="00486DD6"/>
    <w:rsid w:val="00490E39"/>
    <w:rsid w:val="00490FC6"/>
    <w:rsid w:val="00494C4C"/>
    <w:rsid w:val="00495EA4"/>
    <w:rsid w:val="00496351"/>
    <w:rsid w:val="00497810"/>
    <w:rsid w:val="00497D76"/>
    <w:rsid w:val="004A0D5F"/>
    <w:rsid w:val="004A0F2B"/>
    <w:rsid w:val="004A17C2"/>
    <w:rsid w:val="004A17F3"/>
    <w:rsid w:val="004A2E7C"/>
    <w:rsid w:val="004A3256"/>
    <w:rsid w:val="004A355B"/>
    <w:rsid w:val="004A37EF"/>
    <w:rsid w:val="004A3833"/>
    <w:rsid w:val="004A4C14"/>
    <w:rsid w:val="004A56C8"/>
    <w:rsid w:val="004A69AD"/>
    <w:rsid w:val="004A7601"/>
    <w:rsid w:val="004A7B2F"/>
    <w:rsid w:val="004A7F7D"/>
    <w:rsid w:val="004A7FD4"/>
    <w:rsid w:val="004B070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5A"/>
    <w:rsid w:val="004B7FE3"/>
    <w:rsid w:val="004B7FE6"/>
    <w:rsid w:val="004C0038"/>
    <w:rsid w:val="004C0409"/>
    <w:rsid w:val="004C09AB"/>
    <w:rsid w:val="004C1D25"/>
    <w:rsid w:val="004C2196"/>
    <w:rsid w:val="004C2926"/>
    <w:rsid w:val="004C3A73"/>
    <w:rsid w:val="004C404D"/>
    <w:rsid w:val="004C4A2E"/>
    <w:rsid w:val="004C4CE2"/>
    <w:rsid w:val="004C4DB3"/>
    <w:rsid w:val="004C4DFA"/>
    <w:rsid w:val="004C6BD1"/>
    <w:rsid w:val="004C7C7F"/>
    <w:rsid w:val="004D04FF"/>
    <w:rsid w:val="004D0EDD"/>
    <w:rsid w:val="004D1013"/>
    <w:rsid w:val="004D1B69"/>
    <w:rsid w:val="004D26FC"/>
    <w:rsid w:val="004D2C5C"/>
    <w:rsid w:val="004D2E16"/>
    <w:rsid w:val="004D3C78"/>
    <w:rsid w:val="004D3D92"/>
    <w:rsid w:val="004D43F5"/>
    <w:rsid w:val="004D4937"/>
    <w:rsid w:val="004D4CFE"/>
    <w:rsid w:val="004D509F"/>
    <w:rsid w:val="004D51B1"/>
    <w:rsid w:val="004D6675"/>
    <w:rsid w:val="004D7CDF"/>
    <w:rsid w:val="004E09D0"/>
    <w:rsid w:val="004E0F76"/>
    <w:rsid w:val="004E1553"/>
    <w:rsid w:val="004E1DAE"/>
    <w:rsid w:val="004E210B"/>
    <w:rsid w:val="004E2EDE"/>
    <w:rsid w:val="004E4BA3"/>
    <w:rsid w:val="004E57CF"/>
    <w:rsid w:val="004E62F4"/>
    <w:rsid w:val="004E646D"/>
    <w:rsid w:val="004E6B86"/>
    <w:rsid w:val="004E7310"/>
    <w:rsid w:val="004F0171"/>
    <w:rsid w:val="004F0F26"/>
    <w:rsid w:val="004F1F1E"/>
    <w:rsid w:val="004F24AC"/>
    <w:rsid w:val="004F36D7"/>
    <w:rsid w:val="004F3C38"/>
    <w:rsid w:val="004F4B63"/>
    <w:rsid w:val="004F4CBF"/>
    <w:rsid w:val="004F4DA3"/>
    <w:rsid w:val="004F506B"/>
    <w:rsid w:val="004F55F7"/>
    <w:rsid w:val="004F5E10"/>
    <w:rsid w:val="004F6152"/>
    <w:rsid w:val="004F73EA"/>
    <w:rsid w:val="004F76FA"/>
    <w:rsid w:val="005004D8"/>
    <w:rsid w:val="005015B4"/>
    <w:rsid w:val="00501DA3"/>
    <w:rsid w:val="005022C8"/>
    <w:rsid w:val="00502323"/>
    <w:rsid w:val="005023A2"/>
    <w:rsid w:val="005028FD"/>
    <w:rsid w:val="00504906"/>
    <w:rsid w:val="00505067"/>
    <w:rsid w:val="00506869"/>
    <w:rsid w:val="00510058"/>
    <w:rsid w:val="00510BCA"/>
    <w:rsid w:val="005110C4"/>
    <w:rsid w:val="00511783"/>
    <w:rsid w:val="00512023"/>
    <w:rsid w:val="00512424"/>
    <w:rsid w:val="00512A16"/>
    <w:rsid w:val="00513624"/>
    <w:rsid w:val="00514138"/>
    <w:rsid w:val="00514C3A"/>
    <w:rsid w:val="00514E75"/>
    <w:rsid w:val="00515DFE"/>
    <w:rsid w:val="00515E18"/>
    <w:rsid w:val="00516819"/>
    <w:rsid w:val="0052033A"/>
    <w:rsid w:val="00520473"/>
    <w:rsid w:val="0052188C"/>
    <w:rsid w:val="0052413A"/>
    <w:rsid w:val="0052436E"/>
    <w:rsid w:val="0052689B"/>
    <w:rsid w:val="0052715F"/>
    <w:rsid w:val="00527D1F"/>
    <w:rsid w:val="0053156A"/>
    <w:rsid w:val="005315FD"/>
    <w:rsid w:val="00534622"/>
    <w:rsid w:val="00534F9F"/>
    <w:rsid w:val="00535450"/>
    <w:rsid w:val="005364EC"/>
    <w:rsid w:val="00536C9B"/>
    <w:rsid w:val="00536ECE"/>
    <w:rsid w:val="0054022C"/>
    <w:rsid w:val="005405BF"/>
    <w:rsid w:val="0054102E"/>
    <w:rsid w:val="00541D0F"/>
    <w:rsid w:val="00542E1C"/>
    <w:rsid w:val="00543A08"/>
    <w:rsid w:val="00543A6C"/>
    <w:rsid w:val="00544027"/>
    <w:rsid w:val="005442EB"/>
    <w:rsid w:val="005453F8"/>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C03"/>
    <w:rsid w:val="00552A54"/>
    <w:rsid w:val="005549B2"/>
    <w:rsid w:val="00555506"/>
    <w:rsid w:val="005556F8"/>
    <w:rsid w:val="00555748"/>
    <w:rsid w:val="005558D8"/>
    <w:rsid w:val="00555BDD"/>
    <w:rsid w:val="00556B69"/>
    <w:rsid w:val="005577B6"/>
    <w:rsid w:val="00561321"/>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C2D"/>
    <w:rsid w:val="005675F2"/>
    <w:rsid w:val="00567F34"/>
    <w:rsid w:val="0057085A"/>
    <w:rsid w:val="00570919"/>
    <w:rsid w:val="00570FF5"/>
    <w:rsid w:val="00571D18"/>
    <w:rsid w:val="005728AA"/>
    <w:rsid w:val="005729B0"/>
    <w:rsid w:val="00573713"/>
    <w:rsid w:val="00573CBD"/>
    <w:rsid w:val="0057453F"/>
    <w:rsid w:val="0057492E"/>
    <w:rsid w:val="00574E2C"/>
    <w:rsid w:val="0057519C"/>
    <w:rsid w:val="005759C0"/>
    <w:rsid w:val="00575F44"/>
    <w:rsid w:val="00576101"/>
    <w:rsid w:val="0057620D"/>
    <w:rsid w:val="0057623D"/>
    <w:rsid w:val="005764E6"/>
    <w:rsid w:val="005764ED"/>
    <w:rsid w:val="00577A1B"/>
    <w:rsid w:val="00577DA2"/>
    <w:rsid w:val="00580DD2"/>
    <w:rsid w:val="00580E4D"/>
    <w:rsid w:val="005815EF"/>
    <w:rsid w:val="00581D77"/>
    <w:rsid w:val="005825D2"/>
    <w:rsid w:val="005829CD"/>
    <w:rsid w:val="005838A4"/>
    <w:rsid w:val="00583B21"/>
    <w:rsid w:val="005850FF"/>
    <w:rsid w:val="00585DE9"/>
    <w:rsid w:val="00587DBE"/>
    <w:rsid w:val="005900B9"/>
    <w:rsid w:val="00590E39"/>
    <w:rsid w:val="00590F02"/>
    <w:rsid w:val="00591424"/>
    <w:rsid w:val="0059154F"/>
    <w:rsid w:val="005917B7"/>
    <w:rsid w:val="00591928"/>
    <w:rsid w:val="00592037"/>
    <w:rsid w:val="005920F9"/>
    <w:rsid w:val="00592B90"/>
    <w:rsid w:val="0059356C"/>
    <w:rsid w:val="00595174"/>
    <w:rsid w:val="00595EA8"/>
    <w:rsid w:val="005973B7"/>
    <w:rsid w:val="0059742E"/>
    <w:rsid w:val="00597D5A"/>
    <w:rsid w:val="005A076E"/>
    <w:rsid w:val="005A1A6C"/>
    <w:rsid w:val="005A1CC9"/>
    <w:rsid w:val="005A1FA0"/>
    <w:rsid w:val="005A29B7"/>
    <w:rsid w:val="005A2F4B"/>
    <w:rsid w:val="005A3C11"/>
    <w:rsid w:val="005A3FA1"/>
    <w:rsid w:val="005A4507"/>
    <w:rsid w:val="005A46BD"/>
    <w:rsid w:val="005A4948"/>
    <w:rsid w:val="005A5198"/>
    <w:rsid w:val="005A5D2A"/>
    <w:rsid w:val="005A73E9"/>
    <w:rsid w:val="005B0264"/>
    <w:rsid w:val="005B2C4D"/>
    <w:rsid w:val="005B32F4"/>
    <w:rsid w:val="005B4768"/>
    <w:rsid w:val="005B6528"/>
    <w:rsid w:val="005C033A"/>
    <w:rsid w:val="005C066C"/>
    <w:rsid w:val="005C0760"/>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EFF"/>
    <w:rsid w:val="005E0945"/>
    <w:rsid w:val="005E0B6F"/>
    <w:rsid w:val="005E2A81"/>
    <w:rsid w:val="005E337F"/>
    <w:rsid w:val="005E4A0B"/>
    <w:rsid w:val="005E64E7"/>
    <w:rsid w:val="005E6846"/>
    <w:rsid w:val="005E6B80"/>
    <w:rsid w:val="005E74B2"/>
    <w:rsid w:val="005E75DD"/>
    <w:rsid w:val="005E7C94"/>
    <w:rsid w:val="005F0F5A"/>
    <w:rsid w:val="005F1349"/>
    <w:rsid w:val="005F2C0B"/>
    <w:rsid w:val="005F4089"/>
    <w:rsid w:val="005F4BB5"/>
    <w:rsid w:val="005F4DF0"/>
    <w:rsid w:val="005F6396"/>
    <w:rsid w:val="005F76A1"/>
    <w:rsid w:val="006000EB"/>
    <w:rsid w:val="00601B63"/>
    <w:rsid w:val="00601C9B"/>
    <w:rsid w:val="006047A2"/>
    <w:rsid w:val="006047BD"/>
    <w:rsid w:val="00604BBF"/>
    <w:rsid w:val="00604CE5"/>
    <w:rsid w:val="006100A7"/>
    <w:rsid w:val="00610609"/>
    <w:rsid w:val="00610AC0"/>
    <w:rsid w:val="00610D81"/>
    <w:rsid w:val="0061166C"/>
    <w:rsid w:val="00611A08"/>
    <w:rsid w:val="00612499"/>
    <w:rsid w:val="00612A33"/>
    <w:rsid w:val="00612C6C"/>
    <w:rsid w:val="006136A6"/>
    <w:rsid w:val="00613782"/>
    <w:rsid w:val="00613994"/>
    <w:rsid w:val="00613B4F"/>
    <w:rsid w:val="00613D4E"/>
    <w:rsid w:val="00615639"/>
    <w:rsid w:val="0061636A"/>
    <w:rsid w:val="0061750F"/>
    <w:rsid w:val="00617C4D"/>
    <w:rsid w:val="00621709"/>
    <w:rsid w:val="00622B75"/>
    <w:rsid w:val="006244CC"/>
    <w:rsid w:val="00624752"/>
    <w:rsid w:val="00624D81"/>
    <w:rsid w:val="00625958"/>
    <w:rsid w:val="00625E42"/>
    <w:rsid w:val="00626D13"/>
    <w:rsid w:val="00631407"/>
    <w:rsid w:val="00631595"/>
    <w:rsid w:val="00631E1C"/>
    <w:rsid w:val="00631F49"/>
    <w:rsid w:val="00632515"/>
    <w:rsid w:val="006344DF"/>
    <w:rsid w:val="00634CFC"/>
    <w:rsid w:val="0063519F"/>
    <w:rsid w:val="00635ECA"/>
    <w:rsid w:val="00636452"/>
    <w:rsid w:val="006366E2"/>
    <w:rsid w:val="00636A0D"/>
    <w:rsid w:val="00636FE3"/>
    <w:rsid w:val="006376DD"/>
    <w:rsid w:val="0064140F"/>
    <w:rsid w:val="0064389D"/>
    <w:rsid w:val="00645723"/>
    <w:rsid w:val="00645735"/>
    <w:rsid w:val="006477E1"/>
    <w:rsid w:val="00650969"/>
    <w:rsid w:val="00650C44"/>
    <w:rsid w:val="00650D0D"/>
    <w:rsid w:val="00650E14"/>
    <w:rsid w:val="00651897"/>
    <w:rsid w:val="00651E26"/>
    <w:rsid w:val="00651E32"/>
    <w:rsid w:val="00651EB7"/>
    <w:rsid w:val="00652BDD"/>
    <w:rsid w:val="00653687"/>
    <w:rsid w:val="006539CF"/>
    <w:rsid w:val="00653B37"/>
    <w:rsid w:val="0065477C"/>
    <w:rsid w:val="006547EA"/>
    <w:rsid w:val="00654940"/>
    <w:rsid w:val="006555E5"/>
    <w:rsid w:val="006559FF"/>
    <w:rsid w:val="00656BBD"/>
    <w:rsid w:val="00656EEB"/>
    <w:rsid w:val="0065719E"/>
    <w:rsid w:val="0065757D"/>
    <w:rsid w:val="00657EA2"/>
    <w:rsid w:val="006631D6"/>
    <w:rsid w:val="006635C6"/>
    <w:rsid w:val="006636EC"/>
    <w:rsid w:val="00663C8B"/>
    <w:rsid w:val="00663CF0"/>
    <w:rsid w:val="00665A6E"/>
    <w:rsid w:val="00665D03"/>
    <w:rsid w:val="00667717"/>
    <w:rsid w:val="0066790E"/>
    <w:rsid w:val="00667989"/>
    <w:rsid w:val="00671693"/>
    <w:rsid w:val="006726C1"/>
    <w:rsid w:val="00673558"/>
    <w:rsid w:val="0067632B"/>
    <w:rsid w:val="00676435"/>
    <w:rsid w:val="00676523"/>
    <w:rsid w:val="00676727"/>
    <w:rsid w:val="00676B5D"/>
    <w:rsid w:val="00676EF9"/>
    <w:rsid w:val="00677719"/>
    <w:rsid w:val="00677AAF"/>
    <w:rsid w:val="00681363"/>
    <w:rsid w:val="006830D0"/>
    <w:rsid w:val="006831EF"/>
    <w:rsid w:val="0068361F"/>
    <w:rsid w:val="0068464B"/>
    <w:rsid w:val="006846A1"/>
    <w:rsid w:val="006859A1"/>
    <w:rsid w:val="006863FE"/>
    <w:rsid w:val="006877D0"/>
    <w:rsid w:val="00690328"/>
    <w:rsid w:val="006904E8"/>
    <w:rsid w:val="0069103E"/>
    <w:rsid w:val="0069126A"/>
    <w:rsid w:val="0069148C"/>
    <w:rsid w:val="0069152B"/>
    <w:rsid w:val="0069319A"/>
    <w:rsid w:val="00693638"/>
    <w:rsid w:val="00693DB0"/>
    <w:rsid w:val="00694DC4"/>
    <w:rsid w:val="0069503C"/>
    <w:rsid w:val="006951AC"/>
    <w:rsid w:val="006952D9"/>
    <w:rsid w:val="006953FC"/>
    <w:rsid w:val="0069604A"/>
    <w:rsid w:val="006969B5"/>
    <w:rsid w:val="0069722F"/>
    <w:rsid w:val="00697384"/>
    <w:rsid w:val="006A0B98"/>
    <w:rsid w:val="006A0D04"/>
    <w:rsid w:val="006A19D2"/>
    <w:rsid w:val="006A1E17"/>
    <w:rsid w:val="006A2185"/>
    <w:rsid w:val="006A2CF9"/>
    <w:rsid w:val="006A2FD8"/>
    <w:rsid w:val="006A442B"/>
    <w:rsid w:val="006A4675"/>
    <w:rsid w:val="006A4887"/>
    <w:rsid w:val="006A5D91"/>
    <w:rsid w:val="006A62ED"/>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FBA"/>
    <w:rsid w:val="006C4331"/>
    <w:rsid w:val="006C550B"/>
    <w:rsid w:val="006C5C86"/>
    <w:rsid w:val="006C699B"/>
    <w:rsid w:val="006C7749"/>
    <w:rsid w:val="006D151A"/>
    <w:rsid w:val="006D1C81"/>
    <w:rsid w:val="006D1DE0"/>
    <w:rsid w:val="006D290F"/>
    <w:rsid w:val="006D3A23"/>
    <w:rsid w:val="006D4E80"/>
    <w:rsid w:val="006D5A95"/>
    <w:rsid w:val="006D7688"/>
    <w:rsid w:val="006E0CB3"/>
    <w:rsid w:val="006E1767"/>
    <w:rsid w:val="006E1BB8"/>
    <w:rsid w:val="006E25AF"/>
    <w:rsid w:val="006E279A"/>
    <w:rsid w:val="006E5FAB"/>
    <w:rsid w:val="006E6532"/>
    <w:rsid w:val="006E6A11"/>
    <w:rsid w:val="006E6E56"/>
    <w:rsid w:val="006F1F52"/>
    <w:rsid w:val="006F1F8A"/>
    <w:rsid w:val="006F2337"/>
    <w:rsid w:val="006F309A"/>
    <w:rsid w:val="006F3139"/>
    <w:rsid w:val="006F3B70"/>
    <w:rsid w:val="006F41C4"/>
    <w:rsid w:val="006F5EB8"/>
    <w:rsid w:val="006F680E"/>
    <w:rsid w:val="006F7DC5"/>
    <w:rsid w:val="00700C78"/>
    <w:rsid w:val="00701E12"/>
    <w:rsid w:val="007021B7"/>
    <w:rsid w:val="007025C3"/>
    <w:rsid w:val="00702CB8"/>
    <w:rsid w:val="0070379B"/>
    <w:rsid w:val="00705477"/>
    <w:rsid w:val="00705E60"/>
    <w:rsid w:val="007065DB"/>
    <w:rsid w:val="0070770C"/>
    <w:rsid w:val="007107F2"/>
    <w:rsid w:val="00710E8F"/>
    <w:rsid w:val="007114CE"/>
    <w:rsid w:val="00712934"/>
    <w:rsid w:val="00713743"/>
    <w:rsid w:val="00713AC9"/>
    <w:rsid w:val="007156FC"/>
    <w:rsid w:val="00715750"/>
    <w:rsid w:val="00715D9E"/>
    <w:rsid w:val="0071665F"/>
    <w:rsid w:val="0071674F"/>
    <w:rsid w:val="00720AD3"/>
    <w:rsid w:val="00722184"/>
    <w:rsid w:val="00722447"/>
    <w:rsid w:val="00722DCB"/>
    <w:rsid w:val="00724382"/>
    <w:rsid w:val="00725070"/>
    <w:rsid w:val="00725EDA"/>
    <w:rsid w:val="00726F6D"/>
    <w:rsid w:val="00727100"/>
    <w:rsid w:val="0073080C"/>
    <w:rsid w:val="00730F3D"/>
    <w:rsid w:val="00730F5D"/>
    <w:rsid w:val="0073105B"/>
    <w:rsid w:val="007311A0"/>
    <w:rsid w:val="007321BF"/>
    <w:rsid w:val="0073240B"/>
    <w:rsid w:val="00732A28"/>
    <w:rsid w:val="00732F53"/>
    <w:rsid w:val="00733125"/>
    <w:rsid w:val="007331C9"/>
    <w:rsid w:val="0073371F"/>
    <w:rsid w:val="00734DE6"/>
    <w:rsid w:val="0073586F"/>
    <w:rsid w:val="007359F5"/>
    <w:rsid w:val="0073707E"/>
    <w:rsid w:val="007374B0"/>
    <w:rsid w:val="0073772C"/>
    <w:rsid w:val="00737A76"/>
    <w:rsid w:val="00737BF1"/>
    <w:rsid w:val="0074191F"/>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959"/>
    <w:rsid w:val="00757308"/>
    <w:rsid w:val="00757645"/>
    <w:rsid w:val="00763ABC"/>
    <w:rsid w:val="00763DE4"/>
    <w:rsid w:val="00764775"/>
    <w:rsid w:val="007647F8"/>
    <w:rsid w:val="00764C15"/>
    <w:rsid w:val="0076568D"/>
    <w:rsid w:val="00766046"/>
    <w:rsid w:val="0076639E"/>
    <w:rsid w:val="00766510"/>
    <w:rsid w:val="00766A84"/>
    <w:rsid w:val="00766EB8"/>
    <w:rsid w:val="0076724A"/>
    <w:rsid w:val="007719CA"/>
    <w:rsid w:val="00771ABF"/>
    <w:rsid w:val="007728FE"/>
    <w:rsid w:val="0077339B"/>
    <w:rsid w:val="00773B73"/>
    <w:rsid w:val="00774BF3"/>
    <w:rsid w:val="00775A74"/>
    <w:rsid w:val="00776E2D"/>
    <w:rsid w:val="00777A59"/>
    <w:rsid w:val="0078177E"/>
    <w:rsid w:val="007817DB"/>
    <w:rsid w:val="0078318E"/>
    <w:rsid w:val="00783962"/>
    <w:rsid w:val="00783C28"/>
    <w:rsid w:val="007840B6"/>
    <w:rsid w:val="00785564"/>
    <w:rsid w:val="007862E3"/>
    <w:rsid w:val="0078787F"/>
    <w:rsid w:val="00787ECD"/>
    <w:rsid w:val="00791D31"/>
    <w:rsid w:val="00791DDD"/>
    <w:rsid w:val="00792DB9"/>
    <w:rsid w:val="00792EA9"/>
    <w:rsid w:val="00793A2D"/>
    <w:rsid w:val="007943BE"/>
    <w:rsid w:val="00795633"/>
    <w:rsid w:val="00795A51"/>
    <w:rsid w:val="00796205"/>
    <w:rsid w:val="00797286"/>
    <w:rsid w:val="007972D3"/>
    <w:rsid w:val="0079798E"/>
    <w:rsid w:val="00797D9A"/>
    <w:rsid w:val="00797FD5"/>
    <w:rsid w:val="007A08A5"/>
    <w:rsid w:val="007A1F3C"/>
    <w:rsid w:val="007A26AC"/>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D3"/>
    <w:rsid w:val="007C3BE4"/>
    <w:rsid w:val="007C4752"/>
    <w:rsid w:val="007C47C4"/>
    <w:rsid w:val="007C4A2B"/>
    <w:rsid w:val="007C5359"/>
    <w:rsid w:val="007C60C3"/>
    <w:rsid w:val="007C6DB2"/>
    <w:rsid w:val="007D0957"/>
    <w:rsid w:val="007D1312"/>
    <w:rsid w:val="007D1415"/>
    <w:rsid w:val="007D1E41"/>
    <w:rsid w:val="007D1F1F"/>
    <w:rsid w:val="007D31BF"/>
    <w:rsid w:val="007D3AE3"/>
    <w:rsid w:val="007D42AD"/>
    <w:rsid w:val="007D629A"/>
    <w:rsid w:val="007D63F1"/>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DA1"/>
    <w:rsid w:val="007E6459"/>
    <w:rsid w:val="007E6B60"/>
    <w:rsid w:val="007E6E79"/>
    <w:rsid w:val="007E7693"/>
    <w:rsid w:val="007E7D0D"/>
    <w:rsid w:val="007F0338"/>
    <w:rsid w:val="007F0AA6"/>
    <w:rsid w:val="007F0C1D"/>
    <w:rsid w:val="007F328A"/>
    <w:rsid w:val="007F5684"/>
    <w:rsid w:val="007F65F2"/>
    <w:rsid w:val="007F6E76"/>
    <w:rsid w:val="007F73FB"/>
    <w:rsid w:val="007F7D7A"/>
    <w:rsid w:val="008000C6"/>
    <w:rsid w:val="00800138"/>
    <w:rsid w:val="00801410"/>
    <w:rsid w:val="0080314A"/>
    <w:rsid w:val="008045BD"/>
    <w:rsid w:val="00804A04"/>
    <w:rsid w:val="00804D45"/>
    <w:rsid w:val="00804FDA"/>
    <w:rsid w:val="00805EC4"/>
    <w:rsid w:val="00806EB5"/>
    <w:rsid w:val="00807545"/>
    <w:rsid w:val="00807E9A"/>
    <w:rsid w:val="008120D1"/>
    <w:rsid w:val="00812B0A"/>
    <w:rsid w:val="00812EAF"/>
    <w:rsid w:val="00813092"/>
    <w:rsid w:val="008133F9"/>
    <w:rsid w:val="0081358D"/>
    <w:rsid w:val="00813DB8"/>
    <w:rsid w:val="0081420E"/>
    <w:rsid w:val="0081429D"/>
    <w:rsid w:val="00815369"/>
    <w:rsid w:val="00815724"/>
    <w:rsid w:val="00816421"/>
    <w:rsid w:val="008164E3"/>
    <w:rsid w:val="0081662E"/>
    <w:rsid w:val="0081704F"/>
    <w:rsid w:val="0081714B"/>
    <w:rsid w:val="008179FB"/>
    <w:rsid w:val="00820300"/>
    <w:rsid w:val="00820AE1"/>
    <w:rsid w:val="00820ED5"/>
    <w:rsid w:val="0082208A"/>
    <w:rsid w:val="00822653"/>
    <w:rsid w:val="00822C67"/>
    <w:rsid w:val="00822E53"/>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4EE0"/>
    <w:rsid w:val="008354AD"/>
    <w:rsid w:val="00835509"/>
    <w:rsid w:val="008365E2"/>
    <w:rsid w:val="00836E8A"/>
    <w:rsid w:val="00837ED3"/>
    <w:rsid w:val="008410A0"/>
    <w:rsid w:val="00841BEC"/>
    <w:rsid w:val="00842022"/>
    <w:rsid w:val="00842E6E"/>
    <w:rsid w:val="0084330E"/>
    <w:rsid w:val="0084372E"/>
    <w:rsid w:val="008438B8"/>
    <w:rsid w:val="00843A07"/>
    <w:rsid w:val="00843A53"/>
    <w:rsid w:val="0084496A"/>
    <w:rsid w:val="008458A6"/>
    <w:rsid w:val="00845AB7"/>
    <w:rsid w:val="0085019F"/>
    <w:rsid w:val="00850250"/>
    <w:rsid w:val="0085065A"/>
    <w:rsid w:val="00852015"/>
    <w:rsid w:val="008527D7"/>
    <w:rsid w:val="00853B0A"/>
    <w:rsid w:val="00853D37"/>
    <w:rsid w:val="008545D1"/>
    <w:rsid w:val="0085557C"/>
    <w:rsid w:val="00856069"/>
    <w:rsid w:val="008568A0"/>
    <w:rsid w:val="00857B69"/>
    <w:rsid w:val="00857C93"/>
    <w:rsid w:val="008604BA"/>
    <w:rsid w:val="008622C9"/>
    <w:rsid w:val="008646C4"/>
    <w:rsid w:val="0086538F"/>
    <w:rsid w:val="008656CB"/>
    <w:rsid w:val="0086577B"/>
    <w:rsid w:val="00866267"/>
    <w:rsid w:val="00866279"/>
    <w:rsid w:val="008666D8"/>
    <w:rsid w:val="008676D0"/>
    <w:rsid w:val="008708D6"/>
    <w:rsid w:val="00870ACC"/>
    <w:rsid w:val="00870D88"/>
    <w:rsid w:val="00872579"/>
    <w:rsid w:val="00873E0F"/>
    <w:rsid w:val="008756B9"/>
    <w:rsid w:val="00875C2E"/>
    <w:rsid w:val="00875E99"/>
    <w:rsid w:val="00876A96"/>
    <w:rsid w:val="00877C7A"/>
    <w:rsid w:val="0088093C"/>
    <w:rsid w:val="00880977"/>
    <w:rsid w:val="00881F16"/>
    <w:rsid w:val="00882CA0"/>
    <w:rsid w:val="00882FB3"/>
    <w:rsid w:val="00882FBE"/>
    <w:rsid w:val="00883904"/>
    <w:rsid w:val="0088496F"/>
    <w:rsid w:val="008856E7"/>
    <w:rsid w:val="008856E8"/>
    <w:rsid w:val="008860F3"/>
    <w:rsid w:val="00886677"/>
    <w:rsid w:val="00887246"/>
    <w:rsid w:val="00887449"/>
    <w:rsid w:val="00887648"/>
    <w:rsid w:val="00887D8B"/>
    <w:rsid w:val="008903C2"/>
    <w:rsid w:val="00890F1B"/>
    <w:rsid w:val="00891F36"/>
    <w:rsid w:val="008932C0"/>
    <w:rsid w:val="0089368A"/>
    <w:rsid w:val="008940A1"/>
    <w:rsid w:val="008948DF"/>
    <w:rsid w:val="008958B0"/>
    <w:rsid w:val="008959EF"/>
    <w:rsid w:val="00895F7D"/>
    <w:rsid w:val="00897688"/>
    <w:rsid w:val="008A00D6"/>
    <w:rsid w:val="008A0A1D"/>
    <w:rsid w:val="008A0E84"/>
    <w:rsid w:val="008A2056"/>
    <w:rsid w:val="008A224A"/>
    <w:rsid w:val="008A2391"/>
    <w:rsid w:val="008A2AA2"/>
    <w:rsid w:val="008A2D39"/>
    <w:rsid w:val="008A32F8"/>
    <w:rsid w:val="008A355C"/>
    <w:rsid w:val="008A4A96"/>
    <w:rsid w:val="008A6521"/>
    <w:rsid w:val="008A6ACE"/>
    <w:rsid w:val="008A6F42"/>
    <w:rsid w:val="008B014F"/>
    <w:rsid w:val="008B0BA9"/>
    <w:rsid w:val="008B0D0A"/>
    <w:rsid w:val="008B0FD7"/>
    <w:rsid w:val="008B12B3"/>
    <w:rsid w:val="008B162C"/>
    <w:rsid w:val="008B1ADB"/>
    <w:rsid w:val="008B1C4C"/>
    <w:rsid w:val="008B2018"/>
    <w:rsid w:val="008B2480"/>
    <w:rsid w:val="008B24DD"/>
    <w:rsid w:val="008B526C"/>
    <w:rsid w:val="008B53C9"/>
    <w:rsid w:val="008B566B"/>
    <w:rsid w:val="008B5B2B"/>
    <w:rsid w:val="008B656D"/>
    <w:rsid w:val="008B7113"/>
    <w:rsid w:val="008C0B15"/>
    <w:rsid w:val="008C1535"/>
    <w:rsid w:val="008C30B6"/>
    <w:rsid w:val="008C3632"/>
    <w:rsid w:val="008C5CD0"/>
    <w:rsid w:val="008C69F4"/>
    <w:rsid w:val="008C6AA1"/>
    <w:rsid w:val="008C6AEA"/>
    <w:rsid w:val="008C72D6"/>
    <w:rsid w:val="008C76CD"/>
    <w:rsid w:val="008C7D05"/>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71A"/>
    <w:rsid w:val="008E19E4"/>
    <w:rsid w:val="008E2024"/>
    <w:rsid w:val="008E28E4"/>
    <w:rsid w:val="008E387F"/>
    <w:rsid w:val="008E522A"/>
    <w:rsid w:val="008E56BD"/>
    <w:rsid w:val="008E6EEA"/>
    <w:rsid w:val="008E75F5"/>
    <w:rsid w:val="008E7B70"/>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CE0"/>
    <w:rsid w:val="00900D25"/>
    <w:rsid w:val="0090116D"/>
    <w:rsid w:val="00901438"/>
    <w:rsid w:val="00901612"/>
    <w:rsid w:val="009041CF"/>
    <w:rsid w:val="009043FD"/>
    <w:rsid w:val="00904EC2"/>
    <w:rsid w:val="00905767"/>
    <w:rsid w:val="00906268"/>
    <w:rsid w:val="009064AF"/>
    <w:rsid w:val="00906C70"/>
    <w:rsid w:val="00907FC0"/>
    <w:rsid w:val="0091082F"/>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3A3"/>
    <w:rsid w:val="0092384E"/>
    <w:rsid w:val="00923DAB"/>
    <w:rsid w:val="009241B1"/>
    <w:rsid w:val="00924B99"/>
    <w:rsid w:val="009250D6"/>
    <w:rsid w:val="00925187"/>
    <w:rsid w:val="0092530A"/>
    <w:rsid w:val="0092576D"/>
    <w:rsid w:val="009276D6"/>
    <w:rsid w:val="00927AB1"/>
    <w:rsid w:val="00927C3C"/>
    <w:rsid w:val="00930552"/>
    <w:rsid w:val="009311CA"/>
    <w:rsid w:val="0093143C"/>
    <w:rsid w:val="0093155B"/>
    <w:rsid w:val="00932DA3"/>
    <w:rsid w:val="0093345E"/>
    <w:rsid w:val="0093573C"/>
    <w:rsid w:val="0093706D"/>
    <w:rsid w:val="009370FE"/>
    <w:rsid w:val="00937498"/>
    <w:rsid w:val="0094051A"/>
    <w:rsid w:val="00941195"/>
    <w:rsid w:val="00941E29"/>
    <w:rsid w:val="009427AE"/>
    <w:rsid w:val="009428A0"/>
    <w:rsid w:val="009441F5"/>
    <w:rsid w:val="009456C4"/>
    <w:rsid w:val="00945741"/>
    <w:rsid w:val="00945A40"/>
    <w:rsid w:val="00945C52"/>
    <w:rsid w:val="00945F80"/>
    <w:rsid w:val="009471C6"/>
    <w:rsid w:val="0095179D"/>
    <w:rsid w:val="00951975"/>
    <w:rsid w:val="00951AE1"/>
    <w:rsid w:val="00951E05"/>
    <w:rsid w:val="0095244B"/>
    <w:rsid w:val="0095397C"/>
    <w:rsid w:val="00954923"/>
    <w:rsid w:val="009552B5"/>
    <w:rsid w:val="0095581B"/>
    <w:rsid w:val="0095597F"/>
    <w:rsid w:val="0095633C"/>
    <w:rsid w:val="00956E2E"/>
    <w:rsid w:val="00956FC1"/>
    <w:rsid w:val="00957449"/>
    <w:rsid w:val="00960232"/>
    <w:rsid w:val="00961CB4"/>
    <w:rsid w:val="0096213C"/>
    <w:rsid w:val="00964834"/>
    <w:rsid w:val="00964F73"/>
    <w:rsid w:val="0096536B"/>
    <w:rsid w:val="0096564C"/>
    <w:rsid w:val="009660AE"/>
    <w:rsid w:val="00966710"/>
    <w:rsid w:val="00970323"/>
    <w:rsid w:val="00972373"/>
    <w:rsid w:val="00973196"/>
    <w:rsid w:val="00975399"/>
    <w:rsid w:val="00975501"/>
    <w:rsid w:val="009756BB"/>
    <w:rsid w:val="00976C40"/>
    <w:rsid w:val="009809A7"/>
    <w:rsid w:val="00980BD1"/>
    <w:rsid w:val="0098101C"/>
    <w:rsid w:val="009813B2"/>
    <w:rsid w:val="009834C7"/>
    <w:rsid w:val="00984A9D"/>
    <w:rsid w:val="0098511E"/>
    <w:rsid w:val="00985475"/>
    <w:rsid w:val="00985CEE"/>
    <w:rsid w:val="00985D1F"/>
    <w:rsid w:val="0098647B"/>
    <w:rsid w:val="009877EF"/>
    <w:rsid w:val="00987877"/>
    <w:rsid w:val="00987D5D"/>
    <w:rsid w:val="00987D88"/>
    <w:rsid w:val="00987F73"/>
    <w:rsid w:val="00990EA3"/>
    <w:rsid w:val="009919CC"/>
    <w:rsid w:val="00991DD7"/>
    <w:rsid w:val="0099255F"/>
    <w:rsid w:val="00993839"/>
    <w:rsid w:val="0099444D"/>
    <w:rsid w:val="00997182"/>
    <w:rsid w:val="0099768F"/>
    <w:rsid w:val="009A0B5E"/>
    <w:rsid w:val="009A0F73"/>
    <w:rsid w:val="009A18A6"/>
    <w:rsid w:val="009A1C15"/>
    <w:rsid w:val="009A276E"/>
    <w:rsid w:val="009A29E6"/>
    <w:rsid w:val="009A2AF6"/>
    <w:rsid w:val="009A3179"/>
    <w:rsid w:val="009A3539"/>
    <w:rsid w:val="009A3AB3"/>
    <w:rsid w:val="009A4375"/>
    <w:rsid w:val="009A5647"/>
    <w:rsid w:val="009A56CE"/>
    <w:rsid w:val="009A5877"/>
    <w:rsid w:val="009A667B"/>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618A"/>
    <w:rsid w:val="009C61EE"/>
    <w:rsid w:val="009C6584"/>
    <w:rsid w:val="009D033F"/>
    <w:rsid w:val="009D14D0"/>
    <w:rsid w:val="009D188D"/>
    <w:rsid w:val="009D3AA0"/>
    <w:rsid w:val="009D3B68"/>
    <w:rsid w:val="009D4249"/>
    <w:rsid w:val="009D4BFD"/>
    <w:rsid w:val="009D4D11"/>
    <w:rsid w:val="009D55F5"/>
    <w:rsid w:val="009D5D20"/>
    <w:rsid w:val="009D6C86"/>
    <w:rsid w:val="009E0317"/>
    <w:rsid w:val="009E074F"/>
    <w:rsid w:val="009E0A82"/>
    <w:rsid w:val="009E1F2B"/>
    <w:rsid w:val="009E30FB"/>
    <w:rsid w:val="009E4332"/>
    <w:rsid w:val="009E464C"/>
    <w:rsid w:val="009E7051"/>
    <w:rsid w:val="009E72AC"/>
    <w:rsid w:val="009E73E7"/>
    <w:rsid w:val="009E76A5"/>
    <w:rsid w:val="009E7703"/>
    <w:rsid w:val="009E786F"/>
    <w:rsid w:val="009E7871"/>
    <w:rsid w:val="009E7B6E"/>
    <w:rsid w:val="009F021E"/>
    <w:rsid w:val="009F13EF"/>
    <w:rsid w:val="009F156D"/>
    <w:rsid w:val="009F26B9"/>
    <w:rsid w:val="009F3B02"/>
    <w:rsid w:val="009F415C"/>
    <w:rsid w:val="009F5040"/>
    <w:rsid w:val="009F533D"/>
    <w:rsid w:val="009F5422"/>
    <w:rsid w:val="009F5C6B"/>
    <w:rsid w:val="009F68F2"/>
    <w:rsid w:val="009F6E7E"/>
    <w:rsid w:val="009F752B"/>
    <w:rsid w:val="00A01EB9"/>
    <w:rsid w:val="00A054ED"/>
    <w:rsid w:val="00A0635A"/>
    <w:rsid w:val="00A06939"/>
    <w:rsid w:val="00A06EE5"/>
    <w:rsid w:val="00A07459"/>
    <w:rsid w:val="00A077B2"/>
    <w:rsid w:val="00A0783D"/>
    <w:rsid w:val="00A10D34"/>
    <w:rsid w:val="00A11D42"/>
    <w:rsid w:val="00A129A4"/>
    <w:rsid w:val="00A13549"/>
    <w:rsid w:val="00A135A2"/>
    <w:rsid w:val="00A20F57"/>
    <w:rsid w:val="00A2179F"/>
    <w:rsid w:val="00A22B3A"/>
    <w:rsid w:val="00A232E0"/>
    <w:rsid w:val="00A24AA4"/>
    <w:rsid w:val="00A25A07"/>
    <w:rsid w:val="00A2628E"/>
    <w:rsid w:val="00A26E9B"/>
    <w:rsid w:val="00A27D39"/>
    <w:rsid w:val="00A27D75"/>
    <w:rsid w:val="00A27E5E"/>
    <w:rsid w:val="00A30FE1"/>
    <w:rsid w:val="00A31D13"/>
    <w:rsid w:val="00A32526"/>
    <w:rsid w:val="00A32A2A"/>
    <w:rsid w:val="00A332BC"/>
    <w:rsid w:val="00A3342F"/>
    <w:rsid w:val="00A35DE2"/>
    <w:rsid w:val="00A4048E"/>
    <w:rsid w:val="00A40575"/>
    <w:rsid w:val="00A40DEC"/>
    <w:rsid w:val="00A4265C"/>
    <w:rsid w:val="00A42D4E"/>
    <w:rsid w:val="00A43511"/>
    <w:rsid w:val="00A44221"/>
    <w:rsid w:val="00A44A41"/>
    <w:rsid w:val="00A46158"/>
    <w:rsid w:val="00A46815"/>
    <w:rsid w:val="00A4716B"/>
    <w:rsid w:val="00A47481"/>
    <w:rsid w:val="00A503EC"/>
    <w:rsid w:val="00A50D47"/>
    <w:rsid w:val="00A51A7F"/>
    <w:rsid w:val="00A525FA"/>
    <w:rsid w:val="00A54ED5"/>
    <w:rsid w:val="00A55A24"/>
    <w:rsid w:val="00A57665"/>
    <w:rsid w:val="00A60F4B"/>
    <w:rsid w:val="00A6271E"/>
    <w:rsid w:val="00A62AFB"/>
    <w:rsid w:val="00A6356E"/>
    <w:rsid w:val="00A646EE"/>
    <w:rsid w:val="00A64ED0"/>
    <w:rsid w:val="00A65D13"/>
    <w:rsid w:val="00A66421"/>
    <w:rsid w:val="00A66A0F"/>
    <w:rsid w:val="00A66B44"/>
    <w:rsid w:val="00A66C58"/>
    <w:rsid w:val="00A66F1F"/>
    <w:rsid w:val="00A6722C"/>
    <w:rsid w:val="00A67A63"/>
    <w:rsid w:val="00A67F6C"/>
    <w:rsid w:val="00A70BB3"/>
    <w:rsid w:val="00A70D43"/>
    <w:rsid w:val="00A710AA"/>
    <w:rsid w:val="00A718E5"/>
    <w:rsid w:val="00A71AFE"/>
    <w:rsid w:val="00A71F9F"/>
    <w:rsid w:val="00A726EC"/>
    <w:rsid w:val="00A73404"/>
    <w:rsid w:val="00A73A70"/>
    <w:rsid w:val="00A74410"/>
    <w:rsid w:val="00A76B2B"/>
    <w:rsid w:val="00A80F8D"/>
    <w:rsid w:val="00A820ED"/>
    <w:rsid w:val="00A82118"/>
    <w:rsid w:val="00A8283B"/>
    <w:rsid w:val="00A82BB8"/>
    <w:rsid w:val="00A84A31"/>
    <w:rsid w:val="00A861D2"/>
    <w:rsid w:val="00A86B09"/>
    <w:rsid w:val="00A876AD"/>
    <w:rsid w:val="00A87AE1"/>
    <w:rsid w:val="00A90BE6"/>
    <w:rsid w:val="00A90BE8"/>
    <w:rsid w:val="00A91CE4"/>
    <w:rsid w:val="00A91F68"/>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81D"/>
    <w:rsid w:val="00AA6CFD"/>
    <w:rsid w:val="00AA74EE"/>
    <w:rsid w:val="00AB0264"/>
    <w:rsid w:val="00AB30F5"/>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7D4"/>
    <w:rsid w:val="00AC33D2"/>
    <w:rsid w:val="00AC3B87"/>
    <w:rsid w:val="00AC3EB5"/>
    <w:rsid w:val="00AC4E74"/>
    <w:rsid w:val="00AC51B8"/>
    <w:rsid w:val="00AC564B"/>
    <w:rsid w:val="00AC5C5B"/>
    <w:rsid w:val="00AC639A"/>
    <w:rsid w:val="00AC74CF"/>
    <w:rsid w:val="00AD0A2E"/>
    <w:rsid w:val="00AD28BB"/>
    <w:rsid w:val="00AD32C0"/>
    <w:rsid w:val="00AD4824"/>
    <w:rsid w:val="00AD498B"/>
    <w:rsid w:val="00AD6414"/>
    <w:rsid w:val="00AD7983"/>
    <w:rsid w:val="00AD7FAD"/>
    <w:rsid w:val="00AE045E"/>
    <w:rsid w:val="00AE053C"/>
    <w:rsid w:val="00AE295B"/>
    <w:rsid w:val="00AE3D98"/>
    <w:rsid w:val="00AE40F5"/>
    <w:rsid w:val="00AE4272"/>
    <w:rsid w:val="00AE5261"/>
    <w:rsid w:val="00AE6237"/>
    <w:rsid w:val="00AE679C"/>
    <w:rsid w:val="00AE6D46"/>
    <w:rsid w:val="00AE785F"/>
    <w:rsid w:val="00AE7D6F"/>
    <w:rsid w:val="00AF0815"/>
    <w:rsid w:val="00AF2227"/>
    <w:rsid w:val="00AF3C2B"/>
    <w:rsid w:val="00AF46C2"/>
    <w:rsid w:val="00AF4B30"/>
    <w:rsid w:val="00AF4BD8"/>
    <w:rsid w:val="00AF4C0B"/>
    <w:rsid w:val="00AF5E71"/>
    <w:rsid w:val="00AF631A"/>
    <w:rsid w:val="00AF6404"/>
    <w:rsid w:val="00AF6F69"/>
    <w:rsid w:val="00B010F4"/>
    <w:rsid w:val="00B0227F"/>
    <w:rsid w:val="00B02FFF"/>
    <w:rsid w:val="00B03B5C"/>
    <w:rsid w:val="00B03BAC"/>
    <w:rsid w:val="00B04CD7"/>
    <w:rsid w:val="00B0526E"/>
    <w:rsid w:val="00B06527"/>
    <w:rsid w:val="00B06656"/>
    <w:rsid w:val="00B1091C"/>
    <w:rsid w:val="00B10A9C"/>
    <w:rsid w:val="00B10D99"/>
    <w:rsid w:val="00B11B60"/>
    <w:rsid w:val="00B11C3B"/>
    <w:rsid w:val="00B125DF"/>
    <w:rsid w:val="00B1342F"/>
    <w:rsid w:val="00B15953"/>
    <w:rsid w:val="00B161D0"/>
    <w:rsid w:val="00B164CC"/>
    <w:rsid w:val="00B1654C"/>
    <w:rsid w:val="00B17CCD"/>
    <w:rsid w:val="00B17E30"/>
    <w:rsid w:val="00B20795"/>
    <w:rsid w:val="00B2080A"/>
    <w:rsid w:val="00B2113B"/>
    <w:rsid w:val="00B21C7B"/>
    <w:rsid w:val="00B225E7"/>
    <w:rsid w:val="00B22916"/>
    <w:rsid w:val="00B22A58"/>
    <w:rsid w:val="00B22ADF"/>
    <w:rsid w:val="00B22ECE"/>
    <w:rsid w:val="00B230B1"/>
    <w:rsid w:val="00B23997"/>
    <w:rsid w:val="00B24A50"/>
    <w:rsid w:val="00B25428"/>
    <w:rsid w:val="00B27054"/>
    <w:rsid w:val="00B2719B"/>
    <w:rsid w:val="00B273F1"/>
    <w:rsid w:val="00B31430"/>
    <w:rsid w:val="00B31EF3"/>
    <w:rsid w:val="00B322DA"/>
    <w:rsid w:val="00B3301A"/>
    <w:rsid w:val="00B3425D"/>
    <w:rsid w:val="00B34719"/>
    <w:rsid w:val="00B35126"/>
    <w:rsid w:val="00B3578C"/>
    <w:rsid w:val="00B37017"/>
    <w:rsid w:val="00B373DA"/>
    <w:rsid w:val="00B40C8B"/>
    <w:rsid w:val="00B41238"/>
    <w:rsid w:val="00B41284"/>
    <w:rsid w:val="00B413DE"/>
    <w:rsid w:val="00B416F4"/>
    <w:rsid w:val="00B417B4"/>
    <w:rsid w:val="00B4281A"/>
    <w:rsid w:val="00B43DD2"/>
    <w:rsid w:val="00B443EF"/>
    <w:rsid w:val="00B44667"/>
    <w:rsid w:val="00B46115"/>
    <w:rsid w:val="00B4667C"/>
    <w:rsid w:val="00B47358"/>
    <w:rsid w:val="00B50E51"/>
    <w:rsid w:val="00B51232"/>
    <w:rsid w:val="00B51AF6"/>
    <w:rsid w:val="00B5246F"/>
    <w:rsid w:val="00B524CD"/>
    <w:rsid w:val="00B547FE"/>
    <w:rsid w:val="00B55CCB"/>
    <w:rsid w:val="00B579A1"/>
    <w:rsid w:val="00B61679"/>
    <w:rsid w:val="00B61AA7"/>
    <w:rsid w:val="00B61F76"/>
    <w:rsid w:val="00B6248B"/>
    <w:rsid w:val="00B62B81"/>
    <w:rsid w:val="00B633AF"/>
    <w:rsid w:val="00B63F91"/>
    <w:rsid w:val="00B64798"/>
    <w:rsid w:val="00B66FD1"/>
    <w:rsid w:val="00B674D6"/>
    <w:rsid w:val="00B67AAF"/>
    <w:rsid w:val="00B67D62"/>
    <w:rsid w:val="00B7066F"/>
    <w:rsid w:val="00B70C91"/>
    <w:rsid w:val="00B72DBD"/>
    <w:rsid w:val="00B72FEB"/>
    <w:rsid w:val="00B73257"/>
    <w:rsid w:val="00B7493D"/>
    <w:rsid w:val="00B7498F"/>
    <w:rsid w:val="00B74A77"/>
    <w:rsid w:val="00B74BFA"/>
    <w:rsid w:val="00B7717D"/>
    <w:rsid w:val="00B77CF7"/>
    <w:rsid w:val="00B8004E"/>
    <w:rsid w:val="00B80712"/>
    <w:rsid w:val="00B80A71"/>
    <w:rsid w:val="00B80D6D"/>
    <w:rsid w:val="00B819D8"/>
    <w:rsid w:val="00B821F0"/>
    <w:rsid w:val="00B82FDD"/>
    <w:rsid w:val="00B833F1"/>
    <w:rsid w:val="00B83851"/>
    <w:rsid w:val="00B83CF7"/>
    <w:rsid w:val="00B84CD0"/>
    <w:rsid w:val="00B84D27"/>
    <w:rsid w:val="00B8585A"/>
    <w:rsid w:val="00B8655C"/>
    <w:rsid w:val="00B9125A"/>
    <w:rsid w:val="00B91AC1"/>
    <w:rsid w:val="00B9308F"/>
    <w:rsid w:val="00B9329E"/>
    <w:rsid w:val="00B9361F"/>
    <w:rsid w:val="00B93A7E"/>
    <w:rsid w:val="00B94457"/>
    <w:rsid w:val="00B959E3"/>
    <w:rsid w:val="00B95DCF"/>
    <w:rsid w:val="00B96670"/>
    <w:rsid w:val="00B96DC2"/>
    <w:rsid w:val="00BA0615"/>
    <w:rsid w:val="00BA0682"/>
    <w:rsid w:val="00BA0BBB"/>
    <w:rsid w:val="00BA2779"/>
    <w:rsid w:val="00BA327C"/>
    <w:rsid w:val="00BA390B"/>
    <w:rsid w:val="00BA4818"/>
    <w:rsid w:val="00BA5482"/>
    <w:rsid w:val="00BB0F14"/>
    <w:rsid w:val="00BB11D5"/>
    <w:rsid w:val="00BB1E11"/>
    <w:rsid w:val="00BB2BAF"/>
    <w:rsid w:val="00BB3601"/>
    <w:rsid w:val="00BB376E"/>
    <w:rsid w:val="00BB3A09"/>
    <w:rsid w:val="00BB4508"/>
    <w:rsid w:val="00BB456B"/>
    <w:rsid w:val="00BB5EFD"/>
    <w:rsid w:val="00BB6212"/>
    <w:rsid w:val="00BB6349"/>
    <w:rsid w:val="00BB670F"/>
    <w:rsid w:val="00BB7156"/>
    <w:rsid w:val="00BB746E"/>
    <w:rsid w:val="00BC0D17"/>
    <w:rsid w:val="00BC0FCC"/>
    <w:rsid w:val="00BC17DB"/>
    <w:rsid w:val="00BC186C"/>
    <w:rsid w:val="00BC1BB6"/>
    <w:rsid w:val="00BC26E2"/>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9FD"/>
    <w:rsid w:val="00BD1BE8"/>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7EB"/>
    <w:rsid w:val="00BE0B5B"/>
    <w:rsid w:val="00BE199C"/>
    <w:rsid w:val="00BE2787"/>
    <w:rsid w:val="00BE28FF"/>
    <w:rsid w:val="00BE412F"/>
    <w:rsid w:val="00BE49C2"/>
    <w:rsid w:val="00BE5ABA"/>
    <w:rsid w:val="00BE62CC"/>
    <w:rsid w:val="00BE6B8A"/>
    <w:rsid w:val="00BE7556"/>
    <w:rsid w:val="00BF0091"/>
    <w:rsid w:val="00BF0462"/>
    <w:rsid w:val="00BF0D72"/>
    <w:rsid w:val="00BF1231"/>
    <w:rsid w:val="00BF2474"/>
    <w:rsid w:val="00BF3939"/>
    <w:rsid w:val="00BF44FE"/>
    <w:rsid w:val="00BF4A13"/>
    <w:rsid w:val="00BF59B7"/>
    <w:rsid w:val="00BF5B07"/>
    <w:rsid w:val="00BF6227"/>
    <w:rsid w:val="00BF6354"/>
    <w:rsid w:val="00BF6C43"/>
    <w:rsid w:val="00BF7072"/>
    <w:rsid w:val="00BF7366"/>
    <w:rsid w:val="00C0057E"/>
    <w:rsid w:val="00C01EC1"/>
    <w:rsid w:val="00C01FCF"/>
    <w:rsid w:val="00C02036"/>
    <w:rsid w:val="00C032FD"/>
    <w:rsid w:val="00C033AC"/>
    <w:rsid w:val="00C03F96"/>
    <w:rsid w:val="00C050EC"/>
    <w:rsid w:val="00C06B13"/>
    <w:rsid w:val="00C06EFA"/>
    <w:rsid w:val="00C10BBF"/>
    <w:rsid w:val="00C10F02"/>
    <w:rsid w:val="00C110E3"/>
    <w:rsid w:val="00C115FA"/>
    <w:rsid w:val="00C11FA9"/>
    <w:rsid w:val="00C1530C"/>
    <w:rsid w:val="00C17ED7"/>
    <w:rsid w:val="00C2132B"/>
    <w:rsid w:val="00C21F32"/>
    <w:rsid w:val="00C229ED"/>
    <w:rsid w:val="00C230F9"/>
    <w:rsid w:val="00C252BD"/>
    <w:rsid w:val="00C26506"/>
    <w:rsid w:val="00C26716"/>
    <w:rsid w:val="00C26857"/>
    <w:rsid w:val="00C26EAA"/>
    <w:rsid w:val="00C26EED"/>
    <w:rsid w:val="00C276DC"/>
    <w:rsid w:val="00C27A6D"/>
    <w:rsid w:val="00C3024F"/>
    <w:rsid w:val="00C319C4"/>
    <w:rsid w:val="00C323B6"/>
    <w:rsid w:val="00C337C5"/>
    <w:rsid w:val="00C339D4"/>
    <w:rsid w:val="00C33D00"/>
    <w:rsid w:val="00C34956"/>
    <w:rsid w:val="00C34962"/>
    <w:rsid w:val="00C40250"/>
    <w:rsid w:val="00C406D9"/>
    <w:rsid w:val="00C40CE5"/>
    <w:rsid w:val="00C4162D"/>
    <w:rsid w:val="00C41889"/>
    <w:rsid w:val="00C42E93"/>
    <w:rsid w:val="00C43199"/>
    <w:rsid w:val="00C43DF1"/>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4B12"/>
    <w:rsid w:val="00C55C9D"/>
    <w:rsid w:val="00C57587"/>
    <w:rsid w:val="00C57624"/>
    <w:rsid w:val="00C608EF"/>
    <w:rsid w:val="00C61167"/>
    <w:rsid w:val="00C615ED"/>
    <w:rsid w:val="00C667DC"/>
    <w:rsid w:val="00C6697D"/>
    <w:rsid w:val="00C675A5"/>
    <w:rsid w:val="00C676AE"/>
    <w:rsid w:val="00C67D2C"/>
    <w:rsid w:val="00C70CF3"/>
    <w:rsid w:val="00C72082"/>
    <w:rsid w:val="00C72088"/>
    <w:rsid w:val="00C721AE"/>
    <w:rsid w:val="00C7276D"/>
    <w:rsid w:val="00C733E2"/>
    <w:rsid w:val="00C74054"/>
    <w:rsid w:val="00C7495F"/>
    <w:rsid w:val="00C749BF"/>
    <w:rsid w:val="00C75D8D"/>
    <w:rsid w:val="00C7630D"/>
    <w:rsid w:val="00C76320"/>
    <w:rsid w:val="00C7660C"/>
    <w:rsid w:val="00C76DA3"/>
    <w:rsid w:val="00C77060"/>
    <w:rsid w:val="00C77D8B"/>
    <w:rsid w:val="00C80CB9"/>
    <w:rsid w:val="00C81103"/>
    <w:rsid w:val="00C825D5"/>
    <w:rsid w:val="00C825FB"/>
    <w:rsid w:val="00C82EF7"/>
    <w:rsid w:val="00C84E49"/>
    <w:rsid w:val="00C85770"/>
    <w:rsid w:val="00C858AB"/>
    <w:rsid w:val="00C8662D"/>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CF7"/>
    <w:rsid w:val="00CA43E2"/>
    <w:rsid w:val="00CA58A2"/>
    <w:rsid w:val="00CA58E8"/>
    <w:rsid w:val="00CA5A2E"/>
    <w:rsid w:val="00CA6B04"/>
    <w:rsid w:val="00CA7C44"/>
    <w:rsid w:val="00CA7E4F"/>
    <w:rsid w:val="00CB1D85"/>
    <w:rsid w:val="00CB2316"/>
    <w:rsid w:val="00CB3613"/>
    <w:rsid w:val="00CB43B0"/>
    <w:rsid w:val="00CB57BC"/>
    <w:rsid w:val="00CB7221"/>
    <w:rsid w:val="00CB723D"/>
    <w:rsid w:val="00CB72CB"/>
    <w:rsid w:val="00CC01AE"/>
    <w:rsid w:val="00CC049E"/>
    <w:rsid w:val="00CC1238"/>
    <w:rsid w:val="00CC18E1"/>
    <w:rsid w:val="00CC231A"/>
    <w:rsid w:val="00CC2989"/>
    <w:rsid w:val="00CC31E6"/>
    <w:rsid w:val="00CC363D"/>
    <w:rsid w:val="00CC4866"/>
    <w:rsid w:val="00CC4F08"/>
    <w:rsid w:val="00CC59EA"/>
    <w:rsid w:val="00CC60B6"/>
    <w:rsid w:val="00CC647E"/>
    <w:rsid w:val="00CC64F0"/>
    <w:rsid w:val="00CC6678"/>
    <w:rsid w:val="00CC6ACE"/>
    <w:rsid w:val="00CC7B13"/>
    <w:rsid w:val="00CC7DDD"/>
    <w:rsid w:val="00CD27EA"/>
    <w:rsid w:val="00CD3E6B"/>
    <w:rsid w:val="00CD4CAD"/>
    <w:rsid w:val="00CD5021"/>
    <w:rsid w:val="00CD515B"/>
    <w:rsid w:val="00CD5E90"/>
    <w:rsid w:val="00CD644D"/>
    <w:rsid w:val="00CD6DF1"/>
    <w:rsid w:val="00CE078B"/>
    <w:rsid w:val="00CE1593"/>
    <w:rsid w:val="00CE2177"/>
    <w:rsid w:val="00CE2B3D"/>
    <w:rsid w:val="00CE3C8B"/>
    <w:rsid w:val="00CE4500"/>
    <w:rsid w:val="00CE6852"/>
    <w:rsid w:val="00CE7EFD"/>
    <w:rsid w:val="00CF08B4"/>
    <w:rsid w:val="00CF0A4F"/>
    <w:rsid w:val="00CF1B8D"/>
    <w:rsid w:val="00CF3D5E"/>
    <w:rsid w:val="00CF570B"/>
    <w:rsid w:val="00D0031E"/>
    <w:rsid w:val="00D012D7"/>
    <w:rsid w:val="00D021DA"/>
    <w:rsid w:val="00D02CE4"/>
    <w:rsid w:val="00D03E65"/>
    <w:rsid w:val="00D04B91"/>
    <w:rsid w:val="00D051DE"/>
    <w:rsid w:val="00D056D6"/>
    <w:rsid w:val="00D05C3E"/>
    <w:rsid w:val="00D06046"/>
    <w:rsid w:val="00D07072"/>
    <w:rsid w:val="00D075AB"/>
    <w:rsid w:val="00D1047C"/>
    <w:rsid w:val="00D1060C"/>
    <w:rsid w:val="00D10871"/>
    <w:rsid w:val="00D10BEC"/>
    <w:rsid w:val="00D10EC8"/>
    <w:rsid w:val="00D130A4"/>
    <w:rsid w:val="00D1455A"/>
    <w:rsid w:val="00D14680"/>
    <w:rsid w:val="00D14AB7"/>
    <w:rsid w:val="00D15741"/>
    <w:rsid w:val="00D163B0"/>
    <w:rsid w:val="00D208C1"/>
    <w:rsid w:val="00D223C8"/>
    <w:rsid w:val="00D225BD"/>
    <w:rsid w:val="00D22899"/>
    <w:rsid w:val="00D22CCD"/>
    <w:rsid w:val="00D232CA"/>
    <w:rsid w:val="00D2360C"/>
    <w:rsid w:val="00D25E7E"/>
    <w:rsid w:val="00D26521"/>
    <w:rsid w:val="00D269D1"/>
    <w:rsid w:val="00D26FEA"/>
    <w:rsid w:val="00D271A6"/>
    <w:rsid w:val="00D27410"/>
    <w:rsid w:val="00D27715"/>
    <w:rsid w:val="00D302C2"/>
    <w:rsid w:val="00D31BC8"/>
    <w:rsid w:val="00D32277"/>
    <w:rsid w:val="00D32471"/>
    <w:rsid w:val="00D34C74"/>
    <w:rsid w:val="00D34E9A"/>
    <w:rsid w:val="00D35353"/>
    <w:rsid w:val="00D357EC"/>
    <w:rsid w:val="00D3589C"/>
    <w:rsid w:val="00D35C28"/>
    <w:rsid w:val="00D35E2D"/>
    <w:rsid w:val="00D35FA2"/>
    <w:rsid w:val="00D374B8"/>
    <w:rsid w:val="00D37F4C"/>
    <w:rsid w:val="00D410EB"/>
    <w:rsid w:val="00D416D1"/>
    <w:rsid w:val="00D417EA"/>
    <w:rsid w:val="00D41A77"/>
    <w:rsid w:val="00D41EF5"/>
    <w:rsid w:val="00D42C55"/>
    <w:rsid w:val="00D44D0B"/>
    <w:rsid w:val="00D44F18"/>
    <w:rsid w:val="00D453A0"/>
    <w:rsid w:val="00D45915"/>
    <w:rsid w:val="00D45BCD"/>
    <w:rsid w:val="00D4690A"/>
    <w:rsid w:val="00D46E82"/>
    <w:rsid w:val="00D50AA7"/>
    <w:rsid w:val="00D519FE"/>
    <w:rsid w:val="00D5260D"/>
    <w:rsid w:val="00D52833"/>
    <w:rsid w:val="00D53847"/>
    <w:rsid w:val="00D5465F"/>
    <w:rsid w:val="00D54EE4"/>
    <w:rsid w:val="00D551E9"/>
    <w:rsid w:val="00D57315"/>
    <w:rsid w:val="00D60358"/>
    <w:rsid w:val="00D6145B"/>
    <w:rsid w:val="00D61B38"/>
    <w:rsid w:val="00D61B83"/>
    <w:rsid w:val="00D6252F"/>
    <w:rsid w:val="00D626D9"/>
    <w:rsid w:val="00D6388E"/>
    <w:rsid w:val="00D638F3"/>
    <w:rsid w:val="00D63BD5"/>
    <w:rsid w:val="00D63D10"/>
    <w:rsid w:val="00D63EC3"/>
    <w:rsid w:val="00D64624"/>
    <w:rsid w:val="00D64C38"/>
    <w:rsid w:val="00D65DA3"/>
    <w:rsid w:val="00D662A8"/>
    <w:rsid w:val="00D6754E"/>
    <w:rsid w:val="00D7076A"/>
    <w:rsid w:val="00D72173"/>
    <w:rsid w:val="00D747F6"/>
    <w:rsid w:val="00D74881"/>
    <w:rsid w:val="00D75BD8"/>
    <w:rsid w:val="00D75CB5"/>
    <w:rsid w:val="00D76297"/>
    <w:rsid w:val="00D76F5E"/>
    <w:rsid w:val="00D80D89"/>
    <w:rsid w:val="00D81D51"/>
    <w:rsid w:val="00D81E0E"/>
    <w:rsid w:val="00D83D31"/>
    <w:rsid w:val="00D86196"/>
    <w:rsid w:val="00D86B65"/>
    <w:rsid w:val="00D8725F"/>
    <w:rsid w:val="00D87F0D"/>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662E"/>
    <w:rsid w:val="00DA6660"/>
    <w:rsid w:val="00DA7497"/>
    <w:rsid w:val="00DA7CED"/>
    <w:rsid w:val="00DB0135"/>
    <w:rsid w:val="00DB1325"/>
    <w:rsid w:val="00DB1963"/>
    <w:rsid w:val="00DB1F54"/>
    <w:rsid w:val="00DB25AA"/>
    <w:rsid w:val="00DB2D42"/>
    <w:rsid w:val="00DB2F02"/>
    <w:rsid w:val="00DB32F6"/>
    <w:rsid w:val="00DB41D7"/>
    <w:rsid w:val="00DB42A5"/>
    <w:rsid w:val="00DB6416"/>
    <w:rsid w:val="00DB739B"/>
    <w:rsid w:val="00DB7D5C"/>
    <w:rsid w:val="00DB7FAD"/>
    <w:rsid w:val="00DC23B9"/>
    <w:rsid w:val="00DC23DC"/>
    <w:rsid w:val="00DC2B7F"/>
    <w:rsid w:val="00DC3831"/>
    <w:rsid w:val="00DC57E4"/>
    <w:rsid w:val="00DC6614"/>
    <w:rsid w:val="00DC67C8"/>
    <w:rsid w:val="00DC7013"/>
    <w:rsid w:val="00DD01E3"/>
    <w:rsid w:val="00DD0404"/>
    <w:rsid w:val="00DD08AD"/>
    <w:rsid w:val="00DD137B"/>
    <w:rsid w:val="00DD1568"/>
    <w:rsid w:val="00DD15DF"/>
    <w:rsid w:val="00DD1D07"/>
    <w:rsid w:val="00DD21BA"/>
    <w:rsid w:val="00DD36DE"/>
    <w:rsid w:val="00DD3DB9"/>
    <w:rsid w:val="00DD5ECA"/>
    <w:rsid w:val="00DD6244"/>
    <w:rsid w:val="00DD6267"/>
    <w:rsid w:val="00DD68DB"/>
    <w:rsid w:val="00DE0712"/>
    <w:rsid w:val="00DE11F7"/>
    <w:rsid w:val="00DE1D14"/>
    <w:rsid w:val="00DE2B2A"/>
    <w:rsid w:val="00DE3CCB"/>
    <w:rsid w:val="00DE631F"/>
    <w:rsid w:val="00DE706A"/>
    <w:rsid w:val="00DF050A"/>
    <w:rsid w:val="00DF0644"/>
    <w:rsid w:val="00DF133B"/>
    <w:rsid w:val="00DF15C0"/>
    <w:rsid w:val="00DF2E30"/>
    <w:rsid w:val="00DF30E1"/>
    <w:rsid w:val="00DF3878"/>
    <w:rsid w:val="00DF3E97"/>
    <w:rsid w:val="00DF4D33"/>
    <w:rsid w:val="00DF4D87"/>
    <w:rsid w:val="00DF7A95"/>
    <w:rsid w:val="00E00C01"/>
    <w:rsid w:val="00E01386"/>
    <w:rsid w:val="00E01E13"/>
    <w:rsid w:val="00E01F24"/>
    <w:rsid w:val="00E02833"/>
    <w:rsid w:val="00E047A1"/>
    <w:rsid w:val="00E04C97"/>
    <w:rsid w:val="00E05479"/>
    <w:rsid w:val="00E062F7"/>
    <w:rsid w:val="00E07780"/>
    <w:rsid w:val="00E07A86"/>
    <w:rsid w:val="00E07E9C"/>
    <w:rsid w:val="00E109D2"/>
    <w:rsid w:val="00E11636"/>
    <w:rsid w:val="00E1242A"/>
    <w:rsid w:val="00E12934"/>
    <w:rsid w:val="00E1392C"/>
    <w:rsid w:val="00E14015"/>
    <w:rsid w:val="00E14873"/>
    <w:rsid w:val="00E148D8"/>
    <w:rsid w:val="00E149A4"/>
    <w:rsid w:val="00E14A09"/>
    <w:rsid w:val="00E14BD4"/>
    <w:rsid w:val="00E154A3"/>
    <w:rsid w:val="00E16EA5"/>
    <w:rsid w:val="00E1730E"/>
    <w:rsid w:val="00E206B9"/>
    <w:rsid w:val="00E20F2A"/>
    <w:rsid w:val="00E217D7"/>
    <w:rsid w:val="00E23197"/>
    <w:rsid w:val="00E235E2"/>
    <w:rsid w:val="00E241BE"/>
    <w:rsid w:val="00E2633D"/>
    <w:rsid w:val="00E26F96"/>
    <w:rsid w:val="00E30F1F"/>
    <w:rsid w:val="00E32023"/>
    <w:rsid w:val="00E32CEA"/>
    <w:rsid w:val="00E33DAB"/>
    <w:rsid w:val="00E33DFE"/>
    <w:rsid w:val="00E342D1"/>
    <w:rsid w:val="00E35E7F"/>
    <w:rsid w:val="00E3672C"/>
    <w:rsid w:val="00E4042B"/>
    <w:rsid w:val="00E40FE4"/>
    <w:rsid w:val="00E41142"/>
    <w:rsid w:val="00E42EDD"/>
    <w:rsid w:val="00E43EE6"/>
    <w:rsid w:val="00E4455A"/>
    <w:rsid w:val="00E45C02"/>
    <w:rsid w:val="00E472D9"/>
    <w:rsid w:val="00E47B77"/>
    <w:rsid w:val="00E47BFA"/>
    <w:rsid w:val="00E47EAE"/>
    <w:rsid w:val="00E51CF6"/>
    <w:rsid w:val="00E53F33"/>
    <w:rsid w:val="00E561B8"/>
    <w:rsid w:val="00E606F9"/>
    <w:rsid w:val="00E61436"/>
    <w:rsid w:val="00E61B1D"/>
    <w:rsid w:val="00E62DAB"/>
    <w:rsid w:val="00E633F7"/>
    <w:rsid w:val="00E63496"/>
    <w:rsid w:val="00E63B38"/>
    <w:rsid w:val="00E6486D"/>
    <w:rsid w:val="00E6740D"/>
    <w:rsid w:val="00E67BB9"/>
    <w:rsid w:val="00E7241C"/>
    <w:rsid w:val="00E73359"/>
    <w:rsid w:val="00E74826"/>
    <w:rsid w:val="00E80485"/>
    <w:rsid w:val="00E81D81"/>
    <w:rsid w:val="00E82007"/>
    <w:rsid w:val="00E82056"/>
    <w:rsid w:val="00E82181"/>
    <w:rsid w:val="00E83286"/>
    <w:rsid w:val="00E8461C"/>
    <w:rsid w:val="00E84DC5"/>
    <w:rsid w:val="00E85094"/>
    <w:rsid w:val="00E85593"/>
    <w:rsid w:val="00E86556"/>
    <w:rsid w:val="00E878D9"/>
    <w:rsid w:val="00E901D4"/>
    <w:rsid w:val="00E9074D"/>
    <w:rsid w:val="00E90EC6"/>
    <w:rsid w:val="00E910BF"/>
    <w:rsid w:val="00E91225"/>
    <w:rsid w:val="00E9136D"/>
    <w:rsid w:val="00E913C0"/>
    <w:rsid w:val="00E91CF2"/>
    <w:rsid w:val="00E92AA9"/>
    <w:rsid w:val="00E92F26"/>
    <w:rsid w:val="00E935C4"/>
    <w:rsid w:val="00E93ABC"/>
    <w:rsid w:val="00E93BB3"/>
    <w:rsid w:val="00E941C3"/>
    <w:rsid w:val="00E94CA6"/>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B0EB9"/>
    <w:rsid w:val="00EB326E"/>
    <w:rsid w:val="00EB34FD"/>
    <w:rsid w:val="00EB4378"/>
    <w:rsid w:val="00EB44E7"/>
    <w:rsid w:val="00EB4797"/>
    <w:rsid w:val="00EB51C4"/>
    <w:rsid w:val="00EB63D3"/>
    <w:rsid w:val="00EB6FFB"/>
    <w:rsid w:val="00EC15E6"/>
    <w:rsid w:val="00EC23D0"/>
    <w:rsid w:val="00EC2D10"/>
    <w:rsid w:val="00EC2F4A"/>
    <w:rsid w:val="00EC3DAA"/>
    <w:rsid w:val="00EC4A18"/>
    <w:rsid w:val="00EC5666"/>
    <w:rsid w:val="00EC5E73"/>
    <w:rsid w:val="00EC6040"/>
    <w:rsid w:val="00EC6C1F"/>
    <w:rsid w:val="00EC6DE9"/>
    <w:rsid w:val="00EC711B"/>
    <w:rsid w:val="00EC7D34"/>
    <w:rsid w:val="00ED01E3"/>
    <w:rsid w:val="00ED05CF"/>
    <w:rsid w:val="00ED094B"/>
    <w:rsid w:val="00ED0DC2"/>
    <w:rsid w:val="00ED1BD4"/>
    <w:rsid w:val="00ED3466"/>
    <w:rsid w:val="00ED35A1"/>
    <w:rsid w:val="00ED43CD"/>
    <w:rsid w:val="00ED4535"/>
    <w:rsid w:val="00ED569D"/>
    <w:rsid w:val="00ED7C2B"/>
    <w:rsid w:val="00EE005E"/>
    <w:rsid w:val="00EE0AC8"/>
    <w:rsid w:val="00EE1123"/>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5101"/>
    <w:rsid w:val="00EF5D5E"/>
    <w:rsid w:val="00EF5DFB"/>
    <w:rsid w:val="00EF627A"/>
    <w:rsid w:val="00EF7F4C"/>
    <w:rsid w:val="00F00482"/>
    <w:rsid w:val="00F00515"/>
    <w:rsid w:val="00F0071F"/>
    <w:rsid w:val="00F0183B"/>
    <w:rsid w:val="00F01E63"/>
    <w:rsid w:val="00F042EE"/>
    <w:rsid w:val="00F048F8"/>
    <w:rsid w:val="00F055BA"/>
    <w:rsid w:val="00F0610E"/>
    <w:rsid w:val="00F066D1"/>
    <w:rsid w:val="00F067F4"/>
    <w:rsid w:val="00F06C5C"/>
    <w:rsid w:val="00F06D4A"/>
    <w:rsid w:val="00F07DCF"/>
    <w:rsid w:val="00F07E3C"/>
    <w:rsid w:val="00F10873"/>
    <w:rsid w:val="00F108CC"/>
    <w:rsid w:val="00F109E9"/>
    <w:rsid w:val="00F12771"/>
    <w:rsid w:val="00F135E1"/>
    <w:rsid w:val="00F1476E"/>
    <w:rsid w:val="00F14788"/>
    <w:rsid w:val="00F14CB6"/>
    <w:rsid w:val="00F156AA"/>
    <w:rsid w:val="00F15DFD"/>
    <w:rsid w:val="00F167E2"/>
    <w:rsid w:val="00F20BB9"/>
    <w:rsid w:val="00F22107"/>
    <w:rsid w:val="00F223B8"/>
    <w:rsid w:val="00F2245D"/>
    <w:rsid w:val="00F22EFA"/>
    <w:rsid w:val="00F237C3"/>
    <w:rsid w:val="00F23DA7"/>
    <w:rsid w:val="00F24EFD"/>
    <w:rsid w:val="00F24FB4"/>
    <w:rsid w:val="00F25E46"/>
    <w:rsid w:val="00F25E4D"/>
    <w:rsid w:val="00F26635"/>
    <w:rsid w:val="00F26CFF"/>
    <w:rsid w:val="00F27589"/>
    <w:rsid w:val="00F27D2A"/>
    <w:rsid w:val="00F3131F"/>
    <w:rsid w:val="00F3262C"/>
    <w:rsid w:val="00F32AEC"/>
    <w:rsid w:val="00F32CC6"/>
    <w:rsid w:val="00F32FF6"/>
    <w:rsid w:val="00F33398"/>
    <w:rsid w:val="00F334EA"/>
    <w:rsid w:val="00F348F5"/>
    <w:rsid w:val="00F35560"/>
    <w:rsid w:val="00F406FD"/>
    <w:rsid w:val="00F4133C"/>
    <w:rsid w:val="00F413AB"/>
    <w:rsid w:val="00F415C5"/>
    <w:rsid w:val="00F42AEB"/>
    <w:rsid w:val="00F42F2A"/>
    <w:rsid w:val="00F44F8D"/>
    <w:rsid w:val="00F46651"/>
    <w:rsid w:val="00F4792D"/>
    <w:rsid w:val="00F4793F"/>
    <w:rsid w:val="00F47BEC"/>
    <w:rsid w:val="00F47E59"/>
    <w:rsid w:val="00F50375"/>
    <w:rsid w:val="00F5056F"/>
    <w:rsid w:val="00F51E15"/>
    <w:rsid w:val="00F51FF3"/>
    <w:rsid w:val="00F5219B"/>
    <w:rsid w:val="00F52558"/>
    <w:rsid w:val="00F52E0F"/>
    <w:rsid w:val="00F5301F"/>
    <w:rsid w:val="00F530D8"/>
    <w:rsid w:val="00F53971"/>
    <w:rsid w:val="00F547A6"/>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733D4"/>
    <w:rsid w:val="00F749AC"/>
    <w:rsid w:val="00F76537"/>
    <w:rsid w:val="00F76A92"/>
    <w:rsid w:val="00F80AA8"/>
    <w:rsid w:val="00F80FF6"/>
    <w:rsid w:val="00F81C66"/>
    <w:rsid w:val="00F81EA1"/>
    <w:rsid w:val="00F822C3"/>
    <w:rsid w:val="00F844C1"/>
    <w:rsid w:val="00F84714"/>
    <w:rsid w:val="00F84CA3"/>
    <w:rsid w:val="00F85392"/>
    <w:rsid w:val="00F86302"/>
    <w:rsid w:val="00F86477"/>
    <w:rsid w:val="00F86902"/>
    <w:rsid w:val="00F86CD8"/>
    <w:rsid w:val="00F87360"/>
    <w:rsid w:val="00F87C7D"/>
    <w:rsid w:val="00F87D49"/>
    <w:rsid w:val="00F903F5"/>
    <w:rsid w:val="00F91BF9"/>
    <w:rsid w:val="00F92FDA"/>
    <w:rsid w:val="00F93A0C"/>
    <w:rsid w:val="00F9413E"/>
    <w:rsid w:val="00F9463D"/>
    <w:rsid w:val="00F949F4"/>
    <w:rsid w:val="00F958BE"/>
    <w:rsid w:val="00F960AE"/>
    <w:rsid w:val="00F96A5C"/>
    <w:rsid w:val="00F96A82"/>
    <w:rsid w:val="00F97905"/>
    <w:rsid w:val="00FA0802"/>
    <w:rsid w:val="00FA0D33"/>
    <w:rsid w:val="00FA0F27"/>
    <w:rsid w:val="00FA0FF2"/>
    <w:rsid w:val="00FA20C2"/>
    <w:rsid w:val="00FA2C90"/>
    <w:rsid w:val="00FA39DA"/>
    <w:rsid w:val="00FA3B6B"/>
    <w:rsid w:val="00FA4211"/>
    <w:rsid w:val="00FA446E"/>
    <w:rsid w:val="00FA4EA2"/>
    <w:rsid w:val="00FA5127"/>
    <w:rsid w:val="00FA5AF9"/>
    <w:rsid w:val="00FA5CDB"/>
    <w:rsid w:val="00FA5E8B"/>
    <w:rsid w:val="00FA6316"/>
    <w:rsid w:val="00FA6ABD"/>
    <w:rsid w:val="00FA6AEA"/>
    <w:rsid w:val="00FB1C33"/>
    <w:rsid w:val="00FB2254"/>
    <w:rsid w:val="00FB23D8"/>
    <w:rsid w:val="00FB3890"/>
    <w:rsid w:val="00FB5506"/>
    <w:rsid w:val="00FB73AD"/>
    <w:rsid w:val="00FB74C5"/>
    <w:rsid w:val="00FC07A8"/>
    <w:rsid w:val="00FC1070"/>
    <w:rsid w:val="00FC2078"/>
    <w:rsid w:val="00FC28B1"/>
    <w:rsid w:val="00FC31CB"/>
    <w:rsid w:val="00FC3358"/>
    <w:rsid w:val="00FC3D35"/>
    <w:rsid w:val="00FC5AFB"/>
    <w:rsid w:val="00FC63E7"/>
    <w:rsid w:val="00FC6E03"/>
    <w:rsid w:val="00FC7695"/>
    <w:rsid w:val="00FD0083"/>
    <w:rsid w:val="00FD00B4"/>
    <w:rsid w:val="00FD01D5"/>
    <w:rsid w:val="00FD04B9"/>
    <w:rsid w:val="00FD06EE"/>
    <w:rsid w:val="00FD0943"/>
    <w:rsid w:val="00FD1599"/>
    <w:rsid w:val="00FD2972"/>
    <w:rsid w:val="00FD2A87"/>
    <w:rsid w:val="00FD410B"/>
    <w:rsid w:val="00FD415B"/>
    <w:rsid w:val="00FD4673"/>
    <w:rsid w:val="00FD61F3"/>
    <w:rsid w:val="00FE0ED0"/>
    <w:rsid w:val="00FE14AF"/>
    <w:rsid w:val="00FE2A44"/>
    <w:rsid w:val="00FE2CBE"/>
    <w:rsid w:val="00FE3AB7"/>
    <w:rsid w:val="00FE5593"/>
    <w:rsid w:val="00FE55CF"/>
    <w:rsid w:val="00FE5F32"/>
    <w:rsid w:val="00FE6579"/>
    <w:rsid w:val="00FE6B5D"/>
    <w:rsid w:val="00FE7466"/>
    <w:rsid w:val="00FE7BF6"/>
    <w:rsid w:val="00FF0069"/>
    <w:rsid w:val="00FF0B77"/>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98647B"/>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3"/>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98647B"/>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3"/>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Word_Document11.docx"/><Relationship Id="rId21" Type="http://schemas.openxmlformats.org/officeDocument/2006/relationships/package" Target="embeddings/Microsoft_Excel_Worksheet3.xls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2.bin"/><Relationship Id="rId50" Type="http://schemas.openxmlformats.org/officeDocument/2006/relationships/image" Target="media/image19.emf"/><Relationship Id="rId55" Type="http://schemas.openxmlformats.org/officeDocument/2006/relationships/package" Target="embeddings/Microsoft_Word_Document17.docx"/><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package" Target="embeddings/Microsoft_Excel_Worksheet5.xlsx"/><Relationship Id="rId33" Type="http://schemas.openxmlformats.org/officeDocument/2006/relationships/package" Target="embeddings/Microsoft_Excel_Worksheet8.xlsx"/><Relationship Id="rId38" Type="http://schemas.openxmlformats.org/officeDocument/2006/relationships/image" Target="media/image13.emf"/><Relationship Id="rId46" Type="http://schemas.openxmlformats.org/officeDocument/2006/relationships/image" Target="media/image17.w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1.bin"/><Relationship Id="rId41" Type="http://schemas.openxmlformats.org/officeDocument/2006/relationships/package" Target="embeddings/Microsoft_Word_Document12.docx"/><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10.docx"/><Relationship Id="rId40" Type="http://schemas.openxmlformats.org/officeDocument/2006/relationships/image" Target="media/image14.emf"/><Relationship Id="rId45" Type="http://schemas.openxmlformats.org/officeDocument/2006/relationships/package" Target="embeddings/Microsoft_Excel_Worksheet13.xlsx"/><Relationship Id="rId53" Type="http://schemas.openxmlformats.org/officeDocument/2006/relationships/package" Target="embeddings/Microsoft_Word_Document16.docx"/><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Word_Document4.docx"/><Relationship Id="rId28" Type="http://schemas.openxmlformats.org/officeDocument/2006/relationships/image" Target="media/image8.wmf"/><Relationship Id="rId36" Type="http://schemas.openxmlformats.org/officeDocument/2006/relationships/image" Target="media/image12.emf"/><Relationship Id="rId49" Type="http://schemas.openxmlformats.org/officeDocument/2006/relationships/package" Target="embeddings/Microsoft_Word_Document14.docx"/><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package" Target="embeddings/Microsoft_Excel_Worksheet2.xlsx"/><Relationship Id="rId31" Type="http://schemas.openxmlformats.org/officeDocument/2006/relationships/package" Target="embeddings/Microsoft_Word_Document7.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package" Target="embeddings/Microsoft_Excel_Worksheet6.xlsx"/><Relationship Id="rId30" Type="http://schemas.openxmlformats.org/officeDocument/2006/relationships/image" Target="media/image9.emf"/><Relationship Id="rId35" Type="http://schemas.openxmlformats.org/officeDocument/2006/relationships/package" Target="embeddings/Microsoft_Excel_Worksheet9.xlsx"/><Relationship Id="rId43" Type="http://schemas.openxmlformats.org/officeDocument/2006/relationships/oleObject" Target="embeddings/Microsoft_Word_97_-_2003_Document1.doc"/><Relationship Id="rId48" Type="http://schemas.openxmlformats.org/officeDocument/2006/relationships/image" Target="media/image18.emf"/><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package" Target="embeddings/Microsoft_Word_Document15.docx"/><Relationship Id="rId3"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F5E60-9276-4C28-B563-2CD835013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2337</TotalTime>
  <Pages>17</Pages>
  <Words>6648</Words>
  <Characters>34072</Characters>
  <Application>Microsoft Office Word</Application>
  <DocSecurity>0</DocSecurity>
  <Lines>283</Lines>
  <Paragraphs>81</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40639</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111</cp:revision>
  <cp:lastPrinted>2012-05-10T13:07:00Z</cp:lastPrinted>
  <dcterms:created xsi:type="dcterms:W3CDTF">2017-05-04T15:12:00Z</dcterms:created>
  <dcterms:modified xsi:type="dcterms:W3CDTF">2017-06-07T16:14:00Z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